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版本号：ZCXG-ZB-202603220260511001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野生动植物保护宣传项目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ZCXG-ZB-2026032</w:t>
      </w:r>
      <w:r>
        <w:br/>
      </w:r>
      <w:r>
        <w:br/>
      </w:r>
      <w:r>
        <w:br/>
      </w:r>
    </w:p>
    <w:p>
      <w:pPr>
        <w:pStyle w:val="null3"/>
        <w:jc w:val="center"/>
        <w:outlineLvl w:val="2"/>
      </w:pPr>
      <w:r>
        <w:rPr>
          <w:rFonts w:ascii="仿宋_GB2312" w:hAnsi="仿宋_GB2312" w:cs="仿宋_GB2312" w:eastAsia="仿宋_GB2312"/>
          <w:sz w:val="28"/>
          <w:b/>
        </w:rPr>
        <w:t>西安市秦岭生态环境保护管理局（本级）</w:t>
      </w:r>
    </w:p>
    <w:p>
      <w:pPr>
        <w:pStyle w:val="null3"/>
        <w:jc w:val="center"/>
        <w:outlineLvl w:val="2"/>
      </w:pPr>
      <w:r>
        <w:rPr>
          <w:rFonts w:ascii="仿宋_GB2312" w:hAnsi="仿宋_GB2312" w:cs="仿宋_GB2312" w:eastAsia="仿宋_GB2312"/>
          <w:sz w:val="28"/>
          <w:b/>
        </w:rPr>
        <w:t>陕西众诚项目管理有限公司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西安市秦岭生态环境保护管理局（本级）</w:t>
      </w:r>
      <w:r>
        <w:rPr>
          <w:rFonts w:ascii="仿宋_GB2312" w:hAnsi="仿宋_GB2312" w:cs="仿宋_GB2312" w:eastAsia="仿宋_GB2312"/>
        </w:rPr>
        <w:t>委托，拟对</w:t>
      </w:r>
      <w:r>
        <w:rPr>
          <w:rFonts w:ascii="仿宋_GB2312" w:hAnsi="仿宋_GB2312" w:cs="仿宋_GB2312" w:eastAsia="仿宋_GB2312"/>
        </w:rPr>
        <w:t>野生动植物保护宣传项目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ZCXG-ZB-2026032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野生动植物保护宣传项目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深入贯彻落实《中华人民共和国野生动物保护法》《中华人民共和国野生植物保护条例》及《西安市秦岭生态环境保护条例》，有效遏制秦岭核心保护区及重点区域的违规穿越、破坏野生动植物栖息地等乱象，切实提升社会公众的生态保护意识和法治观念，我局拟实施“野生动植物保护宣传项目”。项目围绕“违规穿越”和“乱象整治”两大主题，通过政务楼宇LCD联播平台、交通枢纽LED屏、核心剧院线下空间及主题视频等多渠道、多形式宣传，向市民和游客集中传播野生动植物保护法规、违规行为的法律后果及秦岭保护成效，营造“保护秦岭、人人有责”的社会氛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采购包1（野生动植物保护宣传项目）：属于专门面向中小企业采购。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会计报告：供应商提供2024年度经审计的财务会计报告（包括审计报告、资产负债表、利润表、现金流量表、所有者权益变动表及其附注，成立时间至提交投标文件截止时间不足一年的可提供成立后任意时段的资产负债表），或其磋商前三个月内基本存款账户开户银行出具的资信证明，或信用担保机构出具的投标担保函（以上三种形式的资料提供任何一种即可）。</w:t>
      </w:r>
    </w:p>
    <w:p>
      <w:pPr>
        <w:pStyle w:val="null3"/>
      </w:pPr>
      <w:r>
        <w:rPr>
          <w:rFonts w:ascii="仿宋_GB2312" w:hAnsi="仿宋_GB2312" w:cs="仿宋_GB2312" w:eastAsia="仿宋_GB2312"/>
        </w:rPr>
        <w:t>3、社会保障资金缴纳证明：提供2025年4月1日至今任意时段的社会保障资金缴存单据或社保机构开具的社会保险参保缴费情况证明，依法不需要缴纳社会保障资金的提供相关文件证明</w:t>
      </w:r>
    </w:p>
    <w:p>
      <w:pPr>
        <w:pStyle w:val="null3"/>
      </w:pPr>
      <w:r>
        <w:rPr>
          <w:rFonts w:ascii="仿宋_GB2312" w:hAnsi="仿宋_GB2312" w:cs="仿宋_GB2312" w:eastAsia="仿宋_GB2312"/>
        </w:rPr>
        <w:t>4、税收缴纳证明：提供2025年4月1日至今任意时段的纳税证明或完税证明，纳税证明或完税证明上应有代收机构或税务机关的公章，依法免税的应提供相关文件证明</w:t>
      </w:r>
    </w:p>
    <w:p>
      <w:pPr>
        <w:pStyle w:val="null3"/>
      </w:pPr>
      <w:r>
        <w:rPr>
          <w:rFonts w:ascii="仿宋_GB2312" w:hAnsi="仿宋_GB2312" w:cs="仿宋_GB2312" w:eastAsia="仿宋_GB2312"/>
        </w:rPr>
        <w:t>5、无重大违法记录声明：参加政府采购项目前 3 年内经营项目中没有重大违法记录声明</w:t>
      </w:r>
    </w:p>
    <w:p>
      <w:pPr>
        <w:pStyle w:val="null3"/>
      </w:pPr>
      <w:r>
        <w:rPr>
          <w:rFonts w:ascii="仿宋_GB2312" w:hAnsi="仿宋_GB2312" w:cs="仿宋_GB2312" w:eastAsia="仿宋_GB2312"/>
        </w:rPr>
        <w:t>6、控股管理关系：提供直接控股和管理关系清单。若与其他供应商存在单位负责人为同一人或者存在直接控股、管理关系的，则响应无效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7、具有履行合同所必需的设备和专业技术能力的书面声明：提供书面声明，包括声明具有履行合同所必需的设备和专业技术能力</w:t>
      </w:r>
    </w:p>
    <w:p>
      <w:pPr>
        <w:pStyle w:val="null3"/>
      </w:pPr>
      <w:r>
        <w:rPr>
          <w:rFonts w:ascii="仿宋_GB2312" w:hAnsi="仿宋_GB2312" w:cs="仿宋_GB2312" w:eastAsia="仿宋_GB2312"/>
        </w:rPr>
        <w:t>8、法定代表人授权委托书：法定代表人参加投标的，须提供本人身份证复印件（附在资格证明文件中）；法定代表人授权他人参加投标的，须提供法定代表人授权委托书，附被授权人在本单位缴纳社保的证明材料、劳动合同复印件、授权代表身份证复印件。磋商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9、非联合体要求：本项目不接受联合体响应，不允许分包。供应商提供《非联合体不分包投标声明》，视为独立响应，不分包</w:t>
      </w:r>
    </w:p>
    <w:p>
      <w:pPr>
        <w:pStyle w:val="null3"/>
      </w:pPr>
      <w:r>
        <w:rPr>
          <w:rFonts w:ascii="仿宋_GB2312" w:hAnsi="仿宋_GB2312" w:cs="仿宋_GB2312" w:eastAsia="仿宋_GB2312"/>
        </w:rPr>
        <w:t>10、信用中国：通过“信用中国”网站（www.creditchina.gov.cn/ ）和“中国政府采购网”（http://www.ccgp.gov.cn/）查询投标主体未被列入失信被执行人、重大税收失信主体、政府采购严重违法失信行为记录名单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西安市秦岭生态环境保护管理局（本级）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西安市长安区子午街道内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叶静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029-89801352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陕西省西安市雁塔区陕西省西安市雁塔区南二环路西段88号老三界1栋1单元11206室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张航帆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029-88816603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2002年颁发的《招标代理服务收费管理暂行办法》(计价格〔2002〕1980号)和国家发改委颁发的《关于招标代理服务费收费有关问题的通知》（发改办价格〔2003〕857号）、《国家发展改革委关于降低部分建设项目收费标准规范收费行为等有关问题的通知》发改价格〔2011〕534号文件的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西安市秦岭生态环境保护管理局（本级）</w:t>
      </w:r>
      <w:r>
        <w:rPr>
          <w:rFonts w:ascii="仿宋_GB2312" w:hAnsi="仿宋_GB2312" w:cs="仿宋_GB2312" w:eastAsia="仿宋_GB2312"/>
        </w:rPr>
        <w:t>和</w:t>
      </w:r>
      <w:r>
        <w:rPr>
          <w:rFonts w:ascii="仿宋_GB2312" w:hAnsi="仿宋_GB2312" w:cs="仿宋_GB2312" w:eastAsia="仿宋_GB2312"/>
        </w:rPr>
        <w:t>陕西众诚项目管理有限公司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西安市秦岭生态环境保护管理局（本级）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西安市秦岭生态环境保护管理局（本级）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联系人：张航帆</w:t>
      </w:r>
    </w:p>
    <w:p>
      <w:pPr>
        <w:pStyle w:val="null3"/>
      </w:pPr>
      <w:r>
        <w:rPr>
          <w:rFonts w:ascii="仿宋_GB2312" w:hAnsi="仿宋_GB2312" w:cs="仿宋_GB2312" w:eastAsia="仿宋_GB2312"/>
        </w:rPr>
        <w:t>联系电话：029-88816603</w:t>
      </w:r>
    </w:p>
    <w:p>
      <w:pPr>
        <w:pStyle w:val="null3"/>
      </w:pPr>
      <w:r>
        <w:rPr>
          <w:rFonts w:ascii="仿宋_GB2312" w:hAnsi="仿宋_GB2312" w:cs="仿宋_GB2312" w:eastAsia="仿宋_GB2312"/>
        </w:rPr>
        <w:t>地址：西安市雁塔区南二环路老三届世纪星大厦 8 层 K 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入贯彻落实《中华人民共和国野生动物保护法》《中华人民共和国野生植物保护条例》及《西安市秦岭生态环境保护条例》，有效遏制秦岭核心保护区及重点区域的违规穿越、破坏野生动植物栖息地等乱象，切实提升社会公众的生态保护意识和法治观念，我局拟实施“野生动植物保护宣传项目”。项目围绕“违规穿越”和“乱象整治”两大主题，通过政务楼宇LCD联播平台、交通枢纽LED屏、核心剧院线下空间及主题视频等多渠道、多形式宣传，向市民和游客集中传播野生动植物保护法规、违规行为的法律后果及秦岭保护成效，营造“保护秦岭、人人有责”的社会氛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370,000.00</w:t>
      </w:r>
    </w:p>
    <w:p>
      <w:pPr>
        <w:pStyle w:val="null3"/>
      </w:pPr>
      <w:r>
        <w:rPr>
          <w:rFonts w:ascii="仿宋_GB2312" w:hAnsi="仿宋_GB2312" w:cs="仿宋_GB2312" w:eastAsia="仿宋_GB2312"/>
        </w:rPr>
        <w:t>采购包最高限价（元）: 370,000.00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野生动植物保护宣传项目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标的名称：野生动植物保护宣传项目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 为深入贯彻落实《中华人民共和国野生动物保护法》《中华人民共和国野生植物保护条例》及《西安市秦岭生态环境保护条例》，有效遏制秦岭核心保护区及重点区域的违规穿越、破坏野生动植物栖息地等乱象，切实提升社会公众的生态保护意识和法治观念，我局拟实施“野生动植物保护宣传项目”。项目围绕“违规穿越”和“乱象整治”两大主题，通过政务楼宇LCD联播平台、交通枢纽LED屏、核心剧院线下空间及主题视频等多渠道、多形式宣传，向市民和游客集中传播野生动植物保护法规、违规行为的法律后果及秦岭保护成效，营造“保护秦岭、人人有责”的社会氛围。 二、服务内容（包括工作区域、工作内容等） 本项目聚焦“违规穿越”“乱象整治”两大主题，具体服务内容如下： （一）媒体资源整合与投放 1.陕西省政务楼宇LCD联播平台投放：覆盖省级单位、市级单位、区级单位、企业、高校及街办社区进行宣传投放。宣传内容为两大主题的静态画面及短视频综合轮播，每日高频次曝光。 2.西安北站到达层出站口LED广告位进行宣传投放，重点面向抵陕旅客，突出警示教育和普法宣传。 备注：如遇档期不合适，经双方商议后可进行调整。 3.供应商须负责排期协调、内容上刊、日常监播，并提供投放过程证明或第三方监测报告。 （二）静态宣传画面设计 围绕“违规穿越”“乱象整治”两大主题，设计统一视觉识别系统（VI），具体要求如下： 1.主视觉海报设计：贯穿项目使用，融合秦岭山脉轮廓与警示标语，下方加入“西安秦岭保护”公众号二维码。 2.LCD联播屏轮播画面设计：3-6张，图文并茂，突出违规穿越的危害及法律后果、乱象整治成效等内容。 三、商务要求 （一）采购时间安排：局党组审议通过后按政府采购程序执行。 （二）实施进度安排：合同签订之日起至项目执行结束。 （三）付款计划：服务费用分贰次支付。合同签订且供应商开具增值税发票后的7个工作日内，以银行转账方式向其支付合同总费用90%。项目结束后，供应商出具结项报告，第三方验收完成后30个工作日内，付清10%尾款。 （四）如遇个别广告位档期不合适，双方需提前7天进行沟通协商，适当进行调整。 （五）验收条件：完成合同约定的各类事项。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满足采购需求及实施过程中的需求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满足采购需求及实施过程中的需求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见采购文件及合同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自合同签订起至验收合格后30日止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据采购人、采购文件要求及合同约定执行。 其他事项： 1、验收合格后，填写政府采购项目验收单作为对本服务的最终认可。 2、服务商向采购人提供服务过程中的所有资料,以便采购人日后管理。 3、验收依据 3.1磋商文件、磋商响应文件、澄清表（函）； 3.2本合同及附件文本； 3.3国家相应的标准、规范。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合同签订且供应商开具增值税发票后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第三方验收完成后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事业单位参与磋商时，可不提供财务状况报告、社会保障资金和税收缴纳证明；依法免税或不需要缴纳社会保障资金的供应商，应提供相应证明文件，证明其依法免税或不需要缴纳社会保障资金；自然人（仅限中国公民）参与投标时，只须提供身份证复印件；3.4.2（响应文件格式-标的清单）本项目服务范围：《野生动植物保护宣传项目》；服务要求：符合磋商文件有关技术、商务及其他要求；服务标准：符合国家和省、市有关行业标准及采购人的有关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财务会计报告</w:t>
            </w:r>
          </w:p>
        </w:tc>
        <w:tc>
          <w:tcPr>
            <w:tcW w:type="dxa" w:w="3322"/>
          </w:tcPr>
          <w:p>
            <w:pPr>
              <w:pStyle w:val="null3"/>
            </w:pPr>
            <w:r>
              <w:rPr>
                <w:rFonts w:ascii="仿宋_GB2312" w:hAnsi="仿宋_GB2312" w:cs="仿宋_GB2312" w:eastAsia="仿宋_GB2312"/>
              </w:rPr>
              <w:t>供应商提供2024年度经审计的财务会计报告（包括审计报告、资产负债表、利润表、现金流量表、所有者权益变动表及其附注，成立时间至提交投标文件截止时间不足一年的可提供成立后任意时段的资产负债表），或其磋商前三个月内基本存款账户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提供2025年4月1日至今任意时段的社会保障资金缴存单据或社保机构开具的社会保险参保缴费情况证明，依法不需要缴纳社会保障资金的提供相关文件证明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提供2025年4月1日至今任意时段的纳税证明或完税证明，纳税证明或完税证明上应有代收机构或税务机关的公章，依法免税的应提供相关文件证明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参加政府采购项目前 3 年内经营项目中没有重大违法记录声明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附被授权人在本单位缴纳社保的证明材料、劳动合同复印件、授权代表身份证复印件。磋商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非联合体要求</w:t>
            </w:r>
          </w:p>
        </w:tc>
        <w:tc>
          <w:tcPr>
            <w:tcW w:type="dxa" w:w="3322"/>
          </w:tcPr>
          <w:p>
            <w:pPr>
              <w:pStyle w:val="null3"/>
            </w:pPr>
            <w:r>
              <w:rPr>
                <w:rFonts w:ascii="仿宋_GB2312" w:hAnsi="仿宋_GB2312" w:cs="仿宋_GB2312" w:eastAsia="仿宋_GB2312"/>
              </w:rPr>
              <w:t>本项目不接受联合体响应，不允许分包。供应商提供《非联合体不分包投标声明》，视为独立响应，不分包</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通过“信用中国”网站（www.creditchina.gov.cn/ ）和“中国政府采购网”（http://www.ccgp.gov.cn/）查询投标主体未被列入失信被执行人、重大税收失信主体、政府采购严重违法失信行为记录名单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服务期限是否按磋商文件要求响应</w:t>
            </w:r>
          </w:p>
        </w:tc>
        <w:tc>
          <w:tcPr>
            <w:tcW w:type="dxa" w:w="1661"/>
          </w:tcPr>
          <w:p>
            <w:pPr>
              <w:pStyle w:val="null3"/>
            </w:pPr>
            <w:r>
              <w:rPr>
                <w:rFonts w:ascii="仿宋_GB2312" w:hAnsi="仿宋_GB2312" w:cs="仿宋_GB2312" w:eastAsia="仿宋_GB2312"/>
              </w:rPr>
              <w:t>响应文件封面 商务应答表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服务地点是否按磋商文件要求响应</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付款方式是否响应磋商文件的要求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响应有效期是否响应磋商文件的要求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响应报价是否超过采购预算或最高限价</w:t>
            </w:r>
          </w:p>
        </w:tc>
        <w:tc>
          <w:tcPr>
            <w:tcW w:type="dxa" w:w="1661"/>
          </w:tcPr>
          <w:p>
            <w:pPr>
              <w:pStyle w:val="null3"/>
            </w:pPr>
            <w:r>
              <w:rPr>
                <w:rFonts w:ascii="仿宋_GB2312" w:hAnsi="仿宋_GB2312" w:cs="仿宋_GB2312" w:eastAsia="仿宋_GB2312"/>
              </w:rPr>
              <w:t>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活动的整体策划及执行方案</w:t>
            </w:r>
          </w:p>
        </w:tc>
        <w:tc>
          <w:tcPr>
            <w:tcW w:type="dxa" w:w="2492"/>
          </w:tcPr>
          <w:p>
            <w:pPr>
              <w:pStyle w:val="null3"/>
            </w:pPr>
            <w:r>
              <w:rPr>
                <w:rFonts w:ascii="仿宋_GB2312" w:hAnsi="仿宋_GB2312" w:cs="仿宋_GB2312" w:eastAsia="仿宋_GB2312"/>
              </w:rPr>
              <w:t>针对本项目采购需求制定有特色的创意策划及执行方案，方案需把握活动主题，创意新颖、内容丰富、可实施性强，包括但不限于：本次活动共四项内容，每有一项缺项内容扣6分，每有一处内容存在缺陷扣3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配套宣传服务</w:t>
            </w:r>
          </w:p>
        </w:tc>
        <w:tc>
          <w:tcPr>
            <w:tcW w:type="dxa" w:w="2492"/>
          </w:tcPr>
          <w:p>
            <w:pPr>
              <w:pStyle w:val="null3"/>
            </w:pPr>
            <w:r>
              <w:rPr>
                <w:rFonts w:ascii="仿宋_GB2312" w:hAnsi="仿宋_GB2312" w:cs="仿宋_GB2312" w:eastAsia="仿宋_GB2312"/>
              </w:rPr>
              <w:t>针对本项目采购需求提供宣传周活动的配套宣传服务方案，方案全面详细，内容丰富、可实施性强，包括但不限于：1.具备丰富经验的官方媒体宣发资源及方案；2.宣传内容规划；3宣传执行步骤；4.宣传目标。根据响应程度，完全响应得8分，每有一项缺项内容扣2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w:t>
            </w:r>
          </w:p>
        </w:tc>
        <w:tc>
          <w:tcPr>
            <w:tcW w:type="dxa" w:w="2492"/>
          </w:tcPr>
          <w:p>
            <w:pPr>
              <w:pStyle w:val="null3"/>
            </w:pPr>
            <w:r>
              <w:rPr>
                <w:rFonts w:ascii="仿宋_GB2312" w:hAnsi="仿宋_GB2312" w:cs="仿宋_GB2312" w:eastAsia="仿宋_GB2312"/>
              </w:rPr>
              <w:t>针对本项目各环节提供突发应急事件处理保障措施，提出对突发事件快速响应的时间、调动人员的数量及合理的处理方案。包括但不限于：1.应急预案；2.组织与人员保障；3.运输与通讯保障；4.意外事件保障。根据响应程度，完全响应得16分，每有一项缺项内容扣4分，每有一处内容存在缺陷扣2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工作质量保障措施</w:t>
            </w:r>
          </w:p>
        </w:tc>
        <w:tc>
          <w:tcPr>
            <w:tcW w:type="dxa" w:w="2492"/>
          </w:tcPr>
          <w:p>
            <w:pPr>
              <w:pStyle w:val="null3"/>
            </w:pPr>
            <w:r>
              <w:rPr>
                <w:rFonts w:ascii="仿宋_GB2312" w:hAnsi="仿宋_GB2312" w:cs="仿宋_GB2312" w:eastAsia="仿宋_GB2312"/>
              </w:rPr>
              <w:t>针对本项目采购需求提供项目质量保障措施，措施全面详细，可实施性强，包括但不限于：1.工作计划详细明确；2.规划执行分工有序、时间安排合理。根据响应程度，完全响应得6分，每有一项缺项内容扣3分，每有一处内容存在缺陷扣1.5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提供人员配备方案。包括但不限于：1.成立专门执行团队，人员结构与专业配置架构合理，职责明确；2.提供拟投入的工作人员配备的情况说明及经验能力证明材料；3.有专门的项目负责人，工作人员具备实施经验；4.人员安排合理，成员间分工明确、职责清晰、任务具体。根据响应程度，完全响应得10分，每有一项缺项内容扣2.5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项目需求提出适用本项目的服务承诺，包括但不限于：1.时效承诺；2.优质服务；3.应急承诺；4.廉洁措施；5.后期服务。完全响应得5分；每有一项缺项内容扣1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合理化建议及保密措施</w:t>
            </w:r>
          </w:p>
        </w:tc>
        <w:tc>
          <w:tcPr>
            <w:tcW w:type="dxa" w:w="2492"/>
          </w:tcPr>
          <w:p>
            <w:pPr>
              <w:pStyle w:val="null3"/>
            </w:pPr>
            <w:r>
              <w:rPr>
                <w:rFonts w:ascii="仿宋_GB2312" w:hAnsi="仿宋_GB2312" w:cs="仿宋_GB2312" w:eastAsia="仿宋_GB2312"/>
              </w:rPr>
              <w:t>依据对本项目的理解，切合项目实际情况，为采购人提供有利于项目实施的合理化建议，包括但不限于：1.理念创新；2.方法创新；3.实用性强；4.建议合理。完全响应得6分；每有一项缺项内容扣1.5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提供2023年1月1日至今的宣传类项目业绩合同，包含首页、金额页、签章页等，业绩以合同为依据，每提供一个计2分，满分10分（须提供合同复印件并加盖供应商公章）。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 响应报价得分=(基准价／响应报价)×价格权值×100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详见附件：野生动植物保护宣传项目合同条款(律审改稿).docx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