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版本号：ZZZC2026-O4820260814001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姬家街道姬家村道路硬化及附属项目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ZZZC2026-O48</w:t>
      </w:r>
      <w:r>
        <w:br/>
      </w:r>
      <w:r>
        <w:br/>
      </w:r>
      <w:r>
        <w:br/>
      </w:r>
    </w:p>
    <w:p>
      <w:pPr>
        <w:pStyle w:val="null3"/>
        <w:jc w:val="center"/>
        <w:outlineLvl w:val="2"/>
      </w:pPr>
      <w:r>
        <w:rPr>
          <w:rFonts w:ascii="仿宋_GB2312" w:hAnsi="仿宋_GB2312" w:cs="仿宋_GB2312" w:eastAsia="仿宋_GB2312"/>
          <w:sz w:val="28"/>
          <w:b/>
        </w:rPr>
        <w:t>西安市高陵区姬家街道办事处</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西安市高陵区姬家街道办事处</w:t>
      </w:r>
      <w:r>
        <w:rPr>
          <w:rFonts w:ascii="仿宋_GB2312" w:hAnsi="仿宋_GB2312" w:cs="仿宋_GB2312" w:eastAsia="仿宋_GB2312"/>
        </w:rPr>
        <w:t>委托，拟对</w:t>
      </w:r>
      <w:r>
        <w:rPr>
          <w:rFonts w:ascii="仿宋_GB2312" w:hAnsi="仿宋_GB2312" w:cs="仿宋_GB2312" w:eastAsia="仿宋_GB2312"/>
        </w:rPr>
        <w:t>姬家街道姬家村道路硬化及附属项目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ZZZC2026-O48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姬家街道姬家村道路硬化及附属项目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姬家街道姬家村道路硬化及附属项目，该预算内容包括姬家村二组、姬家村五、六组道路改造工程。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采购包1（姬家街道姬家村道路硬化及附属项目）：属于专门面向null采购。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1、营业执照：具有独⽴承担⺠事责任能⼒的法⼈、其他组织或⾃然⼈，并出具合法有效的营业执照或事业单位法⼈证书等国家规定的相关证明，⾃然⼈参与的提供⾝份证书。</w:t>
      </w:r>
    </w:p>
    <w:p>
      <w:pPr>
        <w:pStyle w:val="null3"/>
      </w:pPr>
      <w:r>
        <w:rPr>
          <w:rFonts w:ascii="仿宋_GB2312" w:hAnsi="仿宋_GB2312" w:cs="仿宋_GB2312" w:eastAsia="仿宋_GB2312"/>
        </w:rPr>
        <w:t>2、税收缴纳证明：递交响应⽂件截⽌时间前6个⽉内⾄少⼀个⽉的纳税证明或完税证明(增值税、营业税、企业所得税⾄少提供⼀种)，纳税证明或完税证明上应有代收机构或税务机关的公章或业务专⽤章，（依法免税的供应商应提供相应⽂件证明)。</w:t>
      </w:r>
    </w:p>
    <w:p>
      <w:pPr>
        <w:pStyle w:val="null3"/>
      </w:pPr>
      <w:r>
        <w:rPr>
          <w:rFonts w:ascii="仿宋_GB2312" w:hAnsi="仿宋_GB2312" w:cs="仿宋_GB2312" w:eastAsia="仿宋_GB2312"/>
        </w:rPr>
        <w:t>3、社会保障资⾦缴纳证明：递交响应⽂件截⽌时间前6个⽉内已缴存的⾄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4、财务状况报告：提供2024年度或2025年度经审计的财务报告或递交响应⽂件截⽌时间三个⽉内其基本账⼾开⼾银⾏出具的资信证明或财政部⻔认可的政府采购专业担保机构出具的投标担保函(以上三种形式的资料提供任何⼀种即可）。</w:t>
      </w:r>
    </w:p>
    <w:p>
      <w:pPr>
        <w:pStyle w:val="null3"/>
      </w:pPr>
      <w:r>
        <w:rPr>
          <w:rFonts w:ascii="仿宋_GB2312" w:hAnsi="仿宋_GB2312" w:cs="仿宋_GB2312" w:eastAsia="仿宋_GB2312"/>
        </w:rPr>
        <w:t>5、参加政府采购活动前3年内，在经营活动中没有重⼤违法记录：参加政府采购活动前3年内，在经营活动中没有重⼤违法记录(提供书⾯声明）。</w:t>
      </w:r>
    </w:p>
    <w:p>
      <w:pPr>
        <w:pStyle w:val="null3"/>
      </w:pPr>
      <w:r>
        <w:rPr>
          <w:rFonts w:ascii="仿宋_GB2312" w:hAnsi="仿宋_GB2312" w:cs="仿宋_GB2312" w:eastAsia="仿宋_GB2312"/>
        </w:rPr>
        <w:t>6、具有履⾏本合同所必需的设备和专业技术能⼒：提供具有履⾏本合同所必需的设备和专业技术能⼒的承诺(提供承诺书)。</w:t>
      </w:r>
    </w:p>
    <w:p>
      <w:pPr>
        <w:pStyle w:val="null3"/>
      </w:pPr>
      <w:r>
        <w:rPr>
          <w:rFonts w:ascii="仿宋_GB2312" w:hAnsi="仿宋_GB2312" w:cs="仿宋_GB2312" w:eastAsia="仿宋_GB2312"/>
        </w:rPr>
        <w:t>7、法定代表⼈授权书：法定代表⼈授权书(附法定代表⼈、被授权⼈⾝份证复印件)及被授权⼈⾝份证复印件(法定代表⼈直接参加的，须提供法定代表⼈⾝份证明及⾝份证复印件）:⾮法⼈单位参照执⾏。</w:t>
      </w:r>
    </w:p>
    <w:p>
      <w:pPr>
        <w:pStyle w:val="null3"/>
      </w:pPr>
      <w:r>
        <w:rPr>
          <w:rFonts w:ascii="仿宋_GB2312" w:hAnsi="仿宋_GB2312" w:cs="仿宋_GB2312" w:eastAsia="仿宋_GB2312"/>
        </w:rPr>
        <w:t>8、信⽤信息：供应商不得为“信⽤中国”⽹站(www.creditchina.gov.cn)中列⼊失信被执⾏⼈和重⼤税收违法失信主体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9、供应商资质：供应商须具备建设⾏政主管部⻔颁发的市政公用工程施⼯总承包三级及以上资质，且具备合格有效的安全⽣产许可证。</w:t>
      </w:r>
    </w:p>
    <w:p>
      <w:pPr>
        <w:pStyle w:val="null3"/>
      </w:pPr>
      <w:r>
        <w:rPr>
          <w:rFonts w:ascii="仿宋_GB2312" w:hAnsi="仿宋_GB2312" w:cs="仿宋_GB2312" w:eastAsia="仿宋_GB2312"/>
        </w:rPr>
        <w:t>10、拟派项⽬经理：拟派项⽬经理具备市政公用工程⼆级及以上注册建造师证、安全⽣产考核合格证(建安B证)、⽆在建⼯程承诺书(复印件加盖公章)。</w:t>
      </w:r>
    </w:p>
    <w:p>
      <w:pPr>
        <w:pStyle w:val="null3"/>
      </w:pPr>
      <w:r>
        <w:rPr>
          <w:rFonts w:ascii="仿宋_GB2312" w:hAnsi="仿宋_GB2312" w:cs="仿宋_GB2312" w:eastAsia="仿宋_GB2312"/>
        </w:rPr>
        <w:t>11、供应商关联关系：单位负责⼈为同⼀⼈或者存在直接控股、管理关系的不同投标⼈，不得参加同⼀合同项下的政府采购活动。</w:t>
      </w:r>
    </w:p>
    <w:p>
      <w:pPr>
        <w:pStyle w:val="null3"/>
      </w:pPr>
      <w:r>
        <w:rPr>
          <w:rFonts w:ascii="仿宋_GB2312" w:hAnsi="仿宋_GB2312" w:cs="仿宋_GB2312" w:eastAsia="仿宋_GB2312"/>
        </w:rPr>
        <w:t>12、本项⽬不接受联合体投标：本项⽬不接受联合体投标（提供承诺函）。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西安市高陵区姬家街道办事处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泾河工业园渭阳路29号姬家街办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029-86035378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采购包1：947,921.20元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发展计划委员会计价格[2002]1980号、发改办价格［2003］857号规定标准计取该项目的招标代理服务费，账户名称:中招（陕西）项目管理有限公司账户号码: 61050163735509111111 开户银行: 中国建设银行股份有限公司泾阳县中心街支行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西安市高陵区姬家街道办事处</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西安市高陵区姬家街道办事处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西安市高陵区姬家街道办事处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地址：陕西省西安市未央区北二环中段369号华帝金座A座903室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947,921.20</w:t>
      </w:r>
    </w:p>
    <w:p>
      <w:pPr>
        <w:pStyle w:val="null3"/>
      </w:pPr>
      <w:r>
        <w:rPr>
          <w:rFonts w:ascii="仿宋_GB2312" w:hAnsi="仿宋_GB2312" w:cs="仿宋_GB2312" w:eastAsia="仿宋_GB2312"/>
        </w:rPr>
        <w:t>采购包最高限价（元）: 947,921.20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姬家街道姬家村道路硬化及附属项目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947,921.20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标的名称：姬家街道姬家村道路硬化及附属项目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（一）工程内容：包括道路工程、管道工程。</w:t>
            </w:r>
          </w:p>
          <w:p>
            <w:pPr>
              <w:pStyle w:val="null3"/>
            </w:pPr>
            <w:r>
              <w:rPr>
                <w:rFonts w:ascii="仿宋_GB2312" w:hAnsi="仿宋_GB2312" w:cs="仿宋_GB2312" w:eastAsia="仿宋_GB2312"/>
              </w:rPr>
              <w:t>（二）工程地点：西安市高陵区姬家街道办事处。</w:t>
            </w:r>
          </w:p>
          <w:p>
            <w:pPr>
              <w:pStyle w:val="null3"/>
            </w:pPr>
            <w:r>
              <w:rPr>
                <w:rFonts w:ascii="仿宋_GB2312" w:hAnsi="仿宋_GB2312" w:cs="仿宋_GB2312" w:eastAsia="仿宋_GB2312"/>
              </w:rPr>
              <w:t>（三）计划工期：自进场之日起</w:t>
            </w:r>
            <w:r>
              <w:rPr>
                <w:rFonts w:ascii="仿宋_GB2312" w:hAnsi="仿宋_GB2312" w:cs="仿宋_GB2312" w:eastAsia="仿宋_GB2312"/>
              </w:rPr>
              <w:t>50个日历日内竣工。</w:t>
            </w:r>
          </w:p>
          <w:p>
            <w:pPr>
              <w:pStyle w:val="null3"/>
            </w:pPr>
            <w:r>
              <w:rPr>
                <w:rFonts w:ascii="仿宋_GB2312" w:hAnsi="仿宋_GB2312" w:cs="仿宋_GB2312" w:eastAsia="仿宋_GB2312"/>
              </w:rPr>
              <w:t>（四）缺陷责任期：</w:t>
            </w:r>
            <w:r>
              <w:rPr>
                <w:rFonts w:ascii="仿宋_GB2312" w:hAnsi="仿宋_GB2312" w:cs="仿宋_GB2312" w:eastAsia="仿宋_GB2312"/>
              </w:rPr>
              <w:t>24个⽉，⾃⼯程竣⼯验收合格之⽇起计算。</w:t>
            </w:r>
          </w:p>
          <w:p>
            <w:pPr>
              <w:pStyle w:val="null3"/>
            </w:pPr>
            <w:r>
              <w:rPr>
                <w:rFonts w:ascii="仿宋_GB2312" w:hAnsi="仿宋_GB2312" w:cs="仿宋_GB2312" w:eastAsia="仿宋_GB2312"/>
                <w:sz w:val="21"/>
              </w:rPr>
              <w:t>（五）质量保修期：</w:t>
            </w:r>
            <w:r>
              <w:rPr>
                <w:rFonts w:ascii="仿宋_GB2312" w:hAnsi="仿宋_GB2312" w:cs="仿宋_GB2312" w:eastAsia="仿宋_GB2312"/>
                <w:sz w:val="21"/>
              </w:rPr>
              <w:t>2年，其他见《建设工程质量管理条例》。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编制依据： 1、姬家街道姬家村道路硬化及附属项目项目施工图； 2、《陕西省建设工程工程量清单计价规则》及其配套计价文件; 4、与建设工程项目有关的标准、规范、图集、技术资料等； 5、正常施工组织设计及施工方法； 6、其他未尽事宜详见工程量清单。 7、供应商成交后应在领取成交通知书时，线下递交⼀正二副纸质版响应⽂件及电⼦版U盘1份（纸质⽂件双⾯打印胶装成册） 说明：二次报价时，在系统上填写总价后，需将二次广联达分项表在系统上传。磋商二次报价，采购内容无实质性变更的情况，不得超过第一次磋商报价，若供应商未提供分项报价表（工程量清单报价表），视为供应商分项报价表中所有报价（与二次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本项目专门面向中小企业采购（监狱企业及残疾人企业视为小、微企业）。仅限符合《政府采购促进中小企业发展暂行办法》（财库〔2020〕46 号）条件的中小企业参与，供应商应填写中小企业声明函并对真实性负责；若供应商为残疾人福利性单位的，提供《残疾人福利性单位声明函》；若供应商为监中小企业声明函残疾人福利性单位声明函 监狱企业的证明文件狱企业的，提供由省级以上监狱管理局、戒毒管理局（含新疆生产建设兵团）出具的属于监狱企业的证明文件。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具有独⽴承担⺠事责任能⼒的法⼈、其他组织或⾃然⼈，并出具合法有效的营业执照或事业单位法⼈证书等国家规定的相关证明，⾃然⼈参与的提供⾝份证书。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递交响应⽂件截⽌时间前6个⽉内⾄少⼀个⽉的纳税证明或完税证明(增值税、营业税、企业所得税⾄少提供⼀种)，纳税证明或完税证明上应有代收机构或税务机关的公章或业务专⽤章，（依法免税的供应商应提供相应⽂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递交响应⽂件截⽌时间前6个⽉内已缴存的⾄少⼀个⽉的社会保障资⾦缴存单据或社保机构开具的社会保险参保缴费情况证明，依法不需要缴纳社会保障资⾦的单位应提供相关证明材料。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递交响应⽂件截⽌时间三个⽉内其基本账⼾开⼾银⾏出具的资信证明或财政部⻔认可的政府采购专业担保机构出具的投标担保函(以上三种形式的资料提供任何⼀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参加政府采购活动前3年内，在经营活动中没有重⼤违法记录</w:t>
            </w:r>
          </w:p>
        </w:tc>
        <w:tc>
          <w:tcPr>
            <w:tcW w:type="dxa" w:w="3322"/>
          </w:tcPr>
          <w:p>
            <w:pPr>
              <w:pStyle w:val="null3"/>
            </w:pPr>
            <w:r>
              <w:rPr>
                <w:rFonts w:ascii="仿宋_GB2312" w:hAnsi="仿宋_GB2312" w:cs="仿宋_GB2312" w:eastAsia="仿宋_GB2312"/>
              </w:rPr>
              <w:t>参加政府采购活动前3年内，在经营活动中没有重⼤违法记录(提供书⾯声明）。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具有履⾏本合同所必需的设备和专业技术能⼒</w:t>
            </w:r>
          </w:p>
        </w:tc>
        <w:tc>
          <w:tcPr>
            <w:tcW w:type="dxa" w:w="3322"/>
          </w:tcPr>
          <w:p>
            <w:pPr>
              <w:pStyle w:val="null3"/>
            </w:pPr>
            <w:r>
              <w:rPr>
                <w:rFonts w:ascii="仿宋_GB2312" w:hAnsi="仿宋_GB2312" w:cs="仿宋_GB2312" w:eastAsia="仿宋_GB2312"/>
              </w:rPr>
              <w:t>提供具有履⾏本合同所必需的设备和专业技术能⼒的承诺(提供承诺书)。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法定代表⼈授权书(附法定代表⼈、被授权⼈⾝份证复印件)及被授权⼈⾝份证复印件(法定代表⼈直接参加的，须提供法定代表⼈⾝份证明及⾝份证复印件）:⾮法⼈单位参照执⾏。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信⽤信息</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供应商须具备建设⾏政主管部⻔颁发的市政公用工程施⼯总承包三级及以上资质，且具备合格有效的安全⽣产许可证。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拟派项⽬经理</w:t>
            </w:r>
          </w:p>
        </w:tc>
        <w:tc>
          <w:tcPr>
            <w:tcW w:type="dxa" w:w="3322"/>
          </w:tcPr>
          <w:p>
            <w:pPr>
              <w:pStyle w:val="null3"/>
            </w:pPr>
            <w:r>
              <w:rPr>
                <w:rFonts w:ascii="仿宋_GB2312" w:hAnsi="仿宋_GB2312" w:cs="仿宋_GB2312" w:eastAsia="仿宋_GB2312"/>
              </w:rPr>
              <w:t>拟派项⽬经理具备市政公用工程⼆级及以上注册建造师证、安全⽣产考核合格证(建安B证)、⽆在建⼯程承诺书(复印件加盖公章)。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单位负责⼈为同⼀⼈或者存在直接控股、管理关系的不同投标⼈，不得参加同⼀合同项下的政府采购活动。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本项⽬不接受联合体投标（提供承诺函）。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供应商类似项目业绩一览表 响应函 资格证明文件.docx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未含有法律、法规和磋商文件规定的其他无效投标情形。</w:t>
            </w:r>
          </w:p>
        </w:tc>
        <w:tc>
          <w:tcPr>
            <w:tcW w:type="dxa" w:w="1661"/>
          </w:tcPr>
          <w:p>
            <w:pPr>
              <w:pStyle w:val="null3"/>
            </w:pPr>
            <w:r>
              <w:rPr>
                <w:rFonts w:ascii="仿宋_GB2312" w:hAnsi="仿宋_GB2312" w:cs="仿宋_GB2312" w:eastAsia="仿宋_GB2312"/>
              </w:rPr>
              <w:t>响应文件封面 已标价工程量清单 残疾人福利性单位声明函 中小企业声明函 技术服务合同条款及其他商务要求应答表 供应商类似项目业绩一览表 响应函 资格证明文件.docx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根据供应商针对本项目的施工方案综合赋分： ①施工方案与本项目结合极为紧密，内容详细、完整、全面，所有措施针对性极强，完全适配项目施工特点与采购人需求，可行性极高；得6分； ②施工方案与本项目结合紧密，内容比较完善，措施针对性较强，能够较好适配项目施工特点与采购人需求，整体可行；得5分； ③施工方案与本项目结合较为紧密，内容基本完善，具备一定针对性，能够适配项目施工特点与采购人需求，较为科学合理；得4分； ④施工方案与本项目结合程度一般，内容不够详细，针对性不足，能够适配项目施工需求，可行性一般；得3分； ⑤施工方案与本项目结合不够紧密，内容简单不够完善，针对性差；得2分； ⑥施工方案与本项目有脱节，内容简单、多为行业内通用模板表述，无针对性；得1分； ⑦未提供施工方案，或方案完全未结合本项目实际情况，不符合项目需求；得0分；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根据供应商针对本项目质量保证措施综合赋分： ①充分了解本项目的施工情况及要求，质量保证措施详细完善、科学合理，具有较强地针对性，能够切实匹配本项目施工，满足项目施工及采购人相关要求；得6分； ②较为了解本项目的施工情况及要求，质量保证措施比较完善、科学合理，针对性较强，能够较好匹配本项目施工特点，较好满足项目施工及采购人相关要求；得5分； ③基本了解本项目的施工情况及要求，质量保证措施基本完善、整体合理，具有一定针对性，能够匹配本项目施工特点，基本满足项目施工及采购人相关要求；得4分； ④对本项目施工情况及要求了解程度一般，质量保证措施完整性有所欠缺，合理性基本达标，针对性不足，基本能够匹配本项目施工特点，勉强满足最低要求；得3分； ⑤对本项目施工情况及要求了解不足，质量保证措施较为粗略，合理性存在一定欠缺，针对性较弱，仅能勉强匹配本项目施工基本需求；得2分； ⑥对本项目施工情况及要求缺乏了解，质量保证措施仅为通用模板表述，无针对性，与本项目施工特点匹配度较差；得1分； ⑦未提供质量保证措施，或措施完全不符合本项目施工要求；得0分。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w:t>
            </w:r>
          </w:p>
        </w:tc>
        <w:tc>
          <w:tcPr>
            <w:tcW w:type="dxa" w:w="2492"/>
          </w:tcPr>
          <w:p>
            <w:pPr>
              <w:pStyle w:val="null3"/>
            </w:pPr>
            <w:r>
              <w:rPr>
                <w:rFonts w:ascii="仿宋_GB2312" w:hAnsi="仿宋_GB2312" w:cs="仿宋_GB2312" w:eastAsia="仿宋_GB2312"/>
              </w:rPr>
              <w:t>根据供应商针对本项目施工机械配备和材料投入计划综合赋分： ①施工机械配备数量充足，类别齐全，且符合本项目施工需求，机械设备投入计划详细完善，科学合理，能够清晰体现进场时间、施工部位等，具有相应完善的配套管理制度；材料投入计划清晰、合理，按施工进度节点列明各阶段主材的进场批次、数量、验收标准；明确机械备用方案和材料应急补货渠道，可应对工期延误风险；所有计划均匹配本项目工期要求和施工需求；得6分； ②施工机械配备数量较为充足、类别基本齐全，较好符合本项目施工需求；机械设备投入计划较为完善、合理，基本能够体现进场时间、施工部位等关键信息，配套管理制度较为完善；材料投入计划较为清晰合理，基本按施工进度节点列明各阶段主材的进场批次、数量、验收标准；基本明确机械备用方案和材料应急补货渠道，能够应对一般工期延误风险；所有计划均较好匹配本项目工期要求和施工需求；得5分 ； ③施工机械配备数量基本充足、类别覆盖核心需求，基本符合本项目施工需求；机械设备投入计划基本完善、整体合理，能够体现主要设备的进场时间、施工部位，配套管理制度基本健全；材料投入计划基本清晰合理，能够列明主要阶段主材的进场批次、数量、验收标准；具备基本的机械备用方案和材料应急补货渠道，基本能够应对工期延误风险；所有计划均基本匹配本项目工期要求和施工需求；得4分； ④施工机械配备数量和类别基本满足最低施工需求，机械设备投入计划完整性有所欠缺，进场时间、施工部位等信息不够明确，配套管理制度不够完善；材料投入计划合理性一般，仅列明主要主材的进场安排，批次、数量、验收标准不够细化；机械备用方案和材料应急补货渠道有所欠缺，应对工期延误风险的能力不足；计划基本能够匹配本项目工期和施工的最低要求；得3分； ⑤施工机械配备数量和类别仅能勉强满足最低施工需求，机械设备投入计划较为粗略，缺少进场时间、施工部位等关键信息，配套管理制度不完善；材料投入计划不够清晰，仅列明主要主材名称，缺少进场批次、数量、验收标准等内容；未明确机械备用方案和材料应急补货渠道，难以应对工期延误风险；计划匹配本项目工期和施工需求的程度较差；得2分； ⑥施工机械配备和材料投入计划仅为通用模板表述，未结合本项目实际情况编制，缺少具体配备数量、进场安排、管理制度等核心内容，与本项目施工需求匹配度差；得1分； ⑦未提供任何施工机械配备或材料投入计划，或计划完全与本项目属性不符；得0分。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供应商投入本项目所使用的施工主要材料中的产品属于政府采购优先采购范围的，则每有一项为环境标志产品的得1分，非环境标志产品的不得分。本项最多得2分。 注： 属于优先采购范围内的环境标志产品的，提供国家确定的认证机构出具的、处于有效期之内的环境标志产品认证证书复印件加盖供应商公章（鲜章）。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项⽬管理机构及项⽬部组成</w:t>
            </w:r>
          </w:p>
        </w:tc>
        <w:tc>
          <w:tcPr>
            <w:tcW w:type="dxa" w:w="2492"/>
          </w:tcPr>
          <w:p>
            <w:pPr>
              <w:pStyle w:val="null3"/>
            </w:pPr>
            <w:r>
              <w:rPr>
                <w:rFonts w:ascii="仿宋_GB2312" w:hAnsi="仿宋_GB2312" w:cs="仿宋_GB2312" w:eastAsia="仿宋_GB2312"/>
              </w:rPr>
              <w:t>评审内容：①人员配置情况（7分）： 项目管理架构清晰，关键岗位（项目经理、技术负责人、施工员、安全员、质量员、材料员、资料员）配置齐全的，得 7分；每缺 1 个关键岗位扣 1 分，扣完为止；未提供的得 0 分。②人员综合能力（5分） 拟派项目经理具备大专及以上学历得3分、具备相关专业中级及以上职称得2分。（提供相关证明材料）。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根据供应商针对本项目确保工期的保证措施综合赋分： ①充分了解本项目的施工工期及采购人相关要求，特别突出明确针对本项目工期紧、施工任务重的相应工期保证措施，措施详细完善、科学合理，具有较强地针对性，能够切实匹配本项目施工，满足项目施工及采购人相关要求；得8分； ②较为了解本项目的施工工期及采购人相关要求，针对本项目工期紧、施工任务重特点的专项工期保证措施比较完善、科学合理，针对性较强，能够较好匹配本项目施工特点，较好满足项目施工及采购人相关要求；得7分； ③基本了解本项目的施工工期及采购人相关要求，针对本项目工期紧、施工任务重特点的专项工期保证措施基本完善、整体合理，具有一定针对性，能够匹配本项目施工特点，基本满足项目施工及采购人相关要求；得6分； ④对本项目施工工期及采购人相关要求了解程度一般，针对工期紧、施工任务重特点的专项工期保证措施完整性有所欠缺，合理性基本达标，针对性不足，基本能够匹配本项目施工特点，勉强满足最低要求；得5分； ⑤对本项目施工工期及采购人相关要求了解不足，针对工期紧、施工任务重特点的专项工期保证措施较为粗略，合理性存在一定欠缺，针对性较弱，仅能勉强匹配本项目施工基本需求；得4分； ⑥对本项目施工工期及采购人相关要求了解较少，仅提及针对工期紧、施工任务重特点的少量专项措施，未形成完整体系，也未明确关键节点工期管控要求，匹配度一般；得3分； ⑦对本项目施工工期及采购人相关要求缺乏了解，仅提供通用工期保证措施，未针对工期紧、施工任务重特点制定专项措施，与本项目施工特点匹配度较差；得2分； ⑧仅承诺满足招标文件要求的总工期，未提供任何具体工期保证措施，无针对性；得1分； ⑨未提供任何工期保障相关措施或相关承诺内容；得0分。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根据供应商针对本项目确保安全生产的保证措施综合赋分： ①充分了解本项目的施工情况及要求，安全生产保证措施详细完善、科学合理，具有较强地针对性，能够切实匹配本项目施工，满足项目施工及采购人相关要求；得6分； ②较为了解本项目的施工情况及要求，安全生产保证措施比较完善、科学合理，针对性较强，能够较好匹配本项目施工特点，较好满足项目施工及采购人相关要求；得5分； ③基本了解本项目的施工情况及要求，安全生产保证措施基本完善、整体合理，具有一定针对性，能够匹配本项目施工特点，基本满足项目施工及采购人相关要求；得4分； ④对本项目施工情况及要求了解程度一般，安全生产保证措施完整性有所欠缺，合理性基本达标，针对性不足，基本能够匹配本项目施工特点，勉强满足最低要求；得3分； ⑤对本项目施工情况及要求了解不足，安全生产保证措施较为粗略，合理性存在一定欠缺，针对性较弱，仅能勉强匹配本项目施工基本需求；得2分； ⑥对本项目施工情况及要求缺乏了解，安全生产保证措施仅为通用模板表述，无针对性，与本项目施工特点匹配度较差；得1分； ⑦未提供任何安全生产相关措施，或措施完全与本项目属性不符；得0分。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文明施工保证措施</w:t>
            </w:r>
          </w:p>
        </w:tc>
        <w:tc>
          <w:tcPr>
            <w:tcW w:type="dxa" w:w="2492"/>
          </w:tcPr>
          <w:p>
            <w:pPr>
              <w:pStyle w:val="null3"/>
            </w:pPr>
            <w:r>
              <w:rPr>
                <w:rFonts w:ascii="仿宋_GB2312" w:hAnsi="仿宋_GB2312" w:cs="仿宋_GB2312" w:eastAsia="仿宋_GB2312"/>
              </w:rPr>
              <w:t>根据供应商针对本项目确保文明施工的保证措施及环境保护措施综合赋分： ①充分了解本项目的施工情况及采购人要求，文明施工及环境保护保证措施详细完善、科学合理，内容应涵盖（不限于）扬尘管控、噪声管控、建筑垃圾（含拆除垃圾）分类清运、污废水排放等内容，具有较强地针对性，能够切实匹配本项目施工，满足项目施工及采购人相关要求；得6分； ②较为了解本项目的施工情况及采购人要求，文明施工及环境保护保证措施比较完善、科学合理，基本覆盖扬尘管控、噪声管控、建筑垃圾（含拆除垃圾）分类清运、污废水排放等核心内容，针对性较强，能够较好匹配本项目施工特点，较好满足项目施工及采购人相关要求；得5分； ③基本了解本项目的施工情况及采购人要求，文明施工及环境保护保证措施基本完善、整体合理，覆盖大部分扬尘管控、噪声管控、建筑垃圾（含拆除垃圾）分类清运、污废水排放等核心内容，具有一定针对性，能够匹配本项目施工特点，基本满足项目施工及采购人相关要求；得4分； ④对本项目施工情况及采购人要求了解程度一般，文明施工及环境保护保证措施完整性有所欠缺，仅覆盖部分扬尘管控、噪声管控、建筑垃圾（含拆除垃圾）分类清运、污废水排放等核心内容，合理性基本达标，针对性不足，基本能够匹配本项目施工特点，勉强满足最低要求；得3分； ⑤对本项目施工情况及采购人要求了解不足，文明施工及环境保护保证措施较为粗略，仅覆盖少量扬尘管控、噪声管控、建筑垃圾（含拆除垃圾）分类清运、污废水排放等核心内容，合理性存在一定欠缺，针对性较弱，仅能勉强匹配本项目施工基本需求；得2分； ⑥对本项目施工情况及采购人要求缺乏了解，文明施工及环境保护保证措施仅为通用模板表述，基本未覆盖扬尘管控、噪声管控、建筑垃圾（含拆除垃圾）分类清运、污废水排放等核心内容，无针对性，与本项目施工特点匹配度较差；得1分； ⑦未提供任何文明施工与环境保护相关措施，或措施完全与本项目属性不符；得0分。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供应商具有 2023 年 1月至今的类似业绩（以合同签订时间为准），每提供一个得 3分，满分12 分。 评审依据：以响应文件中附的加盖公章的合同或中标/成交通知书复印件为准。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供应商应提供自2023年1月1日以来至今（时间以合同签订时间为准）完成类似业绩证明材料，提供1项有效业绩证明材料的复印件或扫描件得3分,本项最高得6分，未提供的不得分。 评审依据：提供合同或中标通知书，且须体现项目经理姓名，未体现不予赋分。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件,其磋商报价为有效投标价。2、满⾜磋商⽂件实质性要求且最后报价最低的供应商的价格为磋商基准价，其价格分为满分30分。3、其他供应商的价格分统⼀按照下列公式计算:磋商报价得分=(磋商基准价/有效最终磋商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