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A0F892">
      <w:pPr>
        <w:widowControl/>
        <w:jc w:val="center"/>
        <w:rPr>
          <w:rFonts w:hint="eastAsia" w:ascii="仿宋" w:hAnsi="仿宋" w:eastAsia="仿宋"/>
          <w:b/>
          <w:sz w:val="32"/>
          <w:szCs w:val="32"/>
        </w:rPr>
      </w:pPr>
      <w:r>
        <w:rPr>
          <w:rFonts w:hint="eastAsia" w:ascii="仿宋" w:hAnsi="仿宋" w:eastAsia="仿宋"/>
          <w:b/>
          <w:sz w:val="32"/>
          <w:szCs w:val="32"/>
        </w:rPr>
        <w:t>西安市阎良区农业技术推广中心</w:t>
      </w:r>
    </w:p>
    <w:p w14:paraId="6932FFE4">
      <w:pPr>
        <w:widowControl/>
        <w:jc w:val="center"/>
        <w:rPr>
          <w:rFonts w:hint="eastAsia" w:ascii="仿宋" w:hAnsi="仿宋" w:eastAsia="仿宋"/>
          <w:b/>
          <w:sz w:val="32"/>
          <w:szCs w:val="32"/>
          <w:lang w:val="en-US"/>
        </w:rPr>
      </w:pPr>
      <w:r>
        <w:rPr>
          <w:rFonts w:hint="eastAsia" w:ascii="仿宋" w:hAnsi="仿宋" w:eastAsia="仿宋"/>
          <w:b/>
          <w:sz w:val="32"/>
          <w:szCs w:val="32"/>
          <w:lang w:eastAsia="zh-CN"/>
        </w:rPr>
        <w:t>市财函(2026)446号2026年部级粮油生产保障资金(阎良区小麦一喷三防补助)项目</w:t>
      </w:r>
      <w:r>
        <w:rPr>
          <w:rFonts w:hint="eastAsia" w:ascii="仿宋" w:hAnsi="仿宋" w:eastAsia="仿宋"/>
          <w:b/>
          <w:sz w:val="32"/>
          <w:szCs w:val="32"/>
          <w:lang w:val="en-US" w:eastAsia="zh-CN"/>
        </w:rPr>
        <w:t>采购需求书</w:t>
      </w:r>
    </w:p>
    <w:tbl>
      <w:tblPr>
        <w:tblStyle w:val="8"/>
        <w:tblW w:w="93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689"/>
        <w:gridCol w:w="1556"/>
        <w:gridCol w:w="7067"/>
      </w:tblGrid>
      <w:tr w14:paraId="7C84E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5B94FA0E">
            <w:pPr>
              <w:snapToGrid w:val="0"/>
              <w:rPr>
                <w:rFonts w:ascii="宋体" w:hAnsi="宋体"/>
                <w:b/>
                <w:color w:val="000000"/>
                <w:sz w:val="24"/>
              </w:rPr>
            </w:pPr>
            <w:r>
              <w:rPr>
                <w:rFonts w:hint="eastAsia" w:ascii="宋体" w:hAnsi="宋体"/>
                <w:b/>
                <w:color w:val="000000"/>
                <w:sz w:val="28"/>
                <w:szCs w:val="28"/>
                <w:lang w:val="zh-CN"/>
              </w:rPr>
              <w:t>序号</w:t>
            </w:r>
          </w:p>
        </w:tc>
        <w:tc>
          <w:tcPr>
            <w:tcW w:w="1556" w:type="dxa"/>
            <w:vAlign w:val="center"/>
          </w:tcPr>
          <w:p w14:paraId="654DC588">
            <w:pPr>
              <w:pStyle w:val="32"/>
              <w:ind w:left="38"/>
              <w:jc w:val="center"/>
              <w:rPr>
                <w:b/>
                <w:color w:val="000000"/>
                <w:kern w:val="2"/>
                <w:lang w:val="zh-CN"/>
              </w:rPr>
            </w:pPr>
            <w:r>
              <w:rPr>
                <w:rFonts w:hint="eastAsia"/>
                <w:b/>
                <w:color w:val="000000"/>
                <w:kern w:val="2"/>
                <w:sz w:val="28"/>
                <w:szCs w:val="28"/>
                <w:lang w:val="zh-CN"/>
              </w:rPr>
              <w:t>关键事项</w:t>
            </w:r>
          </w:p>
        </w:tc>
        <w:tc>
          <w:tcPr>
            <w:tcW w:w="7067" w:type="dxa"/>
            <w:vAlign w:val="center"/>
          </w:tcPr>
          <w:p w14:paraId="36BB7C80">
            <w:pPr>
              <w:pStyle w:val="32"/>
              <w:jc w:val="center"/>
              <w:rPr>
                <w:b/>
                <w:color w:val="000000"/>
                <w:kern w:val="2"/>
                <w:lang w:val="zh-CN"/>
              </w:rPr>
            </w:pPr>
            <w:r>
              <w:rPr>
                <w:rFonts w:hint="eastAsia"/>
                <w:b/>
                <w:color w:val="000000"/>
                <w:kern w:val="2"/>
                <w:sz w:val="28"/>
                <w:szCs w:val="28"/>
                <w:lang w:val="zh-CN"/>
              </w:rPr>
              <w:t>说明和要求</w:t>
            </w:r>
          </w:p>
        </w:tc>
      </w:tr>
      <w:tr w14:paraId="3FF4B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4E274773">
            <w:pPr>
              <w:snapToGrid w:val="0"/>
              <w:spacing w:after="200"/>
              <w:jc w:val="center"/>
              <w:rPr>
                <w:rFonts w:ascii="宋体" w:hAnsi="宋体"/>
                <w:bCs/>
                <w:color w:val="000000"/>
                <w:sz w:val="28"/>
                <w:szCs w:val="28"/>
                <w:lang w:val="zh-CN"/>
              </w:rPr>
            </w:pPr>
            <w:r>
              <w:rPr>
                <w:rFonts w:ascii="宋体" w:hAnsi="宋体"/>
                <w:bCs/>
                <w:color w:val="000000"/>
                <w:sz w:val="28"/>
                <w:szCs w:val="28"/>
                <w:lang w:val="zh-CN"/>
              </w:rPr>
              <w:t>1</w:t>
            </w:r>
          </w:p>
        </w:tc>
        <w:tc>
          <w:tcPr>
            <w:tcW w:w="1556" w:type="dxa"/>
            <w:vAlign w:val="center"/>
          </w:tcPr>
          <w:p w14:paraId="0DBF1015">
            <w:pPr>
              <w:pStyle w:val="32"/>
              <w:ind w:left="38"/>
              <w:jc w:val="center"/>
              <w:rPr>
                <w:bCs/>
                <w:color w:val="000000"/>
                <w:kern w:val="2"/>
                <w:lang w:val="zh-CN"/>
              </w:rPr>
            </w:pPr>
            <w:r>
              <w:rPr>
                <w:rFonts w:hint="eastAsia"/>
                <w:bCs/>
                <w:color w:val="000000"/>
                <w:kern w:val="2"/>
                <w:lang w:val="zh-CN"/>
              </w:rPr>
              <w:t>采购预算</w:t>
            </w:r>
          </w:p>
        </w:tc>
        <w:tc>
          <w:tcPr>
            <w:tcW w:w="7067" w:type="dxa"/>
            <w:vAlign w:val="center"/>
          </w:tcPr>
          <w:p w14:paraId="53A3CED6">
            <w:pPr>
              <w:pStyle w:val="32"/>
              <w:jc w:val="both"/>
              <w:rPr>
                <w:b/>
                <w:color w:val="000000"/>
                <w:kern w:val="2"/>
                <w:lang w:val="zh-CN"/>
              </w:rPr>
            </w:pPr>
            <w:r>
              <w:rPr>
                <w:rFonts w:hint="eastAsia"/>
                <w:b/>
                <w:color w:val="000000"/>
                <w:kern w:val="2"/>
                <w:lang w:val="zh-CN"/>
              </w:rPr>
              <w:t>人民币</w:t>
            </w:r>
            <w:r>
              <w:rPr>
                <w:b/>
                <w:color w:val="000000"/>
                <w:kern w:val="2"/>
                <w:u w:val="single"/>
                <w:lang w:val="zh-CN"/>
              </w:rPr>
              <w:t>_</w:t>
            </w:r>
            <w:r>
              <w:rPr>
                <w:rFonts w:hint="eastAsia"/>
                <w:b/>
                <w:color w:val="000000"/>
                <w:kern w:val="2"/>
                <w:u w:val="single"/>
                <w:lang w:val="en-US" w:eastAsia="zh-CN"/>
              </w:rPr>
              <w:t>630000</w:t>
            </w:r>
            <w:r>
              <w:rPr>
                <w:b/>
                <w:color w:val="000000"/>
                <w:kern w:val="2"/>
                <w:u w:val="single"/>
                <w:lang w:val="zh-CN"/>
              </w:rPr>
              <w:t>_</w:t>
            </w:r>
            <w:r>
              <w:rPr>
                <w:rFonts w:hint="eastAsia"/>
                <w:b/>
                <w:color w:val="000000"/>
                <w:kern w:val="2"/>
                <w:lang w:val="zh-CN"/>
              </w:rPr>
              <w:t>元</w:t>
            </w:r>
          </w:p>
          <w:p w14:paraId="2AD520CB">
            <w:pPr>
              <w:pStyle w:val="32"/>
              <w:jc w:val="both"/>
              <w:rPr>
                <w:bCs/>
                <w:color w:val="000000"/>
                <w:kern w:val="2"/>
                <w:lang w:val="zh-CN"/>
              </w:rPr>
            </w:pPr>
            <w:r>
              <w:rPr>
                <w:rFonts w:hint="eastAsia"/>
                <w:bCs/>
                <w:color w:val="000000"/>
                <w:kern w:val="2"/>
                <w:sz w:val="21"/>
                <w:szCs w:val="21"/>
                <w:lang w:val="zh-CN"/>
              </w:rPr>
              <w:t>仅指与本次采购标的直接相关的费用，前期勘察费、设计费等已发生的费用，以及监理费、接口费等为未来预留费用，不应当包含在本项目采购预算内，甲方须向本级财政部门经费业务处室申请办理经费剥离手续。</w:t>
            </w:r>
          </w:p>
        </w:tc>
      </w:tr>
      <w:tr w14:paraId="2CFD1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272A9D99">
            <w:pPr>
              <w:snapToGrid w:val="0"/>
              <w:spacing w:after="200"/>
              <w:jc w:val="center"/>
              <w:rPr>
                <w:rFonts w:ascii="宋体" w:hAnsi="宋体"/>
                <w:bCs/>
                <w:color w:val="000000"/>
                <w:sz w:val="28"/>
                <w:szCs w:val="28"/>
                <w:lang w:val="zh-CN"/>
              </w:rPr>
            </w:pPr>
            <w:r>
              <w:rPr>
                <w:rFonts w:ascii="宋体" w:hAnsi="宋体"/>
                <w:bCs/>
                <w:color w:val="000000"/>
                <w:sz w:val="28"/>
                <w:szCs w:val="28"/>
                <w:lang w:val="zh-CN"/>
              </w:rPr>
              <w:t>2</w:t>
            </w:r>
          </w:p>
        </w:tc>
        <w:tc>
          <w:tcPr>
            <w:tcW w:w="1556" w:type="dxa"/>
            <w:vAlign w:val="center"/>
          </w:tcPr>
          <w:p w14:paraId="5417C40A">
            <w:pPr>
              <w:pStyle w:val="32"/>
              <w:ind w:left="38"/>
              <w:jc w:val="center"/>
              <w:rPr>
                <w:bCs/>
                <w:color w:val="000000"/>
                <w:kern w:val="2"/>
                <w:lang w:val="zh-CN"/>
              </w:rPr>
            </w:pPr>
            <w:r>
              <w:rPr>
                <w:rFonts w:hint="eastAsia"/>
                <w:bCs/>
                <w:color w:val="000000"/>
                <w:kern w:val="2"/>
                <w:lang w:val="zh-CN"/>
              </w:rPr>
              <w:t>最高限价</w:t>
            </w:r>
          </w:p>
        </w:tc>
        <w:tc>
          <w:tcPr>
            <w:tcW w:w="7067" w:type="dxa"/>
            <w:vAlign w:val="center"/>
          </w:tcPr>
          <w:p w14:paraId="4194D92A">
            <w:pPr>
              <w:pStyle w:val="32"/>
              <w:jc w:val="both"/>
              <w:rPr>
                <w:b/>
                <w:color w:val="000000"/>
                <w:kern w:val="2"/>
                <w:lang w:val="zh-CN"/>
              </w:rPr>
            </w:pPr>
            <w:r>
              <w:rPr>
                <w:rFonts w:hint="eastAsia"/>
                <w:b/>
                <w:color w:val="000000"/>
                <w:kern w:val="2"/>
                <w:lang w:val="zh-CN"/>
              </w:rPr>
              <w:t>人民币</w:t>
            </w:r>
            <w:r>
              <w:rPr>
                <w:rFonts w:hint="eastAsia"/>
                <w:b/>
                <w:color w:val="000000"/>
                <w:kern w:val="2"/>
                <w:u w:val="single"/>
                <w:lang w:val="en-US" w:eastAsia="zh-CN"/>
              </w:rPr>
              <w:t>630000</w:t>
            </w:r>
            <w:r>
              <w:rPr>
                <w:rFonts w:hint="eastAsia"/>
                <w:b/>
                <w:color w:val="000000"/>
                <w:kern w:val="2"/>
                <w:lang w:val="zh-CN"/>
              </w:rPr>
              <w:t>元</w:t>
            </w:r>
          </w:p>
          <w:p w14:paraId="4F2AFCAA">
            <w:pPr>
              <w:pStyle w:val="32"/>
              <w:ind w:left="38"/>
              <w:jc w:val="both"/>
              <w:rPr>
                <w:bCs/>
                <w:color w:val="000000"/>
                <w:kern w:val="2"/>
                <w:lang w:val="zh-CN"/>
              </w:rPr>
            </w:pPr>
            <w:r>
              <w:rPr>
                <w:rFonts w:hint="eastAsia"/>
                <w:bCs/>
                <w:color w:val="000000"/>
                <w:kern w:val="2"/>
                <w:sz w:val="21"/>
                <w:szCs w:val="21"/>
                <w:lang w:val="zh-CN"/>
              </w:rPr>
              <w:t>供应商投标报价高于最高限价的则其投标文件将按无效投标文件处理。</w:t>
            </w:r>
          </w:p>
        </w:tc>
      </w:tr>
      <w:tr w14:paraId="0974F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restart"/>
            <w:vAlign w:val="center"/>
          </w:tcPr>
          <w:p w14:paraId="1BCCF855">
            <w:pPr>
              <w:snapToGrid w:val="0"/>
              <w:spacing w:after="200"/>
              <w:jc w:val="center"/>
              <w:rPr>
                <w:rFonts w:ascii="宋体" w:hAnsi="宋体"/>
                <w:bCs/>
                <w:color w:val="000000"/>
                <w:sz w:val="28"/>
                <w:szCs w:val="28"/>
                <w:lang w:val="zh-CN"/>
              </w:rPr>
            </w:pPr>
            <w:r>
              <w:rPr>
                <w:rFonts w:ascii="宋体" w:hAnsi="宋体"/>
                <w:bCs/>
                <w:color w:val="000000"/>
                <w:sz w:val="28"/>
                <w:szCs w:val="28"/>
                <w:lang w:val="zh-CN"/>
              </w:rPr>
              <w:t>3</w:t>
            </w:r>
          </w:p>
        </w:tc>
        <w:tc>
          <w:tcPr>
            <w:tcW w:w="1556" w:type="dxa"/>
            <w:vMerge w:val="restart"/>
            <w:vAlign w:val="center"/>
          </w:tcPr>
          <w:p w14:paraId="5760ABDD">
            <w:pPr>
              <w:pStyle w:val="32"/>
              <w:ind w:left="38"/>
              <w:jc w:val="center"/>
              <w:rPr>
                <w:bCs/>
                <w:color w:val="FF0000"/>
                <w:kern w:val="2"/>
                <w:lang w:val="zh-CN"/>
              </w:rPr>
            </w:pPr>
            <w:r>
              <w:rPr>
                <w:rFonts w:hint="eastAsia"/>
                <w:bCs/>
                <w:color w:val="auto"/>
                <w:kern w:val="2"/>
                <w:lang w:val="zh-CN"/>
              </w:rPr>
              <w:t>项目性质</w:t>
            </w:r>
          </w:p>
        </w:tc>
        <w:tc>
          <w:tcPr>
            <w:tcW w:w="7067" w:type="dxa"/>
            <w:vAlign w:val="center"/>
          </w:tcPr>
          <w:p w14:paraId="2EEBCFAC">
            <w:pPr>
              <w:pStyle w:val="32"/>
              <w:jc w:val="both"/>
              <w:rPr>
                <w:b/>
                <w:color w:val="auto"/>
                <w:kern w:val="2"/>
                <w:lang w:val="zh-CN"/>
              </w:rPr>
            </w:pPr>
            <w:r>
              <w:rPr>
                <w:rFonts w:hint="eastAsia"/>
                <w:b/>
                <w:color w:val="auto"/>
                <w:lang w:val="zh-CN"/>
              </w:rPr>
              <w:t>√</w:t>
            </w:r>
            <w:r>
              <w:rPr>
                <w:rFonts w:hint="eastAsia"/>
                <w:b/>
                <w:color w:val="auto"/>
                <w:kern w:val="2"/>
                <w:lang w:val="zh-CN"/>
              </w:rPr>
              <w:t>专门面向中小企业采购</w:t>
            </w:r>
          </w:p>
          <w:p w14:paraId="7374079F">
            <w:pPr>
              <w:pStyle w:val="32"/>
              <w:ind w:left="38"/>
              <w:jc w:val="both"/>
              <w:rPr>
                <w:bCs/>
                <w:color w:val="auto"/>
                <w:kern w:val="2"/>
                <w:lang w:val="zh-CN"/>
              </w:rPr>
            </w:pPr>
            <w:r>
              <w:rPr>
                <w:rFonts w:hint="eastAsia"/>
                <w:bCs/>
                <w:color w:val="auto"/>
                <w:kern w:val="2"/>
                <w:sz w:val="21"/>
                <w:szCs w:val="21"/>
                <w:lang w:val="zh-CN"/>
              </w:rPr>
              <w:t>仅允许中小企业或小型、微型企业参与投标。</w:t>
            </w:r>
          </w:p>
        </w:tc>
      </w:tr>
      <w:tr w14:paraId="43CF0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continue"/>
            <w:vAlign w:val="center"/>
          </w:tcPr>
          <w:p w14:paraId="3ABA6E91">
            <w:pPr>
              <w:snapToGrid w:val="0"/>
              <w:spacing w:after="200"/>
              <w:ind w:left="142"/>
              <w:jc w:val="center"/>
              <w:rPr>
                <w:rFonts w:ascii="宋体" w:hAnsi="宋体"/>
                <w:bCs/>
                <w:color w:val="000000"/>
                <w:sz w:val="28"/>
                <w:szCs w:val="28"/>
                <w:lang w:val="zh-CN"/>
              </w:rPr>
            </w:pPr>
          </w:p>
        </w:tc>
        <w:tc>
          <w:tcPr>
            <w:tcW w:w="1556" w:type="dxa"/>
            <w:vMerge w:val="continue"/>
            <w:vAlign w:val="center"/>
          </w:tcPr>
          <w:p w14:paraId="325934E4">
            <w:pPr>
              <w:pStyle w:val="32"/>
              <w:ind w:left="96"/>
              <w:jc w:val="center"/>
              <w:rPr>
                <w:bCs/>
                <w:color w:val="FF0000"/>
                <w:kern w:val="2"/>
                <w:lang w:val="zh-CN"/>
              </w:rPr>
            </w:pPr>
          </w:p>
        </w:tc>
        <w:tc>
          <w:tcPr>
            <w:tcW w:w="7067" w:type="dxa"/>
            <w:vAlign w:val="center"/>
          </w:tcPr>
          <w:p w14:paraId="54FD055E">
            <w:pPr>
              <w:rPr>
                <w:rFonts w:hint="eastAsia" w:ascii="宋体" w:hAnsi="宋体" w:cs="宋体"/>
                <w:b/>
                <w:color w:val="auto"/>
                <w:sz w:val="24"/>
                <w:szCs w:val="24"/>
                <w:lang w:val="zh-CN"/>
              </w:rPr>
            </w:pPr>
            <w:r>
              <w:rPr>
                <w:rFonts w:ascii="宋体" w:hAnsi="宋体" w:cs="宋体"/>
                <w:b/>
                <w:color w:val="auto"/>
                <w:sz w:val="24"/>
                <w:szCs w:val="24"/>
                <w:lang w:val="zh-CN"/>
              </w:rPr>
              <w:t>○</w:t>
            </w:r>
            <w:r>
              <w:rPr>
                <w:rFonts w:hint="eastAsia" w:ascii="宋体" w:hAnsi="宋体" w:cs="宋体"/>
                <w:b/>
                <w:color w:val="auto"/>
                <w:sz w:val="24"/>
                <w:szCs w:val="24"/>
                <w:lang w:val="zh-CN"/>
              </w:rPr>
              <w:t>非专门面向中小企业采购</w:t>
            </w:r>
          </w:p>
          <w:p w14:paraId="515BBA64">
            <w:pPr>
              <w:rPr>
                <w:rFonts w:ascii="宋体" w:hAnsi="宋体" w:cs="宋体"/>
                <w:b/>
                <w:color w:val="auto"/>
                <w:sz w:val="24"/>
                <w:szCs w:val="24"/>
                <w:lang w:val="zh-CN"/>
              </w:rPr>
            </w:pPr>
            <w:r>
              <w:rPr>
                <w:rFonts w:hint="eastAsia" w:ascii="宋体" w:hAnsi="宋体" w:cs="宋体"/>
                <w:bCs/>
                <w:color w:val="auto"/>
                <w:kern w:val="0"/>
                <w:szCs w:val="21"/>
                <w:lang w:val="zh-CN"/>
              </w:rPr>
              <w:t>对符合《财政部关于进一步加大政府采购支持中小企业力度的通知》（财库〔2022〕19号）规定的小微企业（监狱企业视同小型、微型企业）的报价</w:t>
            </w:r>
            <w:r>
              <w:rPr>
                <w:rFonts w:hint="eastAsia" w:ascii="宋体" w:hAnsi="宋体" w:cs="宋体"/>
                <w:b/>
                <w:color w:val="auto"/>
                <w:kern w:val="0"/>
                <w:szCs w:val="21"/>
                <w:lang w:val="zh-CN"/>
              </w:rPr>
              <w:t>给予___%（10%-20</w:t>
            </w:r>
            <w:r>
              <w:rPr>
                <w:rFonts w:ascii="宋体" w:hAnsi="宋体" w:cs="宋体"/>
                <w:b/>
                <w:color w:val="auto"/>
                <w:kern w:val="0"/>
                <w:szCs w:val="21"/>
                <w:lang w:val="zh-CN"/>
              </w:rPr>
              <w:t>%</w:t>
            </w:r>
            <w:r>
              <w:rPr>
                <w:rFonts w:hint="eastAsia" w:ascii="宋体" w:hAnsi="宋体" w:cs="宋体"/>
                <w:b/>
                <w:color w:val="auto"/>
                <w:kern w:val="0"/>
                <w:szCs w:val="21"/>
                <w:lang w:val="zh-CN"/>
              </w:rPr>
              <w:t>）的扣除</w:t>
            </w:r>
            <w:r>
              <w:rPr>
                <w:rFonts w:hint="eastAsia" w:ascii="宋体" w:hAnsi="宋体" w:cs="宋体"/>
                <w:bCs/>
                <w:color w:val="auto"/>
                <w:kern w:val="0"/>
                <w:szCs w:val="21"/>
                <w:lang w:val="zh-CN"/>
              </w:rPr>
              <w:t>，用扣除后的价格参加评审。</w:t>
            </w:r>
          </w:p>
        </w:tc>
      </w:tr>
      <w:tr w14:paraId="5274C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2D64455D">
            <w:pPr>
              <w:snapToGrid w:val="0"/>
              <w:spacing w:after="200"/>
              <w:jc w:val="center"/>
              <w:rPr>
                <w:rFonts w:ascii="宋体" w:hAnsi="宋体"/>
                <w:bCs/>
                <w:color w:val="000000"/>
                <w:sz w:val="24"/>
              </w:rPr>
            </w:pPr>
            <w:r>
              <w:rPr>
                <w:rFonts w:ascii="宋体" w:hAnsi="宋体"/>
                <w:bCs/>
                <w:color w:val="000000"/>
                <w:sz w:val="24"/>
              </w:rPr>
              <w:t>4</w:t>
            </w:r>
          </w:p>
        </w:tc>
        <w:tc>
          <w:tcPr>
            <w:tcW w:w="1556" w:type="dxa"/>
            <w:vAlign w:val="center"/>
          </w:tcPr>
          <w:p w14:paraId="5E8F541A">
            <w:pPr>
              <w:pStyle w:val="32"/>
              <w:ind w:left="96"/>
              <w:jc w:val="center"/>
              <w:rPr>
                <w:bCs/>
                <w:color w:val="000000"/>
                <w:kern w:val="2"/>
                <w:lang w:val="zh-CN"/>
              </w:rPr>
            </w:pPr>
            <w:r>
              <w:rPr>
                <w:bCs/>
                <w:color w:val="000000"/>
                <w:kern w:val="2"/>
                <w:lang w:val="zh-CN"/>
              </w:rPr>
              <w:t>对供应商的</w:t>
            </w:r>
            <w:r>
              <w:rPr>
                <w:bCs/>
                <w:color w:val="000000"/>
                <w:kern w:val="2"/>
                <w:lang w:val="zh-CN"/>
              </w:rPr>
              <w:br w:type="textWrapping"/>
            </w:r>
            <w:r>
              <w:rPr>
                <w:bCs/>
                <w:color w:val="000000"/>
                <w:kern w:val="2"/>
                <w:lang w:val="zh-CN"/>
              </w:rPr>
              <w:t>资格要求</w:t>
            </w:r>
          </w:p>
        </w:tc>
        <w:tc>
          <w:tcPr>
            <w:tcW w:w="7067" w:type="dxa"/>
            <w:vAlign w:val="center"/>
          </w:tcPr>
          <w:p w14:paraId="7F1BD297">
            <w:pPr>
              <w:pStyle w:val="32"/>
              <w:jc w:val="both"/>
              <w:rPr>
                <w:b/>
                <w:color w:val="000000"/>
                <w:kern w:val="2"/>
                <w:lang w:val="zh-CN"/>
              </w:rPr>
            </w:pPr>
            <w:r>
              <w:rPr>
                <w:rFonts w:hint="eastAsia"/>
                <w:b/>
                <w:color w:val="000000"/>
                <w:kern w:val="2"/>
                <w:lang w:val="zh-CN"/>
              </w:rPr>
              <w:t>1、_</w:t>
            </w:r>
            <w:r>
              <w:rPr>
                <w:rFonts w:hint="eastAsia"/>
                <w:b/>
                <w:kern w:val="2"/>
                <w:u w:val="single"/>
                <w:lang w:val="zh-CN"/>
              </w:rPr>
              <w:t>满足《中华人民共和国政府采购法》第二十二条规定</w:t>
            </w:r>
          </w:p>
          <w:p w14:paraId="5E2378A6">
            <w:pPr>
              <w:pStyle w:val="32"/>
              <w:jc w:val="both"/>
              <w:rPr>
                <w:bCs/>
                <w:color w:val="000000"/>
                <w:kern w:val="2"/>
                <w:lang w:val="zh-CN"/>
              </w:rPr>
            </w:pPr>
            <w:r>
              <w:rPr>
                <w:rFonts w:hint="eastAsia"/>
                <w:b/>
                <w:color w:val="000000"/>
                <w:kern w:val="2"/>
                <w:lang w:val="zh-CN"/>
              </w:rPr>
              <w:t>2、</w:t>
            </w:r>
            <w:r>
              <w:rPr>
                <w:rFonts w:hint="eastAsia"/>
                <w:b/>
                <w:kern w:val="2"/>
                <w:u w:val="single"/>
                <w:lang w:val="zh-CN"/>
              </w:rPr>
              <w:t>针对本项目特定的资格要求</w:t>
            </w:r>
            <w:r>
              <w:rPr>
                <w:rFonts w:hint="eastAsia"/>
                <w:bCs/>
                <w:color w:val="000000"/>
                <w:kern w:val="2"/>
                <w:lang w:val="zh-CN"/>
              </w:rPr>
              <w:t>__</w:t>
            </w:r>
          </w:p>
          <w:p w14:paraId="47EFA04A">
            <w:pPr>
              <w:pStyle w:val="32"/>
              <w:jc w:val="both"/>
              <w:rPr>
                <w:bCs/>
                <w:color w:val="000000"/>
                <w:kern w:val="2"/>
                <w:lang w:val="zh-CN"/>
              </w:rPr>
            </w:pPr>
            <w:r>
              <w:rPr>
                <w:rFonts w:hint="eastAsia"/>
                <w:bCs/>
                <w:color w:val="000000"/>
                <w:kern w:val="2"/>
                <w:sz w:val="21"/>
                <w:szCs w:val="21"/>
                <w:lang w:val="zh-CN"/>
              </w:rPr>
              <w:t>根据《政府采购促进中小企业发展管理办法》（财库〔2020〕46号）的规定,不得以企业注册资本、资产总额、营业收入、从业人员、利润、纳税额等规模条件和财务指标作为供应商的资格要求或者评审因素，不得在企业股权结构、经营年限等方面对中小企业实行差别待遇或者歧视待遇。</w:t>
            </w:r>
          </w:p>
        </w:tc>
      </w:tr>
      <w:tr w14:paraId="1413A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restart"/>
            <w:vAlign w:val="center"/>
          </w:tcPr>
          <w:p w14:paraId="2781735F">
            <w:pPr>
              <w:snapToGrid w:val="0"/>
              <w:spacing w:after="200"/>
              <w:jc w:val="center"/>
              <w:rPr>
                <w:rFonts w:ascii="宋体" w:hAnsi="宋体"/>
                <w:bCs/>
                <w:color w:val="000000"/>
                <w:sz w:val="24"/>
              </w:rPr>
            </w:pPr>
            <w:r>
              <w:rPr>
                <w:rFonts w:ascii="宋体" w:hAnsi="宋体"/>
                <w:bCs/>
                <w:color w:val="000000"/>
                <w:sz w:val="24"/>
              </w:rPr>
              <w:t>5</w:t>
            </w:r>
          </w:p>
        </w:tc>
        <w:tc>
          <w:tcPr>
            <w:tcW w:w="1556" w:type="dxa"/>
            <w:vMerge w:val="restart"/>
            <w:vAlign w:val="center"/>
          </w:tcPr>
          <w:p w14:paraId="75F6B5CD">
            <w:pPr>
              <w:pStyle w:val="32"/>
              <w:ind w:left="96"/>
              <w:jc w:val="center"/>
              <w:rPr>
                <w:bCs/>
                <w:color w:val="000000"/>
                <w:kern w:val="2"/>
                <w:lang w:val="zh-CN"/>
              </w:rPr>
            </w:pPr>
            <w:r>
              <w:rPr>
                <w:bCs/>
                <w:color w:val="000000"/>
                <w:kern w:val="2"/>
                <w:lang w:val="zh-CN"/>
              </w:rPr>
              <w:t>是否允许</w:t>
            </w:r>
            <w:r>
              <w:rPr>
                <w:bCs/>
                <w:color w:val="000000"/>
                <w:kern w:val="2"/>
                <w:lang w:val="zh-CN"/>
              </w:rPr>
              <w:br w:type="textWrapping"/>
            </w:r>
            <w:r>
              <w:rPr>
                <w:bCs/>
                <w:color w:val="000000"/>
                <w:kern w:val="2"/>
                <w:lang w:val="zh-CN"/>
              </w:rPr>
              <w:t>进口产品</w:t>
            </w:r>
          </w:p>
        </w:tc>
        <w:tc>
          <w:tcPr>
            <w:tcW w:w="7067" w:type="dxa"/>
            <w:vAlign w:val="center"/>
          </w:tcPr>
          <w:p w14:paraId="0DE1EA63">
            <w:pPr>
              <w:pStyle w:val="32"/>
              <w:jc w:val="both"/>
              <w:rPr>
                <w:bCs/>
                <w:color w:val="000000"/>
                <w:kern w:val="2"/>
                <w:lang w:val="zh-CN"/>
              </w:rPr>
            </w:pPr>
            <w:r>
              <w:rPr>
                <w:rFonts w:hint="eastAsia"/>
                <w:b/>
                <w:color w:val="000000"/>
                <w:kern w:val="2"/>
                <w:lang w:val="zh-CN"/>
              </w:rPr>
              <w:t>○</w:t>
            </w:r>
            <w:r>
              <w:rPr>
                <w:b/>
                <w:color w:val="000000"/>
                <w:kern w:val="2"/>
                <w:lang w:val="zh-CN"/>
              </w:rPr>
              <w:t>允许</w:t>
            </w:r>
            <w:r>
              <w:rPr>
                <w:bCs/>
                <w:color w:val="000000"/>
                <w:kern w:val="2"/>
                <w:lang w:val="zh-CN"/>
              </w:rPr>
              <w:t>（须提供财政部门审核通过的复印件）</w:t>
            </w:r>
          </w:p>
          <w:p w14:paraId="75BC979C">
            <w:pPr>
              <w:pStyle w:val="32"/>
              <w:rPr>
                <w:bCs/>
                <w:color w:val="000000"/>
                <w:kern w:val="2"/>
                <w:lang w:val="zh-CN"/>
              </w:rPr>
            </w:pPr>
            <w:r>
              <w:rPr>
                <w:rFonts w:hint="eastAsia"/>
                <w:bCs/>
                <w:color w:val="000000"/>
                <w:kern w:val="2"/>
                <w:sz w:val="21"/>
                <w:szCs w:val="21"/>
                <w:lang w:val="zh-CN"/>
              </w:rPr>
              <w:t>根据《政府采购进口产品管理办法》（财库〔2007〕119号）的规定，采购人采购进口产品时，必须在采购活动开始前向财政部门提出申请并获得财政部门审核同意后，才能开展采购活动。且不得因此排斥国产产品，满足需求的国产产品依然可以参与竞争。</w:t>
            </w:r>
            <w:r>
              <w:rPr>
                <w:bCs/>
                <w:color w:val="000000"/>
                <w:kern w:val="2"/>
                <w:sz w:val="21"/>
                <w:szCs w:val="21"/>
                <w:lang w:val="zh-CN"/>
              </w:rPr>
              <w:t>“进口产品的认定”参见</w:t>
            </w:r>
            <w:r>
              <w:rPr>
                <w:rFonts w:hint="eastAsia"/>
                <w:bCs/>
                <w:color w:val="000000"/>
                <w:kern w:val="2"/>
                <w:sz w:val="21"/>
                <w:szCs w:val="21"/>
                <w:lang w:val="zh-CN"/>
              </w:rPr>
              <w:t>《关于政府采购进口产品管理有关问题的通知》（财办库〔2008〕248号）文件有关规定。</w:t>
            </w:r>
          </w:p>
        </w:tc>
      </w:tr>
      <w:tr w14:paraId="25363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continue"/>
            <w:vAlign w:val="center"/>
          </w:tcPr>
          <w:p w14:paraId="6FAEA474">
            <w:pPr>
              <w:snapToGrid w:val="0"/>
              <w:spacing w:after="200"/>
              <w:ind w:left="142"/>
              <w:jc w:val="center"/>
              <w:rPr>
                <w:rFonts w:ascii="宋体" w:hAnsi="宋体"/>
                <w:bCs/>
                <w:color w:val="000000"/>
                <w:sz w:val="24"/>
              </w:rPr>
            </w:pPr>
          </w:p>
        </w:tc>
        <w:tc>
          <w:tcPr>
            <w:tcW w:w="1556" w:type="dxa"/>
            <w:vMerge w:val="continue"/>
            <w:vAlign w:val="center"/>
          </w:tcPr>
          <w:p w14:paraId="5669B693">
            <w:pPr>
              <w:pStyle w:val="32"/>
              <w:ind w:left="96"/>
              <w:jc w:val="center"/>
              <w:rPr>
                <w:bCs/>
                <w:color w:val="000000"/>
                <w:kern w:val="2"/>
                <w:lang w:val="zh-CN"/>
              </w:rPr>
            </w:pPr>
          </w:p>
        </w:tc>
        <w:tc>
          <w:tcPr>
            <w:tcW w:w="7067" w:type="dxa"/>
            <w:vAlign w:val="center"/>
          </w:tcPr>
          <w:p w14:paraId="59D66AA6">
            <w:pPr>
              <w:pStyle w:val="32"/>
              <w:jc w:val="both"/>
              <w:rPr>
                <w:b/>
                <w:color w:val="000000"/>
                <w:kern w:val="2"/>
                <w:lang w:val="zh-CN"/>
              </w:rPr>
            </w:pPr>
            <w:r>
              <w:rPr>
                <w:rFonts w:hint="eastAsia"/>
                <w:b/>
                <w:color w:val="auto"/>
                <w:lang w:val="zh-CN"/>
              </w:rPr>
              <w:t>√</w:t>
            </w:r>
            <w:r>
              <w:rPr>
                <w:rFonts w:hint="eastAsia"/>
                <w:b/>
                <w:color w:val="000000"/>
                <w:kern w:val="2"/>
                <w:lang w:val="zh-CN"/>
              </w:rPr>
              <w:t>○</w:t>
            </w:r>
            <w:r>
              <w:rPr>
                <w:b/>
                <w:color w:val="000000"/>
                <w:kern w:val="2"/>
                <w:lang w:val="zh-CN"/>
              </w:rPr>
              <w:t>不允许</w:t>
            </w:r>
          </w:p>
          <w:p w14:paraId="309F8B09">
            <w:pPr>
              <w:pStyle w:val="32"/>
              <w:jc w:val="both"/>
              <w:rPr>
                <w:bCs/>
                <w:color w:val="000000"/>
                <w:kern w:val="2"/>
                <w:lang w:val="zh-CN"/>
              </w:rPr>
            </w:pPr>
            <w:r>
              <w:rPr>
                <w:bCs/>
                <w:color w:val="000000"/>
                <w:kern w:val="2"/>
                <w:sz w:val="21"/>
                <w:szCs w:val="21"/>
                <w:lang w:val="zh-CN"/>
              </w:rPr>
              <w:t>所投产品为进口产品时，将被视为无效投标。</w:t>
            </w:r>
          </w:p>
        </w:tc>
      </w:tr>
      <w:tr w14:paraId="00300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restart"/>
            <w:vAlign w:val="center"/>
          </w:tcPr>
          <w:p w14:paraId="47BCF328">
            <w:pPr>
              <w:snapToGrid w:val="0"/>
              <w:spacing w:after="200"/>
              <w:jc w:val="center"/>
              <w:rPr>
                <w:rFonts w:ascii="宋体" w:hAnsi="宋体"/>
                <w:bCs/>
                <w:color w:val="000000"/>
                <w:sz w:val="24"/>
              </w:rPr>
            </w:pPr>
            <w:r>
              <w:rPr>
                <w:rFonts w:ascii="宋体" w:hAnsi="宋体"/>
                <w:bCs/>
                <w:color w:val="000000"/>
                <w:sz w:val="24"/>
              </w:rPr>
              <w:t>6</w:t>
            </w:r>
          </w:p>
        </w:tc>
        <w:tc>
          <w:tcPr>
            <w:tcW w:w="1556" w:type="dxa"/>
            <w:vMerge w:val="restart"/>
            <w:vAlign w:val="center"/>
          </w:tcPr>
          <w:p w14:paraId="2A0023D3">
            <w:pPr>
              <w:pStyle w:val="32"/>
              <w:ind w:left="96"/>
              <w:jc w:val="center"/>
              <w:rPr>
                <w:bCs/>
                <w:color w:val="000000"/>
                <w:kern w:val="2"/>
                <w:lang w:val="zh-CN"/>
              </w:rPr>
            </w:pPr>
            <w:r>
              <w:rPr>
                <w:bCs/>
                <w:color w:val="000000"/>
                <w:kern w:val="2"/>
                <w:lang w:val="zh-CN"/>
              </w:rPr>
              <w:t>是否</w:t>
            </w:r>
            <w:r>
              <w:rPr>
                <w:rFonts w:hint="eastAsia"/>
                <w:bCs/>
                <w:color w:val="000000"/>
                <w:kern w:val="2"/>
                <w:lang w:val="zh-CN"/>
              </w:rPr>
              <w:t>接受</w:t>
            </w:r>
            <w:r>
              <w:rPr>
                <w:bCs/>
                <w:color w:val="000000"/>
                <w:kern w:val="2"/>
                <w:lang w:val="zh-CN"/>
              </w:rPr>
              <w:br w:type="textWrapping"/>
            </w:r>
            <w:r>
              <w:rPr>
                <w:bCs/>
                <w:color w:val="000000"/>
                <w:kern w:val="2"/>
                <w:lang w:val="zh-CN"/>
              </w:rPr>
              <w:t>联合体投标</w:t>
            </w:r>
          </w:p>
        </w:tc>
        <w:tc>
          <w:tcPr>
            <w:tcW w:w="7067" w:type="dxa"/>
            <w:vAlign w:val="center"/>
          </w:tcPr>
          <w:p w14:paraId="09A70107">
            <w:pPr>
              <w:pStyle w:val="32"/>
              <w:jc w:val="both"/>
              <w:rPr>
                <w:b/>
                <w:color w:val="auto"/>
                <w:kern w:val="2"/>
                <w:lang w:val="zh-CN"/>
              </w:rPr>
            </w:pPr>
            <w:r>
              <w:rPr>
                <w:rFonts w:hint="eastAsia"/>
                <w:b/>
                <w:color w:val="auto"/>
                <w:kern w:val="2"/>
                <w:lang w:val="zh-CN"/>
              </w:rPr>
              <w:t>○接受</w:t>
            </w:r>
          </w:p>
          <w:p w14:paraId="20F4EB17">
            <w:pPr>
              <w:pStyle w:val="32"/>
              <w:jc w:val="both"/>
              <w:rPr>
                <w:bCs/>
                <w:color w:val="auto"/>
                <w:kern w:val="2"/>
                <w:lang w:val="zh-CN"/>
              </w:rPr>
            </w:pPr>
            <w:r>
              <w:rPr>
                <w:rFonts w:hint="eastAsia"/>
                <w:bCs/>
                <w:color w:val="auto"/>
                <w:kern w:val="2"/>
                <w:sz w:val="21"/>
                <w:szCs w:val="21"/>
                <w:lang w:val="zh-CN"/>
              </w:rPr>
              <w:t>对于联合体协议或者分包意向协议约定小微企业的合同份额占到合同总金额30%以上的，对联合体或者大中型企业的报价</w:t>
            </w:r>
            <w:r>
              <w:rPr>
                <w:rFonts w:hint="eastAsia"/>
                <w:b/>
                <w:color w:val="auto"/>
                <w:kern w:val="2"/>
                <w:sz w:val="21"/>
                <w:szCs w:val="21"/>
                <w:lang w:val="zh-CN"/>
              </w:rPr>
              <w:t>给予___%（</w:t>
            </w:r>
            <w:r>
              <w:rPr>
                <w:b/>
                <w:color w:val="auto"/>
                <w:kern w:val="2"/>
                <w:sz w:val="21"/>
                <w:szCs w:val="21"/>
                <w:lang w:val="zh-CN"/>
              </w:rPr>
              <w:t>4%</w:t>
            </w:r>
            <w:r>
              <w:rPr>
                <w:rFonts w:hint="eastAsia"/>
                <w:b/>
                <w:color w:val="auto"/>
                <w:kern w:val="2"/>
                <w:sz w:val="21"/>
                <w:szCs w:val="21"/>
                <w:lang w:val="zh-CN"/>
              </w:rPr>
              <w:t>—</w:t>
            </w:r>
            <w:r>
              <w:rPr>
                <w:b/>
                <w:color w:val="auto"/>
                <w:kern w:val="2"/>
                <w:sz w:val="21"/>
                <w:szCs w:val="21"/>
                <w:lang w:val="zh-CN"/>
              </w:rPr>
              <w:t>6%</w:t>
            </w:r>
            <w:r>
              <w:rPr>
                <w:rFonts w:hint="eastAsia"/>
                <w:b/>
                <w:color w:val="auto"/>
                <w:kern w:val="2"/>
                <w:sz w:val="21"/>
                <w:szCs w:val="21"/>
                <w:lang w:val="zh-CN"/>
              </w:rPr>
              <w:t>）的扣除</w:t>
            </w:r>
            <w:r>
              <w:rPr>
                <w:rFonts w:hint="eastAsia"/>
                <w:bCs/>
                <w:color w:val="auto"/>
                <w:kern w:val="2"/>
                <w:sz w:val="21"/>
                <w:szCs w:val="21"/>
                <w:lang w:val="zh-CN"/>
              </w:rPr>
              <w:t>，用扣除后的报价参加评审。</w:t>
            </w:r>
          </w:p>
        </w:tc>
      </w:tr>
      <w:tr w14:paraId="5D877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continue"/>
            <w:vAlign w:val="center"/>
          </w:tcPr>
          <w:p w14:paraId="65F6FC9E">
            <w:pPr>
              <w:snapToGrid w:val="0"/>
              <w:spacing w:after="200"/>
              <w:ind w:left="142"/>
              <w:jc w:val="center"/>
              <w:rPr>
                <w:rFonts w:ascii="宋体" w:hAnsi="宋体"/>
                <w:bCs/>
                <w:color w:val="000000"/>
                <w:sz w:val="24"/>
              </w:rPr>
            </w:pPr>
          </w:p>
        </w:tc>
        <w:tc>
          <w:tcPr>
            <w:tcW w:w="1556" w:type="dxa"/>
            <w:vMerge w:val="continue"/>
            <w:vAlign w:val="center"/>
          </w:tcPr>
          <w:p w14:paraId="50A9C510">
            <w:pPr>
              <w:pStyle w:val="32"/>
              <w:ind w:left="96"/>
              <w:jc w:val="center"/>
              <w:rPr>
                <w:bCs/>
                <w:color w:val="000000"/>
                <w:kern w:val="2"/>
                <w:lang w:val="zh-CN"/>
              </w:rPr>
            </w:pPr>
          </w:p>
        </w:tc>
        <w:tc>
          <w:tcPr>
            <w:tcW w:w="7067" w:type="dxa"/>
            <w:vAlign w:val="center"/>
          </w:tcPr>
          <w:p w14:paraId="497BC96C">
            <w:pPr>
              <w:pStyle w:val="32"/>
              <w:jc w:val="both"/>
              <w:rPr>
                <w:bCs/>
                <w:color w:val="auto"/>
                <w:kern w:val="2"/>
                <w:lang w:val="zh-CN"/>
              </w:rPr>
            </w:pPr>
            <w:r>
              <w:rPr>
                <w:rFonts w:hint="eastAsia"/>
                <w:b/>
                <w:color w:val="auto"/>
                <w:kern w:val="2"/>
                <w:lang w:val="zh-CN"/>
              </w:rPr>
              <w:t>不接受</w:t>
            </w:r>
          </w:p>
        </w:tc>
      </w:tr>
      <w:tr w14:paraId="6FF1F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restart"/>
            <w:vAlign w:val="center"/>
          </w:tcPr>
          <w:p w14:paraId="6B722DC4">
            <w:pPr>
              <w:snapToGrid w:val="0"/>
              <w:spacing w:after="200"/>
              <w:jc w:val="center"/>
              <w:rPr>
                <w:rFonts w:ascii="宋体" w:hAnsi="宋体"/>
                <w:bCs/>
                <w:color w:val="000000"/>
                <w:sz w:val="24"/>
              </w:rPr>
            </w:pPr>
            <w:r>
              <w:rPr>
                <w:rFonts w:ascii="宋体" w:hAnsi="宋体"/>
                <w:bCs/>
                <w:color w:val="000000"/>
                <w:sz w:val="24"/>
              </w:rPr>
              <w:t>7</w:t>
            </w:r>
          </w:p>
        </w:tc>
        <w:tc>
          <w:tcPr>
            <w:tcW w:w="1556" w:type="dxa"/>
            <w:vMerge w:val="restart"/>
            <w:vAlign w:val="center"/>
          </w:tcPr>
          <w:p w14:paraId="1EB6C945">
            <w:pPr>
              <w:pStyle w:val="32"/>
              <w:ind w:left="96"/>
              <w:jc w:val="center"/>
              <w:rPr>
                <w:bCs/>
                <w:color w:val="000000"/>
                <w:kern w:val="2"/>
                <w:lang w:val="zh-CN"/>
              </w:rPr>
            </w:pPr>
            <w:r>
              <w:rPr>
                <w:bCs/>
                <w:color w:val="000000"/>
                <w:kern w:val="2"/>
                <w:lang w:val="zh-CN"/>
              </w:rPr>
              <w:t>履约保证金</w:t>
            </w:r>
          </w:p>
        </w:tc>
        <w:tc>
          <w:tcPr>
            <w:tcW w:w="7067" w:type="dxa"/>
            <w:vAlign w:val="center"/>
          </w:tcPr>
          <w:p w14:paraId="4D461513">
            <w:pPr>
              <w:ind w:right="94" w:rightChars="45"/>
              <w:rPr>
                <w:rFonts w:ascii="宋体" w:hAnsi="宋体"/>
                <w:b/>
                <w:color w:val="auto"/>
                <w:sz w:val="24"/>
              </w:rPr>
            </w:pPr>
            <w:r>
              <w:rPr>
                <w:rFonts w:ascii="宋体" w:hAnsi="宋体"/>
                <w:b/>
                <w:color w:val="auto"/>
                <w:sz w:val="24"/>
              </w:rPr>
              <w:t>占政府采购合同金额的</w:t>
            </w:r>
            <w:r>
              <w:rPr>
                <w:rFonts w:hint="eastAsia" w:ascii="宋体" w:hAnsi="宋体"/>
                <w:b/>
                <w:color w:val="auto"/>
                <w:sz w:val="24"/>
              </w:rPr>
              <w:t>_</w:t>
            </w:r>
            <w:r>
              <w:rPr>
                <w:rFonts w:hint="eastAsia" w:ascii="宋体" w:hAnsi="宋体"/>
                <w:b/>
                <w:color w:val="auto"/>
                <w:sz w:val="24"/>
                <w:lang w:val="en-US" w:eastAsia="zh-CN"/>
              </w:rPr>
              <w:t>0</w:t>
            </w:r>
            <w:r>
              <w:rPr>
                <w:rFonts w:hint="eastAsia" w:ascii="宋体" w:hAnsi="宋体"/>
                <w:b/>
                <w:color w:val="auto"/>
                <w:sz w:val="24"/>
              </w:rPr>
              <w:t>__%</w:t>
            </w:r>
          </w:p>
          <w:p w14:paraId="09EDC917">
            <w:pPr>
              <w:ind w:right="94" w:rightChars="45"/>
              <w:rPr>
                <w:rFonts w:ascii="宋体" w:hAnsi="宋体"/>
                <w:bCs/>
                <w:color w:val="auto"/>
                <w:szCs w:val="21"/>
              </w:rPr>
            </w:pPr>
            <w:r>
              <w:rPr>
                <w:rFonts w:hint="eastAsia" w:ascii="宋体" w:hAnsi="宋体"/>
                <w:bCs/>
                <w:color w:val="auto"/>
                <w:szCs w:val="21"/>
              </w:rPr>
              <w:t>履约保证金的数额不得超过政府采购合同金额的5%；</w:t>
            </w:r>
            <w:r>
              <w:rPr>
                <w:rFonts w:hint="eastAsia" w:ascii="宋体" w:hAnsi="宋体"/>
                <w:color w:val="auto"/>
                <w:szCs w:val="21"/>
              </w:rPr>
              <w:t>对于单价合同，其数额不得超过采购预算的5%。</w:t>
            </w:r>
          </w:p>
        </w:tc>
      </w:tr>
      <w:tr w14:paraId="3F18E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continue"/>
            <w:vAlign w:val="center"/>
          </w:tcPr>
          <w:p w14:paraId="4FBD47A6">
            <w:pPr>
              <w:snapToGrid w:val="0"/>
              <w:spacing w:after="200"/>
              <w:ind w:left="142"/>
              <w:jc w:val="center"/>
              <w:rPr>
                <w:rFonts w:ascii="宋体" w:hAnsi="宋体"/>
                <w:bCs/>
                <w:color w:val="000000"/>
                <w:sz w:val="24"/>
              </w:rPr>
            </w:pPr>
          </w:p>
        </w:tc>
        <w:tc>
          <w:tcPr>
            <w:tcW w:w="1556" w:type="dxa"/>
            <w:vMerge w:val="continue"/>
            <w:vAlign w:val="center"/>
          </w:tcPr>
          <w:p w14:paraId="6CC942D8">
            <w:pPr>
              <w:pStyle w:val="32"/>
              <w:ind w:left="96"/>
              <w:jc w:val="center"/>
              <w:rPr>
                <w:bCs/>
                <w:color w:val="000000"/>
                <w:kern w:val="2"/>
                <w:lang w:val="zh-CN"/>
              </w:rPr>
            </w:pPr>
          </w:p>
        </w:tc>
        <w:tc>
          <w:tcPr>
            <w:tcW w:w="7067" w:type="dxa"/>
            <w:vAlign w:val="center"/>
          </w:tcPr>
          <w:p w14:paraId="111A29A5">
            <w:pPr>
              <w:ind w:right="94" w:rightChars="45"/>
              <w:rPr>
                <w:rFonts w:ascii="宋体" w:hAnsi="宋体"/>
                <w:b/>
                <w:color w:val="000000"/>
                <w:sz w:val="24"/>
              </w:rPr>
            </w:pPr>
            <w:r>
              <w:rPr>
                <w:rFonts w:ascii="宋体" w:hAnsi="宋体"/>
                <w:b/>
                <w:color w:val="000000"/>
                <w:sz w:val="24"/>
              </w:rPr>
              <w:t>○由采购单位自行收退</w:t>
            </w:r>
          </w:p>
          <w:p w14:paraId="283EFAC2">
            <w:pPr>
              <w:ind w:right="94" w:rightChars="45"/>
              <w:rPr>
                <w:rFonts w:ascii="宋体" w:hAnsi="宋体"/>
                <w:bCs/>
                <w:color w:val="000000"/>
                <w:sz w:val="24"/>
              </w:rPr>
            </w:pPr>
            <w:r>
              <w:rPr>
                <w:rFonts w:ascii="宋体" w:hAnsi="宋体"/>
                <w:b/>
                <w:color w:val="000000"/>
                <w:sz w:val="24"/>
              </w:rPr>
              <w:t>○由代理机构负责收退</w:t>
            </w:r>
          </w:p>
        </w:tc>
      </w:tr>
      <w:tr w14:paraId="2F085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5704C2CC">
            <w:pPr>
              <w:snapToGrid w:val="0"/>
              <w:spacing w:after="200"/>
              <w:jc w:val="center"/>
              <w:rPr>
                <w:rFonts w:ascii="宋体" w:hAnsi="宋体"/>
                <w:bCs/>
                <w:color w:val="000000"/>
                <w:sz w:val="24"/>
              </w:rPr>
            </w:pPr>
            <w:r>
              <w:rPr>
                <w:rFonts w:ascii="宋体" w:hAnsi="宋体"/>
                <w:bCs/>
                <w:color w:val="000000"/>
                <w:sz w:val="24"/>
              </w:rPr>
              <w:t>8</w:t>
            </w:r>
          </w:p>
        </w:tc>
        <w:tc>
          <w:tcPr>
            <w:tcW w:w="1556" w:type="dxa"/>
            <w:vAlign w:val="center"/>
          </w:tcPr>
          <w:p w14:paraId="078A66DB">
            <w:pPr>
              <w:pStyle w:val="32"/>
              <w:ind w:left="96"/>
              <w:jc w:val="center"/>
              <w:rPr>
                <w:bCs/>
                <w:color w:val="000000"/>
                <w:kern w:val="2"/>
                <w:lang w:val="zh-CN"/>
              </w:rPr>
            </w:pPr>
            <w:r>
              <w:rPr>
                <w:bCs/>
                <w:color w:val="000000"/>
                <w:kern w:val="2"/>
                <w:lang w:val="zh-CN"/>
              </w:rPr>
              <w:t>现场踏勘和集中答疑</w:t>
            </w:r>
          </w:p>
        </w:tc>
        <w:tc>
          <w:tcPr>
            <w:tcW w:w="7067" w:type="dxa"/>
            <w:vAlign w:val="center"/>
          </w:tcPr>
          <w:p w14:paraId="5B5FA38D">
            <w:pPr>
              <w:ind w:right="94" w:rightChars="45"/>
              <w:rPr>
                <w:rFonts w:ascii="宋体" w:hAnsi="宋体"/>
                <w:b/>
                <w:color w:val="000000"/>
                <w:sz w:val="24"/>
              </w:rPr>
            </w:pPr>
            <w:r>
              <w:rPr>
                <w:rFonts w:ascii="宋体" w:hAnsi="宋体"/>
                <w:b/>
                <w:color w:val="000000"/>
                <w:sz w:val="24"/>
              </w:rPr>
              <w:t>○组织，集结地点为：</w:t>
            </w:r>
            <w:r>
              <w:rPr>
                <w:rFonts w:hint="eastAsia" w:ascii="宋体" w:hAnsi="宋体"/>
                <w:b/>
                <w:color w:val="000000"/>
                <w:sz w:val="24"/>
              </w:rPr>
              <w:t>_______________________</w:t>
            </w:r>
          </w:p>
          <w:p w14:paraId="1633AC4D">
            <w:pPr>
              <w:ind w:right="94" w:rightChars="45"/>
              <w:rPr>
                <w:rFonts w:ascii="宋体" w:hAnsi="宋体"/>
                <w:bCs/>
                <w:color w:val="000000"/>
                <w:sz w:val="24"/>
              </w:rPr>
            </w:pPr>
            <w:r>
              <w:rPr>
                <w:rFonts w:hint="eastAsia"/>
                <w:b/>
                <w:lang w:val="zh-CN"/>
              </w:rPr>
              <w:t>√</w:t>
            </w:r>
            <w:r>
              <w:rPr>
                <w:rFonts w:ascii="宋体" w:hAnsi="宋体"/>
                <w:b/>
                <w:color w:val="000000"/>
                <w:sz w:val="24"/>
              </w:rPr>
              <w:t>不组织</w:t>
            </w:r>
          </w:p>
        </w:tc>
      </w:tr>
      <w:tr w14:paraId="41A32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493F1745">
            <w:pPr>
              <w:snapToGrid w:val="0"/>
              <w:spacing w:after="200"/>
              <w:jc w:val="center"/>
              <w:rPr>
                <w:rFonts w:ascii="宋体" w:hAnsi="宋体"/>
                <w:bCs/>
                <w:color w:val="000000"/>
                <w:sz w:val="24"/>
              </w:rPr>
            </w:pPr>
            <w:r>
              <w:rPr>
                <w:rFonts w:ascii="宋体" w:hAnsi="宋体"/>
                <w:bCs/>
                <w:color w:val="000000"/>
                <w:sz w:val="24"/>
              </w:rPr>
              <w:t>9</w:t>
            </w:r>
          </w:p>
        </w:tc>
        <w:tc>
          <w:tcPr>
            <w:tcW w:w="1556" w:type="dxa"/>
            <w:vAlign w:val="center"/>
          </w:tcPr>
          <w:p w14:paraId="0F70F5E2">
            <w:pPr>
              <w:pStyle w:val="32"/>
              <w:ind w:left="96"/>
              <w:jc w:val="center"/>
              <w:rPr>
                <w:bCs/>
                <w:color w:val="000000"/>
                <w:kern w:val="2"/>
                <w:lang w:val="zh-CN"/>
              </w:rPr>
            </w:pPr>
            <w:r>
              <w:rPr>
                <w:bCs/>
                <w:color w:val="000000"/>
                <w:kern w:val="2"/>
                <w:lang w:val="zh-CN"/>
              </w:rPr>
              <w:t>价格分比重</w:t>
            </w:r>
          </w:p>
        </w:tc>
        <w:tc>
          <w:tcPr>
            <w:tcW w:w="7067" w:type="dxa"/>
            <w:vAlign w:val="center"/>
          </w:tcPr>
          <w:p w14:paraId="75BEBAF2">
            <w:pPr>
              <w:widowControl/>
              <w:rPr>
                <w:rFonts w:ascii="宋体" w:hAnsi="宋体" w:cs="宋体"/>
                <w:b/>
                <w:color w:val="000000"/>
                <w:kern w:val="0"/>
                <w:sz w:val="24"/>
                <w:szCs w:val="24"/>
                <w:lang w:val="zh-CN"/>
              </w:rPr>
            </w:pPr>
            <w:r>
              <w:rPr>
                <w:rFonts w:ascii="宋体" w:hAnsi="宋体" w:cs="宋体"/>
                <w:b/>
                <w:color w:val="000000"/>
                <w:kern w:val="0"/>
                <w:sz w:val="24"/>
                <w:szCs w:val="24"/>
                <w:lang w:val="zh-CN"/>
              </w:rPr>
              <w:t>占总分值的</w:t>
            </w:r>
            <w:r>
              <w:rPr>
                <w:rFonts w:hint="eastAsia" w:ascii="宋体" w:hAnsi="宋体" w:cs="宋体"/>
                <w:b/>
                <w:color w:val="000000"/>
                <w:kern w:val="0"/>
                <w:sz w:val="24"/>
                <w:szCs w:val="24"/>
                <w:lang w:val="zh-CN"/>
              </w:rPr>
              <w:t>__</w:t>
            </w:r>
            <w:r>
              <w:rPr>
                <w:rFonts w:hint="eastAsia" w:ascii="宋体" w:hAnsi="宋体" w:cs="宋体"/>
                <w:b/>
                <w:color w:val="000000"/>
                <w:kern w:val="0"/>
                <w:sz w:val="24"/>
                <w:szCs w:val="24"/>
                <w:lang w:val="en-US" w:eastAsia="zh-CN"/>
              </w:rPr>
              <w:t>/</w:t>
            </w:r>
            <w:r>
              <w:rPr>
                <w:rFonts w:hint="eastAsia" w:ascii="宋体" w:hAnsi="宋体" w:cs="宋体"/>
                <w:b/>
                <w:color w:val="000000"/>
                <w:kern w:val="0"/>
                <w:sz w:val="24"/>
                <w:szCs w:val="24"/>
                <w:lang w:val="zh-CN"/>
              </w:rPr>
              <w:t>__%</w:t>
            </w:r>
          </w:p>
          <w:p w14:paraId="7753E508">
            <w:pPr>
              <w:widowControl/>
              <w:rPr>
                <w:rFonts w:ascii="宋体" w:hAnsi="宋体" w:cs="宋体"/>
                <w:bCs/>
                <w:color w:val="000000"/>
                <w:kern w:val="0"/>
                <w:szCs w:val="21"/>
                <w:lang w:val="zh-CN"/>
              </w:rPr>
            </w:pPr>
            <w:r>
              <w:rPr>
                <w:rFonts w:hint="eastAsia" w:ascii="宋体" w:hAnsi="宋体" w:cs="宋体"/>
                <w:bCs/>
                <w:color w:val="000000"/>
                <w:kern w:val="0"/>
                <w:szCs w:val="21"/>
                <w:lang w:val="zh-CN"/>
              </w:rPr>
              <w:t>[招标]根据《政府采购货物和服务招标投标管理办法》（财政部87号令）的规定，综合</w:t>
            </w:r>
            <w:r>
              <w:rPr>
                <w:rFonts w:ascii="宋体" w:hAnsi="宋体" w:cs="宋体"/>
                <w:bCs/>
                <w:color w:val="000000"/>
                <w:kern w:val="0"/>
                <w:szCs w:val="21"/>
                <w:lang w:val="zh-CN"/>
              </w:rPr>
              <w:t>评分法</w:t>
            </w:r>
            <w:r>
              <w:rPr>
                <w:rFonts w:hint="eastAsia" w:ascii="宋体" w:hAnsi="宋体" w:cs="宋体"/>
                <w:bCs/>
                <w:color w:val="000000"/>
                <w:kern w:val="0"/>
                <w:szCs w:val="21"/>
                <w:lang w:val="zh-CN"/>
              </w:rPr>
              <w:t>货物项目的价格分值占总分值的比重不得低于30%。执行国家统一定价标准和采用固定价格采购的项目，其价格不列为评审因素。</w:t>
            </w:r>
          </w:p>
          <w:p w14:paraId="648B92CB">
            <w:pPr>
              <w:widowControl/>
              <w:rPr>
                <w:rFonts w:ascii="宋体" w:hAnsi="宋体" w:cs="宋体"/>
                <w:bCs/>
                <w:color w:val="000000"/>
                <w:kern w:val="0"/>
                <w:szCs w:val="21"/>
                <w:lang w:val="zh-CN"/>
              </w:rPr>
            </w:pPr>
            <w:r>
              <w:rPr>
                <w:rFonts w:ascii="宋体" w:hAnsi="宋体" w:cs="宋体"/>
                <w:bCs/>
                <w:color w:val="000000"/>
                <w:kern w:val="0"/>
                <w:szCs w:val="21"/>
                <w:lang w:val="zh-CN"/>
              </w:rPr>
              <w:t>[磋商</w:t>
            </w:r>
            <w:r>
              <w:rPr>
                <w:rFonts w:hint="eastAsia" w:ascii="宋体" w:hAnsi="宋体" w:cs="宋体"/>
                <w:bCs/>
                <w:color w:val="000000"/>
                <w:kern w:val="0"/>
                <w:szCs w:val="21"/>
                <w:lang w:val="zh-CN"/>
              </w:rPr>
              <w:t>]根据《政府采购竞争性磋商采购方式管理暂行办法》（财库〔2014〕214号）的规定，货物项目的价格分值占总分值的比重(即权值)为30%-60%。</w:t>
            </w:r>
          </w:p>
          <w:p w14:paraId="42461AD0">
            <w:pPr>
              <w:widowControl/>
              <w:rPr>
                <w:rFonts w:ascii="宋体" w:hAnsi="宋体" w:cs="宋体"/>
                <w:bCs/>
                <w:color w:val="000000"/>
                <w:kern w:val="0"/>
                <w:szCs w:val="21"/>
                <w:lang w:val="zh-CN"/>
              </w:rPr>
            </w:pPr>
            <w:r>
              <w:rPr>
                <w:rFonts w:hint="eastAsia" w:ascii="宋体" w:hAnsi="宋体" w:cs="宋体"/>
                <w:bCs/>
                <w:color w:val="000000"/>
                <w:kern w:val="0"/>
                <w:szCs w:val="21"/>
                <w:lang w:val="zh-CN"/>
              </w:rPr>
              <w:t>[其他采购方式]无须设置。</w:t>
            </w:r>
          </w:p>
        </w:tc>
      </w:tr>
      <w:tr w14:paraId="22CA9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7E0E3FEB">
            <w:pPr>
              <w:snapToGrid w:val="0"/>
              <w:spacing w:after="200"/>
              <w:jc w:val="center"/>
              <w:rPr>
                <w:rFonts w:ascii="宋体" w:hAnsi="宋体"/>
                <w:bCs/>
                <w:color w:val="000000"/>
                <w:sz w:val="24"/>
              </w:rPr>
            </w:pPr>
            <w:r>
              <w:rPr>
                <w:rFonts w:ascii="宋体" w:hAnsi="宋体"/>
                <w:bCs/>
                <w:color w:val="000000"/>
                <w:sz w:val="24"/>
              </w:rPr>
              <w:t>10</w:t>
            </w:r>
          </w:p>
        </w:tc>
        <w:tc>
          <w:tcPr>
            <w:tcW w:w="1556" w:type="dxa"/>
            <w:vAlign w:val="center"/>
          </w:tcPr>
          <w:p w14:paraId="48155DA7">
            <w:pPr>
              <w:pStyle w:val="32"/>
              <w:ind w:left="96"/>
              <w:jc w:val="center"/>
              <w:rPr>
                <w:bCs/>
                <w:color w:val="000000"/>
                <w:kern w:val="2"/>
                <w:lang w:val="zh-CN"/>
              </w:rPr>
            </w:pPr>
            <w:r>
              <w:rPr>
                <w:bCs/>
                <w:color w:val="000000"/>
                <w:kern w:val="2"/>
                <w:lang w:val="zh-CN"/>
              </w:rPr>
              <w:t>合同类型</w:t>
            </w:r>
          </w:p>
        </w:tc>
        <w:tc>
          <w:tcPr>
            <w:tcW w:w="7067" w:type="dxa"/>
            <w:vAlign w:val="center"/>
          </w:tcPr>
          <w:p w14:paraId="22A8BF0C">
            <w:pPr>
              <w:rPr>
                <w:rFonts w:ascii="宋体" w:hAnsi="宋体"/>
                <w:b/>
                <w:color w:val="000000"/>
                <w:sz w:val="24"/>
                <w:lang w:val="zh-CN"/>
              </w:rPr>
            </w:pPr>
            <w:r>
              <w:rPr>
                <w:rFonts w:hint="eastAsia"/>
                <w:b/>
                <w:lang w:val="zh-CN"/>
              </w:rPr>
              <w:t>√</w:t>
            </w:r>
            <w:r>
              <w:rPr>
                <w:rFonts w:ascii="宋体" w:hAnsi="宋体"/>
                <w:b/>
                <w:color w:val="000000"/>
                <w:sz w:val="24"/>
                <w:lang w:val="zh-CN"/>
              </w:rPr>
              <w:t>固定总价</w:t>
            </w:r>
          </w:p>
          <w:p w14:paraId="759ABE46">
            <w:pPr>
              <w:rPr>
                <w:rFonts w:ascii="宋体" w:hAnsi="宋体"/>
                <w:b/>
                <w:color w:val="000000"/>
                <w:sz w:val="24"/>
                <w:lang w:val="zh-CN"/>
              </w:rPr>
            </w:pPr>
            <w:r>
              <w:rPr>
                <w:rFonts w:ascii="宋体" w:hAnsi="宋体"/>
                <w:b/>
                <w:color w:val="000000"/>
                <w:sz w:val="24"/>
                <w:lang w:val="zh-CN"/>
              </w:rPr>
              <w:t>○固定单价（适用于采购数量不定的情形）</w:t>
            </w:r>
          </w:p>
          <w:p w14:paraId="4EFD9BBE">
            <w:pPr>
              <w:rPr>
                <w:rFonts w:ascii="宋体" w:hAnsi="宋体"/>
                <w:bCs/>
                <w:color w:val="000000"/>
                <w:sz w:val="24"/>
                <w:lang w:val="zh-CN"/>
              </w:rPr>
            </w:pPr>
            <w:r>
              <w:rPr>
                <w:rFonts w:ascii="宋体" w:hAnsi="宋体"/>
                <w:b/>
                <w:color w:val="000000"/>
                <w:sz w:val="24"/>
                <w:lang w:val="zh-CN"/>
              </w:rPr>
              <w:t>○其他：</w:t>
            </w:r>
            <w:r>
              <w:rPr>
                <w:rFonts w:hint="eastAsia" w:ascii="宋体" w:hAnsi="宋体"/>
                <w:bCs/>
                <w:color w:val="000000"/>
                <w:sz w:val="24"/>
                <w:lang w:val="zh-CN"/>
              </w:rPr>
              <w:t>___________________________</w:t>
            </w:r>
          </w:p>
        </w:tc>
      </w:tr>
      <w:tr w14:paraId="1B11D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614EA2E4">
            <w:pPr>
              <w:snapToGrid w:val="0"/>
              <w:spacing w:after="200"/>
              <w:jc w:val="center"/>
              <w:rPr>
                <w:rFonts w:ascii="宋体" w:hAnsi="宋体"/>
                <w:bCs/>
                <w:color w:val="000000"/>
                <w:sz w:val="24"/>
              </w:rPr>
            </w:pPr>
            <w:r>
              <w:rPr>
                <w:rFonts w:ascii="宋体" w:hAnsi="宋体"/>
                <w:bCs/>
                <w:color w:val="000000"/>
                <w:sz w:val="24"/>
              </w:rPr>
              <w:t>11</w:t>
            </w:r>
          </w:p>
        </w:tc>
        <w:tc>
          <w:tcPr>
            <w:tcW w:w="1556" w:type="dxa"/>
            <w:vAlign w:val="center"/>
          </w:tcPr>
          <w:p w14:paraId="0D777F74">
            <w:pPr>
              <w:tabs>
                <w:tab w:val="left" w:pos="7665"/>
              </w:tabs>
              <w:snapToGrid w:val="0"/>
              <w:jc w:val="center"/>
              <w:rPr>
                <w:rFonts w:ascii="宋体" w:hAnsi="宋体"/>
                <w:bCs/>
                <w:color w:val="000000"/>
                <w:sz w:val="24"/>
              </w:rPr>
            </w:pPr>
            <w:r>
              <w:rPr>
                <w:rFonts w:ascii="宋体" w:hAnsi="宋体"/>
                <w:bCs/>
                <w:color w:val="000000"/>
                <w:sz w:val="24"/>
              </w:rPr>
              <w:t>争议解决途径</w:t>
            </w:r>
          </w:p>
        </w:tc>
        <w:tc>
          <w:tcPr>
            <w:tcW w:w="7067" w:type="dxa"/>
            <w:vAlign w:val="center"/>
          </w:tcPr>
          <w:p w14:paraId="7CC462A8">
            <w:pPr>
              <w:tabs>
                <w:tab w:val="left" w:pos="7665"/>
              </w:tabs>
              <w:snapToGrid w:val="0"/>
              <w:rPr>
                <w:rFonts w:ascii="宋体" w:hAnsi="宋体"/>
                <w:b/>
                <w:color w:val="000000"/>
                <w:sz w:val="24"/>
              </w:rPr>
            </w:pPr>
            <w:r>
              <w:rPr>
                <w:rFonts w:ascii="宋体" w:hAnsi="宋体"/>
                <w:b/>
                <w:color w:val="000000"/>
                <w:sz w:val="24"/>
              </w:rPr>
              <w:t>○向有管辖权的人民法院提起诉讼</w:t>
            </w:r>
          </w:p>
          <w:p w14:paraId="678D847D">
            <w:pPr>
              <w:tabs>
                <w:tab w:val="left" w:pos="7665"/>
              </w:tabs>
              <w:snapToGrid w:val="0"/>
              <w:rPr>
                <w:rFonts w:ascii="宋体" w:hAnsi="宋体"/>
                <w:b/>
                <w:color w:val="000000"/>
                <w:sz w:val="24"/>
              </w:rPr>
            </w:pPr>
            <w:r>
              <w:rPr>
                <w:rFonts w:hint="eastAsia"/>
                <w:b/>
                <w:lang w:val="zh-CN"/>
              </w:rPr>
              <w:t>√</w:t>
            </w:r>
            <w:r>
              <w:rPr>
                <w:rFonts w:ascii="宋体" w:hAnsi="宋体"/>
                <w:b/>
                <w:color w:val="000000"/>
                <w:sz w:val="24"/>
              </w:rPr>
              <w:t>向西安仲裁委员会提请仲裁</w:t>
            </w:r>
          </w:p>
          <w:p w14:paraId="17670F1C">
            <w:pPr>
              <w:tabs>
                <w:tab w:val="left" w:pos="7665"/>
              </w:tabs>
              <w:snapToGrid w:val="0"/>
              <w:rPr>
                <w:rFonts w:ascii="宋体" w:hAnsi="宋体"/>
                <w:bCs/>
                <w:color w:val="000000"/>
                <w:sz w:val="24"/>
              </w:rPr>
            </w:pPr>
            <w:r>
              <w:rPr>
                <w:rFonts w:ascii="宋体" w:hAnsi="宋体"/>
                <w:b/>
                <w:color w:val="000000"/>
                <w:sz w:val="24"/>
              </w:rPr>
              <w:t>○由供应商做出选择</w:t>
            </w:r>
          </w:p>
        </w:tc>
      </w:tr>
      <w:tr w14:paraId="0603D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1677847F">
            <w:pPr>
              <w:snapToGrid w:val="0"/>
              <w:spacing w:after="200"/>
              <w:jc w:val="center"/>
              <w:rPr>
                <w:rFonts w:ascii="宋体" w:hAnsi="宋体"/>
                <w:bCs/>
                <w:color w:val="000000"/>
                <w:sz w:val="24"/>
              </w:rPr>
            </w:pPr>
            <w:r>
              <w:rPr>
                <w:rFonts w:ascii="宋体" w:hAnsi="宋体"/>
                <w:bCs/>
                <w:color w:val="000000"/>
                <w:sz w:val="24"/>
              </w:rPr>
              <w:t>12</w:t>
            </w:r>
          </w:p>
        </w:tc>
        <w:tc>
          <w:tcPr>
            <w:tcW w:w="1556" w:type="dxa"/>
            <w:vAlign w:val="center"/>
          </w:tcPr>
          <w:p w14:paraId="5530A430">
            <w:pPr>
              <w:snapToGrid w:val="0"/>
              <w:jc w:val="center"/>
              <w:rPr>
                <w:rFonts w:ascii="宋体" w:hAnsi="宋体"/>
                <w:bCs/>
                <w:color w:val="000000"/>
                <w:sz w:val="24"/>
              </w:rPr>
            </w:pPr>
            <w:r>
              <w:rPr>
                <w:rFonts w:hint="eastAsia" w:ascii="宋体" w:hAnsi="宋体"/>
                <w:bCs/>
                <w:color w:val="000000"/>
                <w:sz w:val="24"/>
              </w:rPr>
              <w:t>联系方式</w:t>
            </w:r>
          </w:p>
        </w:tc>
        <w:tc>
          <w:tcPr>
            <w:tcW w:w="7067" w:type="dxa"/>
            <w:vAlign w:val="center"/>
          </w:tcPr>
          <w:p w14:paraId="467BE12B">
            <w:pPr>
              <w:tabs>
                <w:tab w:val="left" w:pos="7665"/>
              </w:tabs>
              <w:snapToGrid w:val="0"/>
              <w:rPr>
                <w:rFonts w:ascii="宋体" w:hAnsi="宋体"/>
                <w:b/>
                <w:bCs/>
                <w:sz w:val="24"/>
              </w:rPr>
            </w:pPr>
            <w:r>
              <w:rPr>
                <w:rFonts w:hint="eastAsia" w:ascii="宋体" w:hAnsi="宋体"/>
                <w:b/>
                <w:bCs/>
                <w:sz w:val="24"/>
              </w:rPr>
              <w:t>项目对接人：</w:t>
            </w:r>
            <w:r>
              <w:rPr>
                <w:rFonts w:hint="eastAsia" w:ascii="宋体" w:hAnsi="宋体"/>
                <w:b/>
                <w:bCs/>
                <w:sz w:val="24"/>
                <w:u w:val="single"/>
              </w:rPr>
              <w:t>李若飞</w:t>
            </w:r>
          </w:p>
          <w:p w14:paraId="7B985926">
            <w:pPr>
              <w:tabs>
                <w:tab w:val="left" w:pos="7665"/>
              </w:tabs>
              <w:snapToGrid w:val="0"/>
              <w:rPr>
                <w:rFonts w:ascii="宋体" w:hAnsi="宋体"/>
                <w:b/>
                <w:bCs/>
                <w:sz w:val="24"/>
                <w:u w:val="single"/>
              </w:rPr>
            </w:pPr>
            <w:r>
              <w:rPr>
                <w:rFonts w:ascii="宋体" w:hAnsi="宋体"/>
                <w:b/>
                <w:bCs/>
                <w:sz w:val="24"/>
              </w:rPr>
              <w:t>联系电话：</w:t>
            </w:r>
            <w:r>
              <w:rPr>
                <w:rFonts w:hint="eastAsia" w:ascii="宋体" w:hAnsi="宋体"/>
                <w:b/>
                <w:bCs/>
                <w:sz w:val="24"/>
                <w:u w:val="single"/>
              </w:rPr>
              <w:t>13259866656</w:t>
            </w:r>
          </w:p>
          <w:p w14:paraId="215AF77D">
            <w:pPr>
              <w:tabs>
                <w:tab w:val="left" w:pos="7665"/>
              </w:tabs>
              <w:snapToGrid w:val="0"/>
              <w:rPr>
                <w:rFonts w:ascii="宋体" w:hAnsi="宋体"/>
                <w:bCs/>
                <w:color w:val="000000"/>
                <w:sz w:val="24"/>
              </w:rPr>
            </w:pPr>
            <w:r>
              <w:rPr>
                <w:rFonts w:ascii="宋体" w:hAnsi="宋体"/>
                <w:b/>
                <w:bCs/>
                <w:sz w:val="24"/>
              </w:rPr>
              <w:t>电子邮箱：</w:t>
            </w:r>
            <w:r>
              <w:rPr>
                <w:rFonts w:hint="eastAsia" w:ascii="宋体" w:hAnsi="宋体"/>
                <w:b/>
                <w:bCs/>
                <w:sz w:val="24"/>
                <w:u w:val="single"/>
              </w:rPr>
              <w:t>2393228990@qq.com</w:t>
            </w:r>
          </w:p>
        </w:tc>
      </w:tr>
    </w:tbl>
    <w:p w14:paraId="19F18AD8">
      <w:pPr>
        <w:widowControl/>
        <w:ind w:firstLine="2570" w:firstLineChars="800"/>
        <w:jc w:val="left"/>
        <w:rPr>
          <w:rFonts w:ascii="仿宋" w:hAnsi="仿宋" w:eastAsia="仿宋"/>
          <w:b/>
          <w:sz w:val="32"/>
          <w:szCs w:val="32"/>
        </w:rPr>
      </w:pPr>
    </w:p>
    <w:p w14:paraId="031A1A30">
      <w:pPr>
        <w:widowControl/>
        <w:jc w:val="center"/>
        <w:rPr>
          <w:rFonts w:ascii="仿宋" w:hAnsi="仿宋" w:eastAsia="仿宋"/>
          <w:b/>
          <w:sz w:val="32"/>
          <w:szCs w:val="32"/>
        </w:rPr>
      </w:pPr>
      <w:r>
        <w:rPr>
          <w:rFonts w:ascii="仿宋" w:hAnsi="仿宋" w:eastAsia="仿宋"/>
          <w:b/>
          <w:sz w:val="32"/>
          <w:szCs w:val="32"/>
        </w:rPr>
        <w:t>需求框架</w:t>
      </w:r>
      <w:r>
        <w:rPr>
          <w:rFonts w:hint="eastAsia" w:ascii="仿宋" w:hAnsi="仿宋" w:eastAsia="仿宋"/>
          <w:b/>
          <w:sz w:val="32"/>
          <w:szCs w:val="32"/>
        </w:rPr>
        <w:t>（货物类</w:t>
      </w:r>
      <w:r>
        <w:rPr>
          <w:rFonts w:ascii="仿宋" w:hAnsi="仿宋" w:eastAsia="仿宋"/>
          <w:b/>
          <w:sz w:val="32"/>
          <w:szCs w:val="32"/>
        </w:rPr>
        <w:t>）</w:t>
      </w:r>
    </w:p>
    <w:p w14:paraId="31FDE01A">
      <w:pPr>
        <w:pBdr>
          <w:bottom w:val="single" w:color="auto" w:sz="4" w:space="1"/>
        </w:pBdr>
        <w:spacing w:beforeLines="100"/>
        <w:ind w:left="420" w:hanging="420"/>
        <w:rPr>
          <w:rFonts w:ascii="仿宋" w:hAnsi="仿宋" w:eastAsia="仿宋"/>
          <w:b/>
          <w:sz w:val="28"/>
          <w:szCs w:val="28"/>
        </w:rPr>
      </w:pPr>
      <w:r>
        <w:rPr>
          <w:rFonts w:ascii="仿宋" w:hAnsi="仿宋" w:eastAsia="仿宋"/>
          <w:b/>
          <w:sz w:val="28"/>
          <w:szCs w:val="28"/>
        </w:rPr>
        <w:t>一、项目</w:t>
      </w:r>
      <w:r>
        <w:rPr>
          <w:rFonts w:hint="eastAsia" w:ascii="仿宋" w:hAnsi="仿宋" w:eastAsia="仿宋"/>
          <w:b/>
          <w:sz w:val="28"/>
          <w:szCs w:val="28"/>
        </w:rPr>
        <w:t>概况</w:t>
      </w:r>
    </w:p>
    <w:p w14:paraId="4FBEAA98">
      <w:pPr>
        <w:spacing w:line="460" w:lineRule="exact"/>
        <w:jc w:val="left"/>
        <w:rPr>
          <w:rFonts w:hint="eastAsia" w:ascii="仿宋" w:hAnsi="仿宋" w:eastAsia="仿宋"/>
          <w:sz w:val="32"/>
          <w:szCs w:val="32"/>
          <w:lang w:eastAsia="zh-CN"/>
        </w:rPr>
      </w:pPr>
      <w:r>
        <w:rPr>
          <w:rFonts w:hint="eastAsia" w:ascii="仿宋" w:hAnsi="仿宋" w:eastAsia="仿宋"/>
          <w:sz w:val="28"/>
          <w:szCs w:val="28"/>
        </w:rPr>
        <w:t>项目名称：</w:t>
      </w:r>
      <w:r>
        <w:rPr>
          <w:rFonts w:hint="eastAsia" w:ascii="仿宋" w:hAnsi="仿宋" w:eastAsia="仿宋"/>
          <w:sz w:val="32"/>
          <w:szCs w:val="32"/>
          <w:lang w:eastAsia="zh-CN"/>
        </w:rPr>
        <w:t>市财函(2026)446号2026年部级粮油生产保障资金(阎良区小麦一喷三防补助)项目</w:t>
      </w:r>
    </w:p>
    <w:p w14:paraId="52521C34">
      <w:pPr>
        <w:spacing w:line="460" w:lineRule="exact"/>
        <w:jc w:val="left"/>
        <w:rPr>
          <w:rFonts w:hint="eastAsia" w:ascii="仿宋" w:hAnsi="仿宋" w:eastAsia="仿宋"/>
          <w:sz w:val="28"/>
          <w:szCs w:val="28"/>
        </w:rPr>
      </w:pPr>
      <w:r>
        <w:rPr>
          <w:rFonts w:hint="eastAsia" w:ascii="仿宋" w:hAnsi="仿宋" w:eastAsia="仿宋"/>
          <w:sz w:val="28"/>
          <w:szCs w:val="28"/>
        </w:rPr>
        <w:t>采购方式：部门集中采购</w:t>
      </w:r>
    </w:p>
    <w:p w14:paraId="12DEBE97">
      <w:pPr>
        <w:spacing w:line="460" w:lineRule="exact"/>
        <w:jc w:val="left"/>
        <w:rPr>
          <w:rFonts w:ascii="仿宋" w:hAnsi="仿宋" w:eastAsia="仿宋"/>
          <w:sz w:val="28"/>
          <w:szCs w:val="28"/>
        </w:rPr>
      </w:pPr>
      <w:r>
        <w:rPr>
          <w:rFonts w:hint="eastAsia" w:ascii="仿宋" w:hAnsi="仿宋" w:eastAsia="仿宋"/>
          <w:sz w:val="28"/>
          <w:szCs w:val="28"/>
        </w:rPr>
        <w:t>预算金额：</w:t>
      </w:r>
      <w:r>
        <w:rPr>
          <w:rFonts w:hint="eastAsia" w:ascii="仿宋" w:hAnsi="仿宋" w:eastAsia="仿宋"/>
          <w:sz w:val="28"/>
          <w:szCs w:val="28"/>
          <w:lang w:val="en-US" w:eastAsia="zh-CN"/>
        </w:rPr>
        <w:t>630000</w:t>
      </w:r>
      <w:r>
        <w:rPr>
          <w:rFonts w:hint="eastAsia" w:ascii="仿宋" w:hAnsi="仿宋" w:eastAsia="仿宋"/>
          <w:sz w:val="28"/>
          <w:szCs w:val="28"/>
        </w:rPr>
        <w:t>.00元。</w:t>
      </w:r>
    </w:p>
    <w:p w14:paraId="63C700EA">
      <w:pPr>
        <w:rPr>
          <w:rFonts w:hint="eastAsia" w:ascii="仿宋" w:hAnsi="仿宋" w:eastAsia="仿宋_GB2312"/>
          <w:sz w:val="32"/>
          <w:szCs w:val="32"/>
          <w:lang w:eastAsia="zh-CN"/>
        </w:rPr>
      </w:pPr>
      <w:r>
        <w:rPr>
          <w:rFonts w:hint="eastAsia" w:ascii="仿宋" w:hAnsi="仿宋" w:eastAsia="仿宋"/>
          <w:sz w:val="28"/>
          <w:szCs w:val="28"/>
        </w:rPr>
        <w:t>实施规模及内容：</w:t>
      </w:r>
      <w:r>
        <w:rPr>
          <w:rFonts w:hint="eastAsia" w:ascii="仿宋_GB2312" w:hAnsi="仿宋_GB2312" w:eastAsia="仿宋_GB2312" w:cs="仿宋_GB2312"/>
          <w:color w:val="000000"/>
          <w:sz w:val="31"/>
          <w:szCs w:val="31"/>
        </w:rPr>
        <w:t>在全区</w:t>
      </w:r>
      <w:r>
        <w:rPr>
          <w:rFonts w:hint="eastAsia" w:ascii="仿宋_GB2312" w:hAnsi="仿宋_GB2312" w:eastAsia="仿宋_GB2312" w:cs="仿宋_GB2312"/>
          <w:color w:val="000000"/>
          <w:sz w:val="31"/>
          <w:szCs w:val="31"/>
          <w:lang w:val="en-US" w:eastAsia="zh-CN"/>
        </w:rPr>
        <w:t>14</w:t>
      </w:r>
      <w:r>
        <w:rPr>
          <w:rFonts w:hint="eastAsia" w:ascii="仿宋_GB2312" w:hAnsi="仿宋_GB2312" w:eastAsia="仿宋_GB2312" w:cs="仿宋_GB2312"/>
          <w:color w:val="000000"/>
          <w:sz w:val="31"/>
          <w:szCs w:val="31"/>
        </w:rPr>
        <w:t>万亩开展小麦“一喷三防”补助工作，通过进行统一购置杀虫剂</w:t>
      </w:r>
      <w:r>
        <w:rPr>
          <w:rFonts w:hint="eastAsia" w:ascii="仿宋_GB2312" w:hAnsi="仿宋_GB2312" w:eastAsia="仿宋_GB2312" w:cs="仿宋_GB2312"/>
          <w:color w:val="000000"/>
          <w:sz w:val="31"/>
          <w:szCs w:val="31"/>
          <w:lang w:eastAsia="zh-CN"/>
        </w:rPr>
        <w:t>、</w:t>
      </w:r>
      <w:r>
        <w:rPr>
          <w:rFonts w:hint="eastAsia" w:ascii="仿宋_GB2312" w:hAnsi="仿宋_GB2312" w:eastAsia="仿宋_GB2312" w:cs="仿宋_GB2312"/>
          <w:color w:val="000000"/>
          <w:sz w:val="31"/>
          <w:szCs w:val="31"/>
          <w:lang w:val="en-US" w:eastAsia="zh-CN"/>
        </w:rPr>
        <w:t>杀菌剂、叶面肥。</w:t>
      </w:r>
      <w:r>
        <w:rPr>
          <w:rFonts w:hint="eastAsia" w:ascii="仿宋_GB2312" w:hAnsi="仿宋_GB2312" w:eastAsia="仿宋_GB2312" w:cs="仿宋_GB2312"/>
          <w:color w:val="000000"/>
          <w:sz w:val="31"/>
          <w:szCs w:val="31"/>
        </w:rPr>
        <w:t>科学防控有效控制小麦蚜虫、吸浆虫、赤霉病、条锈病等主要病虫害的发生和蔓延。减少因病虫害造成的小麦产量损失，提高农药使用效率，降低农药使用量，推动绿色防控技术应用，促进农业生态环境可持续发展 。预计亩均挽回产量损失不低于10%</w:t>
      </w:r>
      <w:r>
        <w:rPr>
          <w:rFonts w:hint="eastAsia" w:ascii="仿宋_GB2312" w:hAnsi="仿宋_GB2312" w:eastAsia="仿宋_GB2312" w:cs="仿宋_GB2312"/>
          <w:color w:val="000000"/>
          <w:sz w:val="31"/>
          <w:szCs w:val="31"/>
          <w:lang w:eastAsia="zh-CN"/>
        </w:rPr>
        <w:t>，</w:t>
      </w:r>
      <w:r>
        <w:rPr>
          <w:rFonts w:hint="eastAsia" w:ascii="仿宋_GB2312" w:hAnsi="仿宋_GB2312" w:eastAsia="仿宋_GB2312" w:cs="仿宋_GB2312"/>
          <w:color w:val="000000"/>
          <w:sz w:val="31"/>
          <w:szCs w:val="31"/>
        </w:rPr>
        <w:t>确保小麦产量稳定增长</w:t>
      </w:r>
      <w:r>
        <w:rPr>
          <w:rFonts w:hint="eastAsia" w:ascii="仿宋_GB2312" w:hAnsi="仿宋_GB2312" w:eastAsia="仿宋_GB2312" w:cs="仿宋_GB2312"/>
          <w:color w:val="000000"/>
          <w:sz w:val="31"/>
          <w:szCs w:val="31"/>
          <w:lang w:eastAsia="zh-CN"/>
        </w:rPr>
        <w:t>。</w:t>
      </w:r>
    </w:p>
    <w:p w14:paraId="7AF1F863">
      <w:pPr>
        <w:pBdr>
          <w:bottom w:val="single" w:color="auto" w:sz="4" w:space="1"/>
        </w:pBdr>
        <w:spacing w:beforeLines="100"/>
        <w:ind w:left="420" w:hanging="420"/>
        <w:rPr>
          <w:rFonts w:ascii="仿宋" w:hAnsi="仿宋" w:eastAsia="仿宋"/>
          <w:b/>
          <w:sz w:val="28"/>
          <w:szCs w:val="28"/>
        </w:rPr>
      </w:pPr>
      <w:r>
        <w:rPr>
          <w:rFonts w:hint="eastAsia" w:ascii="仿宋" w:hAnsi="仿宋" w:eastAsia="仿宋"/>
          <w:b/>
          <w:sz w:val="28"/>
          <w:szCs w:val="28"/>
        </w:rPr>
        <w:t>二、采购内容（包括采购品目、规格和数量）</w:t>
      </w:r>
    </w:p>
    <w:p w14:paraId="59B34121">
      <w:pPr>
        <w:rPr>
          <w:rFonts w:ascii="仿宋" w:hAnsi="仿宋" w:eastAsia="仿宋"/>
          <w:color w:val="FF0000"/>
          <w:sz w:val="28"/>
          <w:szCs w:val="28"/>
        </w:rPr>
      </w:pPr>
      <w:r>
        <w:rPr>
          <w:rFonts w:hint="eastAsia" w:ascii="仿宋_GB2312" w:hAnsi="仿宋_GB2312" w:eastAsia="仿宋_GB2312" w:cs="仿宋_GB2312"/>
          <w:color w:val="000000"/>
          <w:sz w:val="31"/>
          <w:szCs w:val="31"/>
          <w:lang w:val="en-US" w:eastAsia="zh-CN"/>
        </w:rPr>
        <w:t>采购14</w:t>
      </w:r>
      <w:r>
        <w:rPr>
          <w:rFonts w:hint="eastAsia" w:ascii="仿宋_GB2312" w:hAnsi="仿宋_GB2312" w:eastAsia="仿宋_GB2312" w:cs="仿宋_GB2312"/>
          <w:color w:val="000000"/>
          <w:sz w:val="31"/>
          <w:szCs w:val="31"/>
        </w:rPr>
        <w:t>万亩小麦“一喷三防”</w:t>
      </w:r>
      <w:r>
        <w:rPr>
          <w:rFonts w:hint="eastAsia" w:ascii="仿宋_GB2312" w:hAnsi="仿宋_GB2312" w:eastAsia="仿宋_GB2312" w:cs="仿宋_GB2312"/>
          <w:color w:val="000000"/>
          <w:sz w:val="31"/>
          <w:szCs w:val="31"/>
          <w:lang w:val="en-US" w:eastAsia="zh-CN"/>
        </w:rPr>
        <w:t>药剂。</w:t>
      </w:r>
    </w:p>
    <w:p w14:paraId="7B8BBB4F">
      <w:pPr>
        <w:numPr>
          <w:ilvl w:val="0"/>
          <w:numId w:val="1"/>
        </w:numPr>
        <w:rPr>
          <w:rFonts w:hint="eastAsia" w:ascii="仿宋" w:hAnsi="仿宋" w:eastAsia="仿宋"/>
          <w:sz w:val="28"/>
          <w:szCs w:val="28"/>
        </w:rPr>
      </w:pPr>
      <w:r>
        <w:rPr>
          <w:rFonts w:hint="eastAsia" w:ascii="仿宋" w:hAnsi="仿宋" w:eastAsia="仿宋"/>
          <w:sz w:val="28"/>
          <w:szCs w:val="28"/>
        </w:rPr>
        <w:t>清单：</w:t>
      </w:r>
    </w:p>
    <w:tbl>
      <w:tblPr>
        <w:tblStyle w:val="9"/>
        <w:tblpPr w:leftFromText="180" w:rightFromText="180" w:vertAnchor="text" w:horzAnchor="page" w:tblpX="1916" w:tblpY="630"/>
        <w:tblOverlap w:val="never"/>
        <w:tblW w:w="91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117"/>
        <w:gridCol w:w="1639"/>
        <w:gridCol w:w="3045"/>
        <w:gridCol w:w="1690"/>
        <w:gridCol w:w="867"/>
      </w:tblGrid>
      <w:tr w14:paraId="7376F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1" w:hRule="atLeast"/>
        </w:trPr>
        <w:tc>
          <w:tcPr>
            <w:tcW w:w="817" w:type="dxa"/>
            <w:vAlign w:val="center"/>
          </w:tcPr>
          <w:p w14:paraId="0E405088">
            <w:pPr>
              <w:spacing w:line="300" w:lineRule="exact"/>
              <w:jc w:val="center"/>
              <w:rPr>
                <w:rFonts w:ascii="仿宋" w:hAnsi="仿宋" w:eastAsia="仿宋" w:cs="仿宋"/>
                <w:sz w:val="24"/>
                <w:szCs w:val="24"/>
              </w:rPr>
            </w:pPr>
            <w:r>
              <w:rPr>
                <w:rFonts w:hint="eastAsia" w:ascii="仿宋" w:hAnsi="仿宋" w:eastAsia="仿宋" w:cs="仿宋"/>
                <w:sz w:val="24"/>
                <w:szCs w:val="24"/>
              </w:rPr>
              <w:t>序号</w:t>
            </w:r>
          </w:p>
        </w:tc>
        <w:tc>
          <w:tcPr>
            <w:tcW w:w="1117" w:type="dxa"/>
            <w:vAlign w:val="center"/>
          </w:tcPr>
          <w:p w14:paraId="258F8E98">
            <w:pPr>
              <w:spacing w:line="300" w:lineRule="exact"/>
              <w:jc w:val="center"/>
              <w:rPr>
                <w:rFonts w:ascii="仿宋" w:hAnsi="仿宋" w:eastAsia="仿宋" w:cs="仿宋"/>
                <w:sz w:val="24"/>
                <w:szCs w:val="24"/>
              </w:rPr>
            </w:pPr>
            <w:r>
              <w:rPr>
                <w:rFonts w:hint="eastAsia" w:ascii="仿宋" w:hAnsi="仿宋" w:eastAsia="仿宋" w:cs="仿宋"/>
                <w:sz w:val="24"/>
                <w:szCs w:val="24"/>
              </w:rPr>
              <w:t>内容</w:t>
            </w:r>
          </w:p>
        </w:tc>
        <w:tc>
          <w:tcPr>
            <w:tcW w:w="1639" w:type="dxa"/>
            <w:vAlign w:val="center"/>
          </w:tcPr>
          <w:p w14:paraId="2C5C7243">
            <w:pPr>
              <w:spacing w:line="300" w:lineRule="exact"/>
              <w:jc w:val="center"/>
              <w:rPr>
                <w:rFonts w:ascii="仿宋" w:hAnsi="仿宋" w:eastAsia="仿宋" w:cs="仿宋"/>
                <w:sz w:val="24"/>
                <w:szCs w:val="24"/>
              </w:rPr>
            </w:pPr>
            <w:r>
              <w:rPr>
                <w:rFonts w:hint="eastAsia" w:ascii="仿宋" w:hAnsi="仿宋" w:eastAsia="仿宋" w:cs="仿宋"/>
                <w:sz w:val="24"/>
                <w:szCs w:val="24"/>
              </w:rPr>
              <w:t>面积（亩）</w:t>
            </w:r>
          </w:p>
        </w:tc>
        <w:tc>
          <w:tcPr>
            <w:tcW w:w="3045" w:type="dxa"/>
            <w:vAlign w:val="center"/>
          </w:tcPr>
          <w:p w14:paraId="7D183558">
            <w:pPr>
              <w:spacing w:line="300" w:lineRule="exact"/>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药剂品名</w:t>
            </w:r>
          </w:p>
        </w:tc>
        <w:tc>
          <w:tcPr>
            <w:tcW w:w="1690" w:type="dxa"/>
            <w:vAlign w:val="center"/>
          </w:tcPr>
          <w:p w14:paraId="593DAB82">
            <w:pPr>
              <w:spacing w:line="300" w:lineRule="exact"/>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规格</w:t>
            </w:r>
          </w:p>
        </w:tc>
        <w:tc>
          <w:tcPr>
            <w:tcW w:w="867" w:type="dxa"/>
            <w:vAlign w:val="center"/>
          </w:tcPr>
          <w:p w14:paraId="1C56441E">
            <w:pPr>
              <w:spacing w:line="30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备注</w:t>
            </w:r>
          </w:p>
        </w:tc>
      </w:tr>
      <w:tr w14:paraId="34CBE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4" w:hRule="exact"/>
        </w:trPr>
        <w:tc>
          <w:tcPr>
            <w:tcW w:w="817" w:type="dxa"/>
            <w:vAlign w:val="center"/>
          </w:tcPr>
          <w:p w14:paraId="0A28AB85">
            <w:pPr>
              <w:spacing w:line="300" w:lineRule="exact"/>
              <w:jc w:val="center"/>
              <w:rPr>
                <w:rFonts w:ascii="仿宋" w:hAnsi="仿宋" w:eastAsia="仿宋" w:cs="仿宋"/>
                <w:sz w:val="24"/>
                <w:szCs w:val="24"/>
              </w:rPr>
            </w:pPr>
            <w:r>
              <w:rPr>
                <w:rFonts w:hint="eastAsia" w:ascii="仿宋" w:hAnsi="仿宋" w:eastAsia="仿宋" w:cs="仿宋"/>
                <w:sz w:val="24"/>
                <w:szCs w:val="24"/>
              </w:rPr>
              <w:t>1</w:t>
            </w:r>
          </w:p>
        </w:tc>
        <w:tc>
          <w:tcPr>
            <w:tcW w:w="1117" w:type="dxa"/>
            <w:vAlign w:val="center"/>
          </w:tcPr>
          <w:p w14:paraId="40674919">
            <w:pPr>
              <w:spacing w:line="300" w:lineRule="exact"/>
              <w:jc w:val="lef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杀虫剂</w:t>
            </w:r>
          </w:p>
        </w:tc>
        <w:tc>
          <w:tcPr>
            <w:tcW w:w="1639" w:type="dxa"/>
            <w:vAlign w:val="center"/>
          </w:tcPr>
          <w:p w14:paraId="66D5FE30">
            <w:pPr>
              <w:spacing w:line="300" w:lineRule="exact"/>
              <w:jc w:val="center"/>
              <w:rPr>
                <w:rFonts w:hint="default" w:ascii="仿宋" w:hAnsi="仿宋" w:eastAsia="仿宋" w:cs="仿宋"/>
                <w:sz w:val="24"/>
                <w:szCs w:val="24"/>
                <w:lang w:val="en-US"/>
              </w:rPr>
            </w:pPr>
            <w:r>
              <w:rPr>
                <w:rFonts w:hint="eastAsia" w:ascii="仿宋" w:hAnsi="仿宋" w:eastAsia="仿宋" w:cs="仿宋"/>
                <w:sz w:val="24"/>
                <w:szCs w:val="24"/>
                <w:lang w:val="en-US" w:eastAsia="zh-CN"/>
              </w:rPr>
              <w:t>140000</w:t>
            </w:r>
          </w:p>
        </w:tc>
        <w:tc>
          <w:tcPr>
            <w:tcW w:w="3045" w:type="dxa"/>
            <w:vAlign w:val="center"/>
          </w:tcPr>
          <w:p w14:paraId="12065928">
            <w:pPr>
              <w:spacing w:line="300" w:lineRule="exact"/>
              <w:jc w:val="lef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22%噻虫高氯氟微囊悬浮-悬浮剂</w:t>
            </w:r>
          </w:p>
          <w:p w14:paraId="00A18CC7">
            <w:pPr>
              <w:spacing w:line="300" w:lineRule="exact"/>
              <w:jc w:val="left"/>
              <w:rPr>
                <w:rFonts w:hint="default" w:ascii="仿宋" w:hAnsi="仿宋" w:eastAsia="仿宋" w:cs="仿宋"/>
                <w:sz w:val="24"/>
                <w:szCs w:val="24"/>
                <w:lang w:val="en-US" w:eastAsia="zh-CN"/>
              </w:rPr>
            </w:pPr>
          </w:p>
        </w:tc>
        <w:tc>
          <w:tcPr>
            <w:tcW w:w="1690" w:type="dxa"/>
            <w:vAlign w:val="center"/>
          </w:tcPr>
          <w:p w14:paraId="313023C6">
            <w:pPr>
              <w:spacing w:line="300" w:lineRule="exact"/>
              <w:jc w:val="lef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10克/袋/亩</w:t>
            </w:r>
          </w:p>
        </w:tc>
        <w:tc>
          <w:tcPr>
            <w:tcW w:w="867" w:type="dxa"/>
            <w:vAlign w:val="center"/>
          </w:tcPr>
          <w:p w14:paraId="7BC25428">
            <w:pPr>
              <w:spacing w:line="300" w:lineRule="exact"/>
              <w:jc w:val="left"/>
              <w:rPr>
                <w:rFonts w:ascii="仿宋" w:hAnsi="仿宋" w:eastAsia="仿宋" w:cs="仿宋"/>
                <w:sz w:val="24"/>
                <w:szCs w:val="24"/>
              </w:rPr>
            </w:pPr>
          </w:p>
        </w:tc>
      </w:tr>
      <w:tr w14:paraId="162A4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1" w:hRule="exact"/>
        </w:trPr>
        <w:tc>
          <w:tcPr>
            <w:tcW w:w="817" w:type="dxa"/>
            <w:vAlign w:val="center"/>
          </w:tcPr>
          <w:p w14:paraId="45CDBCDC">
            <w:pPr>
              <w:spacing w:line="300" w:lineRule="exact"/>
              <w:jc w:val="center"/>
              <w:rPr>
                <w:rFonts w:ascii="仿宋" w:hAnsi="仿宋" w:eastAsia="仿宋" w:cs="仿宋"/>
                <w:sz w:val="24"/>
                <w:szCs w:val="24"/>
              </w:rPr>
            </w:pPr>
            <w:r>
              <w:rPr>
                <w:rFonts w:hint="eastAsia" w:ascii="仿宋" w:hAnsi="仿宋" w:eastAsia="仿宋" w:cs="仿宋"/>
                <w:sz w:val="24"/>
                <w:szCs w:val="24"/>
              </w:rPr>
              <w:t>2</w:t>
            </w:r>
          </w:p>
        </w:tc>
        <w:tc>
          <w:tcPr>
            <w:tcW w:w="1117" w:type="dxa"/>
            <w:vAlign w:val="center"/>
          </w:tcPr>
          <w:p w14:paraId="5165EEE0">
            <w:pPr>
              <w:spacing w:line="300" w:lineRule="exact"/>
              <w:jc w:val="left"/>
              <w:rPr>
                <w:rFonts w:ascii="仿宋" w:hAnsi="仿宋" w:eastAsia="仿宋" w:cs="仿宋"/>
                <w:sz w:val="24"/>
                <w:szCs w:val="24"/>
              </w:rPr>
            </w:pPr>
            <w:r>
              <w:rPr>
                <w:rFonts w:hint="eastAsia" w:ascii="仿宋" w:hAnsi="仿宋" w:eastAsia="仿宋" w:cs="仿宋"/>
                <w:sz w:val="24"/>
                <w:szCs w:val="24"/>
                <w:lang w:val="en-US" w:eastAsia="zh-CN"/>
              </w:rPr>
              <w:t>杀菌剂</w:t>
            </w:r>
          </w:p>
        </w:tc>
        <w:tc>
          <w:tcPr>
            <w:tcW w:w="1639" w:type="dxa"/>
            <w:vAlign w:val="center"/>
          </w:tcPr>
          <w:p w14:paraId="7E394FBE">
            <w:pPr>
              <w:spacing w:line="300" w:lineRule="exact"/>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140000</w:t>
            </w:r>
          </w:p>
        </w:tc>
        <w:tc>
          <w:tcPr>
            <w:tcW w:w="3045" w:type="dxa"/>
            <w:vAlign w:val="center"/>
          </w:tcPr>
          <w:p w14:paraId="15C97CF6">
            <w:pPr>
              <w:spacing w:line="300" w:lineRule="exact"/>
              <w:jc w:val="lef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430克/升戊唑醇悬浮剂</w:t>
            </w:r>
          </w:p>
        </w:tc>
        <w:tc>
          <w:tcPr>
            <w:tcW w:w="1690" w:type="dxa"/>
            <w:vAlign w:val="center"/>
          </w:tcPr>
          <w:p w14:paraId="2FF87C2A">
            <w:pPr>
              <w:spacing w:line="300" w:lineRule="exact"/>
              <w:jc w:val="lef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20克/袋/亩</w:t>
            </w:r>
          </w:p>
        </w:tc>
        <w:tc>
          <w:tcPr>
            <w:tcW w:w="867" w:type="dxa"/>
            <w:vAlign w:val="center"/>
          </w:tcPr>
          <w:p w14:paraId="597A56AF">
            <w:pPr>
              <w:spacing w:line="300" w:lineRule="exact"/>
              <w:jc w:val="left"/>
              <w:rPr>
                <w:rFonts w:ascii="仿宋" w:hAnsi="仿宋" w:eastAsia="仿宋" w:cs="仿宋"/>
                <w:sz w:val="24"/>
                <w:szCs w:val="24"/>
              </w:rPr>
            </w:pPr>
          </w:p>
        </w:tc>
      </w:tr>
      <w:tr w14:paraId="29930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8" w:hRule="exact"/>
        </w:trPr>
        <w:tc>
          <w:tcPr>
            <w:tcW w:w="817" w:type="dxa"/>
            <w:vAlign w:val="center"/>
          </w:tcPr>
          <w:p w14:paraId="44DD3C0C">
            <w:pPr>
              <w:spacing w:line="300" w:lineRule="exact"/>
              <w:jc w:val="center"/>
              <w:rPr>
                <w:rFonts w:ascii="仿宋" w:hAnsi="仿宋" w:eastAsia="仿宋" w:cs="仿宋"/>
                <w:sz w:val="24"/>
                <w:szCs w:val="24"/>
              </w:rPr>
            </w:pPr>
            <w:r>
              <w:rPr>
                <w:rFonts w:hint="eastAsia" w:ascii="仿宋" w:hAnsi="仿宋" w:eastAsia="仿宋" w:cs="仿宋"/>
                <w:sz w:val="24"/>
                <w:szCs w:val="24"/>
              </w:rPr>
              <w:t>3</w:t>
            </w:r>
          </w:p>
        </w:tc>
        <w:tc>
          <w:tcPr>
            <w:tcW w:w="1117" w:type="dxa"/>
            <w:vAlign w:val="center"/>
          </w:tcPr>
          <w:p w14:paraId="7CC476F4">
            <w:pPr>
              <w:spacing w:line="300" w:lineRule="exact"/>
              <w:jc w:val="lef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叶面肥</w:t>
            </w:r>
          </w:p>
        </w:tc>
        <w:tc>
          <w:tcPr>
            <w:tcW w:w="1639" w:type="dxa"/>
            <w:vAlign w:val="center"/>
          </w:tcPr>
          <w:p w14:paraId="0BB5B54F">
            <w:pPr>
              <w:spacing w:line="300" w:lineRule="exact"/>
              <w:jc w:val="center"/>
              <w:rPr>
                <w:rFonts w:hint="default" w:ascii="仿宋" w:hAnsi="仿宋" w:eastAsia="仿宋" w:cs="仿宋"/>
                <w:sz w:val="24"/>
                <w:szCs w:val="24"/>
                <w:lang w:val="en-US"/>
              </w:rPr>
            </w:pPr>
            <w:r>
              <w:rPr>
                <w:rFonts w:hint="eastAsia" w:ascii="仿宋" w:hAnsi="仿宋" w:eastAsia="仿宋" w:cs="仿宋"/>
                <w:sz w:val="24"/>
                <w:szCs w:val="24"/>
                <w:lang w:val="en-US" w:eastAsia="zh-CN"/>
              </w:rPr>
              <w:t>140000</w:t>
            </w:r>
          </w:p>
        </w:tc>
        <w:tc>
          <w:tcPr>
            <w:tcW w:w="3045" w:type="dxa"/>
            <w:vAlign w:val="center"/>
          </w:tcPr>
          <w:p w14:paraId="32623A1E">
            <w:pPr>
              <w:spacing w:line="300" w:lineRule="exact"/>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大量元素水溶肥料：</w:t>
            </w:r>
          </w:p>
          <w:p w14:paraId="40307AD8">
            <w:pPr>
              <w:spacing w:line="300" w:lineRule="exact"/>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P₂O₅≥45%，K₂O≥45%</w:t>
            </w:r>
          </w:p>
          <w:p w14:paraId="145E116C">
            <w:pPr>
              <w:spacing w:line="300" w:lineRule="exact"/>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闪溶磷钾功能叶面肥50克/亩</w:t>
            </w:r>
          </w:p>
        </w:tc>
        <w:tc>
          <w:tcPr>
            <w:tcW w:w="1690" w:type="dxa"/>
            <w:vAlign w:val="center"/>
          </w:tcPr>
          <w:p w14:paraId="54881ACE">
            <w:pPr>
              <w:spacing w:line="300" w:lineRule="exact"/>
              <w:jc w:val="lef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50克/袋/亩</w:t>
            </w:r>
          </w:p>
        </w:tc>
        <w:tc>
          <w:tcPr>
            <w:tcW w:w="867" w:type="dxa"/>
            <w:vAlign w:val="center"/>
          </w:tcPr>
          <w:p w14:paraId="6DD7FFAA">
            <w:pPr>
              <w:spacing w:line="300" w:lineRule="exact"/>
              <w:jc w:val="left"/>
              <w:rPr>
                <w:rFonts w:ascii="仿宋" w:hAnsi="仿宋" w:eastAsia="仿宋" w:cs="仿宋"/>
                <w:sz w:val="24"/>
                <w:szCs w:val="24"/>
              </w:rPr>
            </w:pPr>
          </w:p>
        </w:tc>
      </w:tr>
    </w:tbl>
    <w:p w14:paraId="67EA4ACE">
      <w:pPr>
        <w:pBdr>
          <w:bottom w:val="single" w:color="auto" w:sz="4" w:space="1"/>
        </w:pBdr>
        <w:spacing w:beforeLines="100"/>
        <w:ind w:left="420" w:hanging="420"/>
        <w:rPr>
          <w:rFonts w:ascii="仿宋" w:hAnsi="仿宋" w:eastAsia="仿宋"/>
          <w:b/>
          <w:sz w:val="28"/>
          <w:szCs w:val="28"/>
        </w:rPr>
      </w:pPr>
      <w:r>
        <w:rPr>
          <w:rFonts w:hint="eastAsia" w:ascii="仿宋" w:hAnsi="仿宋" w:eastAsia="仿宋"/>
          <w:b/>
          <w:sz w:val="28"/>
          <w:szCs w:val="28"/>
        </w:rPr>
        <w:t>三、技术要求（包括对产品的认证、检验报告等）</w:t>
      </w:r>
    </w:p>
    <w:p w14:paraId="3E6618EA">
      <w:pPr>
        <w:ind w:firstLine="482" w:firstLineChars="200"/>
        <w:rPr>
          <w:rFonts w:ascii="楷体" w:hAnsi="楷体" w:eastAsia="楷体"/>
          <w:b/>
          <w:color w:val="FF0000"/>
          <w:sz w:val="24"/>
          <w:szCs w:val="28"/>
        </w:rPr>
      </w:pPr>
    </w:p>
    <w:p w14:paraId="5BCEB571">
      <w:pPr>
        <w:pBdr>
          <w:bottom w:val="single" w:color="auto" w:sz="4" w:space="1"/>
        </w:pBdr>
        <w:spacing w:beforeLines="100"/>
        <w:ind w:left="483" w:leftChars="230" w:firstLine="310" w:firstLineChars="100"/>
        <w:rPr>
          <w:rFonts w:hint="eastAsia" w:ascii="仿宋_GB2312" w:hAnsi="仿宋_GB2312" w:eastAsia="仿宋_GB2312" w:cs="仿宋_GB2312"/>
          <w:color w:val="000000"/>
          <w:sz w:val="31"/>
          <w:szCs w:val="31"/>
        </w:rPr>
      </w:pPr>
      <w:r>
        <w:rPr>
          <w:rFonts w:hint="eastAsia" w:ascii="仿宋_GB2312" w:hAnsi="仿宋_GB2312" w:eastAsia="仿宋_GB2312" w:cs="仿宋_GB2312"/>
          <w:color w:val="000000"/>
          <w:sz w:val="31"/>
          <w:szCs w:val="31"/>
        </w:rPr>
        <w:t>所采购的产品须为符合国家相关标准、三证齐全(农药登记证、生产许可证、产品标准证)，且对小麦蚜虫、吸浆虫、赤霉病、条锈病等主要病害虫具有良好防治效果的高效、低毒、低残留农药品种。</w:t>
      </w:r>
    </w:p>
    <w:p w14:paraId="06F65565">
      <w:pPr>
        <w:pBdr>
          <w:bottom w:val="single" w:color="auto" w:sz="4" w:space="1"/>
        </w:pBdr>
        <w:spacing w:beforeLines="100"/>
        <w:ind w:left="483" w:leftChars="230" w:firstLine="281" w:firstLineChars="100"/>
        <w:rPr>
          <w:rFonts w:ascii="仿宋" w:hAnsi="仿宋" w:eastAsia="仿宋"/>
          <w:b/>
          <w:sz w:val="28"/>
          <w:szCs w:val="28"/>
        </w:rPr>
      </w:pPr>
      <w:bookmarkStart w:id="3" w:name="_GoBack"/>
      <w:bookmarkEnd w:id="3"/>
      <w:r>
        <w:rPr>
          <w:rFonts w:hint="eastAsia" w:ascii="仿宋" w:hAnsi="仿宋" w:eastAsia="仿宋"/>
          <w:b/>
          <w:sz w:val="28"/>
          <w:szCs w:val="28"/>
          <w:lang w:val="en-US" w:eastAsia="zh-CN"/>
        </w:rPr>
        <w:t>四</w:t>
      </w:r>
      <w:r>
        <w:rPr>
          <w:rFonts w:hint="eastAsia" w:ascii="仿宋" w:hAnsi="仿宋" w:eastAsia="仿宋"/>
          <w:b/>
          <w:sz w:val="28"/>
          <w:szCs w:val="28"/>
        </w:rPr>
        <w:t>、商务要求</w:t>
      </w:r>
    </w:p>
    <w:p w14:paraId="454A9695">
      <w:pPr>
        <w:spacing w:line="400" w:lineRule="exact"/>
        <w:rPr>
          <w:rFonts w:ascii="仿宋" w:hAnsi="仿宋" w:eastAsia="仿宋"/>
          <w:sz w:val="28"/>
          <w:szCs w:val="28"/>
        </w:rPr>
      </w:pPr>
      <w:r>
        <w:rPr>
          <w:rFonts w:hint="eastAsia" w:ascii="仿宋" w:hAnsi="仿宋" w:eastAsia="仿宋"/>
          <w:sz w:val="28"/>
          <w:szCs w:val="28"/>
        </w:rPr>
        <w:t>（一）</w:t>
      </w:r>
      <w:r>
        <w:rPr>
          <w:rFonts w:hint="eastAsia" w:ascii="仿宋" w:hAnsi="仿宋" w:eastAsia="仿宋"/>
          <w:sz w:val="28"/>
          <w:szCs w:val="28"/>
          <w:lang w:val="en-US" w:eastAsia="zh-CN"/>
        </w:rPr>
        <w:t>供货</w:t>
      </w:r>
      <w:r>
        <w:rPr>
          <w:rFonts w:hint="eastAsia" w:ascii="仿宋" w:hAnsi="仿宋" w:eastAsia="仿宋"/>
          <w:sz w:val="28"/>
          <w:szCs w:val="28"/>
        </w:rPr>
        <w:t>期限</w:t>
      </w:r>
    </w:p>
    <w:p w14:paraId="710CDEF7">
      <w:pPr>
        <w:pStyle w:val="5"/>
        <w:spacing w:line="520" w:lineRule="exact"/>
        <w:rPr>
          <w:rFonts w:ascii="仿宋" w:hAnsi="仿宋" w:eastAsia="仿宋"/>
          <w:sz w:val="28"/>
          <w:szCs w:val="28"/>
          <w:lang w:val="zh-CN"/>
        </w:rPr>
      </w:pPr>
      <w:r>
        <w:rPr>
          <w:rFonts w:hint="eastAsia" w:ascii="仿宋" w:hAnsi="仿宋" w:eastAsia="仿宋"/>
          <w:sz w:val="28"/>
          <w:szCs w:val="28"/>
          <w:lang w:val="en-US" w:eastAsia="zh-CN"/>
        </w:rPr>
        <w:t>1</w:t>
      </w:r>
      <w:r>
        <w:rPr>
          <w:rFonts w:hint="eastAsia" w:ascii="仿宋" w:hAnsi="仿宋" w:eastAsia="仿宋"/>
          <w:sz w:val="28"/>
          <w:szCs w:val="28"/>
          <w:lang w:val="zh-CN"/>
        </w:rPr>
        <w:t>、</w:t>
      </w:r>
      <w:r>
        <w:rPr>
          <w:rFonts w:hint="eastAsia" w:ascii="仿宋" w:hAnsi="仿宋" w:eastAsia="仿宋"/>
          <w:sz w:val="28"/>
          <w:szCs w:val="28"/>
          <w:lang w:val="en-US" w:eastAsia="zh-CN"/>
        </w:rPr>
        <w:t>供货</w:t>
      </w:r>
      <w:r>
        <w:rPr>
          <w:rFonts w:hint="eastAsia" w:ascii="仿宋" w:hAnsi="仿宋" w:eastAsia="仿宋"/>
          <w:sz w:val="28"/>
          <w:szCs w:val="28"/>
        </w:rPr>
        <w:t>地点</w:t>
      </w:r>
      <w:r>
        <w:rPr>
          <w:rFonts w:hint="eastAsia" w:ascii="仿宋" w:hAnsi="仿宋" w:eastAsia="仿宋"/>
          <w:sz w:val="28"/>
          <w:szCs w:val="28"/>
          <w:lang w:val="zh-CN"/>
        </w:rPr>
        <w:t>：</w:t>
      </w:r>
      <w:r>
        <w:rPr>
          <w:rFonts w:hint="eastAsia" w:ascii="仿宋" w:hAnsi="仿宋" w:eastAsia="仿宋"/>
          <w:sz w:val="28"/>
          <w:szCs w:val="28"/>
        </w:rPr>
        <w:t>采购人</w:t>
      </w:r>
      <w:r>
        <w:rPr>
          <w:rFonts w:hint="eastAsia" w:ascii="仿宋" w:hAnsi="仿宋" w:eastAsia="仿宋"/>
          <w:sz w:val="28"/>
          <w:szCs w:val="28"/>
          <w:lang w:val="zh-CN"/>
        </w:rPr>
        <w:t>指定地点。</w:t>
      </w:r>
    </w:p>
    <w:p w14:paraId="639BE0F5">
      <w:pPr>
        <w:pStyle w:val="5"/>
        <w:spacing w:line="520" w:lineRule="exact"/>
        <w:rPr>
          <w:rFonts w:hint="eastAsia" w:ascii="仿宋" w:hAnsi="仿宋" w:eastAsia="仿宋"/>
          <w:sz w:val="28"/>
          <w:szCs w:val="28"/>
          <w:lang w:val="zh-CN"/>
        </w:rPr>
      </w:pPr>
      <w:r>
        <w:rPr>
          <w:rFonts w:hint="eastAsia" w:ascii="仿宋" w:hAnsi="仿宋" w:eastAsia="仿宋"/>
          <w:sz w:val="28"/>
          <w:szCs w:val="28"/>
          <w:lang w:val="en-US" w:eastAsia="zh-CN"/>
        </w:rPr>
        <w:t>2</w:t>
      </w:r>
      <w:r>
        <w:rPr>
          <w:rFonts w:hint="eastAsia" w:ascii="仿宋" w:hAnsi="仿宋" w:eastAsia="仿宋"/>
          <w:sz w:val="28"/>
          <w:szCs w:val="28"/>
          <w:lang w:val="zh-CN"/>
        </w:rPr>
        <w:t>、</w:t>
      </w:r>
      <w:r>
        <w:rPr>
          <w:rFonts w:hint="eastAsia" w:ascii="仿宋" w:hAnsi="仿宋" w:eastAsia="仿宋"/>
          <w:sz w:val="28"/>
          <w:szCs w:val="28"/>
          <w:lang w:val="en-US" w:eastAsia="zh-CN"/>
        </w:rPr>
        <w:t>供货</w:t>
      </w:r>
      <w:r>
        <w:rPr>
          <w:rFonts w:hint="eastAsia" w:ascii="仿宋" w:hAnsi="仿宋" w:eastAsia="仿宋"/>
          <w:sz w:val="28"/>
          <w:szCs w:val="28"/>
        </w:rPr>
        <w:t>期限</w:t>
      </w:r>
      <w:r>
        <w:rPr>
          <w:rFonts w:hint="eastAsia" w:ascii="仿宋" w:hAnsi="仿宋" w:eastAsia="仿宋"/>
          <w:sz w:val="28"/>
          <w:szCs w:val="28"/>
          <w:lang w:val="zh-CN"/>
        </w:rPr>
        <w:t>：合同签订之日至202</w:t>
      </w:r>
      <w:r>
        <w:rPr>
          <w:rFonts w:hint="eastAsia" w:ascii="仿宋" w:hAnsi="仿宋" w:eastAsia="仿宋"/>
          <w:sz w:val="28"/>
          <w:szCs w:val="28"/>
          <w:lang w:val="en-US" w:eastAsia="zh-CN"/>
        </w:rPr>
        <w:t>6</w:t>
      </w:r>
      <w:r>
        <w:rPr>
          <w:rFonts w:hint="eastAsia" w:ascii="仿宋" w:hAnsi="仿宋" w:eastAsia="仿宋"/>
          <w:sz w:val="28"/>
          <w:szCs w:val="28"/>
          <w:lang w:val="zh-CN"/>
        </w:rPr>
        <w:t>年</w:t>
      </w:r>
      <w:r>
        <w:rPr>
          <w:rFonts w:hint="eastAsia" w:ascii="仿宋" w:hAnsi="仿宋" w:eastAsia="仿宋"/>
          <w:sz w:val="28"/>
          <w:szCs w:val="28"/>
          <w:lang w:val="en-US" w:eastAsia="zh-CN"/>
        </w:rPr>
        <w:t>10</w:t>
      </w:r>
      <w:r>
        <w:rPr>
          <w:rFonts w:hint="eastAsia" w:ascii="仿宋" w:hAnsi="仿宋" w:eastAsia="仿宋"/>
          <w:sz w:val="28"/>
          <w:szCs w:val="28"/>
          <w:lang w:val="zh-CN"/>
        </w:rPr>
        <w:t>月</w:t>
      </w:r>
      <w:r>
        <w:rPr>
          <w:rFonts w:hint="eastAsia" w:ascii="仿宋" w:hAnsi="仿宋" w:eastAsia="仿宋"/>
          <w:sz w:val="28"/>
          <w:szCs w:val="28"/>
          <w:lang w:val="en-US" w:eastAsia="zh-CN"/>
        </w:rPr>
        <w:t>31</w:t>
      </w:r>
      <w:r>
        <w:rPr>
          <w:rFonts w:hint="eastAsia" w:ascii="仿宋" w:hAnsi="仿宋" w:eastAsia="仿宋"/>
          <w:sz w:val="28"/>
          <w:szCs w:val="28"/>
          <w:lang w:val="zh-CN"/>
        </w:rPr>
        <w:t>日</w:t>
      </w:r>
      <w:r>
        <w:rPr>
          <w:rFonts w:hint="eastAsia" w:ascii="仿宋" w:hAnsi="仿宋" w:eastAsia="仿宋"/>
          <w:sz w:val="28"/>
          <w:szCs w:val="28"/>
          <w:lang w:val="en-US" w:eastAsia="zh-CN"/>
        </w:rPr>
        <w:t>前</w:t>
      </w:r>
      <w:r>
        <w:rPr>
          <w:rFonts w:hint="eastAsia" w:ascii="仿宋" w:hAnsi="仿宋" w:eastAsia="仿宋"/>
          <w:sz w:val="28"/>
          <w:szCs w:val="28"/>
          <w:lang w:val="zh-CN"/>
        </w:rPr>
        <w:t>。</w:t>
      </w:r>
    </w:p>
    <w:p w14:paraId="6D54E5BC">
      <w:pPr>
        <w:rPr>
          <w:rFonts w:ascii="仿宋" w:hAnsi="仿宋" w:eastAsia="仿宋"/>
          <w:sz w:val="28"/>
          <w:szCs w:val="28"/>
        </w:rPr>
      </w:pPr>
      <w:r>
        <w:rPr>
          <w:rFonts w:hint="eastAsia" w:ascii="仿宋" w:hAnsi="仿宋" w:eastAsia="仿宋"/>
          <w:sz w:val="28"/>
          <w:szCs w:val="28"/>
        </w:rPr>
        <w:t>（二）款项结算</w:t>
      </w:r>
    </w:p>
    <w:p w14:paraId="689BD998">
      <w:pPr>
        <w:spacing w:line="520" w:lineRule="exact"/>
        <w:ind w:firstLine="560" w:firstLineChars="200"/>
        <w:outlineLvl w:val="1"/>
        <w:rPr>
          <w:rFonts w:ascii="仿宋" w:hAnsi="仿宋" w:eastAsia="仿宋"/>
          <w:sz w:val="28"/>
          <w:szCs w:val="28"/>
        </w:rPr>
      </w:pPr>
      <w:bookmarkStart w:id="0" w:name="_Toc24649"/>
      <w:bookmarkStart w:id="1" w:name="_Toc26333"/>
      <w:bookmarkStart w:id="2" w:name="_Toc22860"/>
      <w:r>
        <w:rPr>
          <w:rFonts w:hint="eastAsia" w:ascii="仿宋" w:hAnsi="仿宋" w:eastAsia="仿宋"/>
          <w:sz w:val="28"/>
          <w:szCs w:val="28"/>
        </w:rPr>
        <w:t>1、结算单位：采购人结算，在付款前必须开具等额发票给采购人。</w:t>
      </w:r>
      <w:bookmarkEnd w:id="0"/>
    </w:p>
    <w:p w14:paraId="4DE3D80C">
      <w:pPr>
        <w:spacing w:line="520" w:lineRule="exact"/>
        <w:ind w:firstLine="560" w:firstLineChars="200"/>
        <w:rPr>
          <w:rFonts w:ascii="仿宋" w:hAnsi="仿宋" w:eastAsia="仿宋"/>
          <w:sz w:val="28"/>
          <w:szCs w:val="28"/>
        </w:rPr>
      </w:pPr>
      <w:r>
        <w:rPr>
          <w:rFonts w:hint="eastAsia" w:ascii="仿宋" w:hAnsi="仿宋" w:eastAsia="仿宋"/>
          <w:sz w:val="28"/>
          <w:szCs w:val="28"/>
        </w:rPr>
        <w:t>2、付款方式：无预付款，该项目验收完成后，及时全额支付。</w:t>
      </w:r>
    </w:p>
    <w:p w14:paraId="2F949DA2">
      <w:pPr>
        <w:spacing w:line="520" w:lineRule="exact"/>
        <w:ind w:firstLine="560" w:firstLineChars="200"/>
        <w:rPr>
          <w:rFonts w:ascii="仿宋" w:hAnsi="仿宋" w:eastAsia="仿宋"/>
          <w:sz w:val="28"/>
          <w:szCs w:val="28"/>
        </w:rPr>
      </w:pPr>
      <w:r>
        <w:rPr>
          <w:rFonts w:hint="eastAsia" w:ascii="仿宋" w:hAnsi="仿宋" w:eastAsia="仿宋"/>
          <w:sz w:val="28"/>
          <w:szCs w:val="28"/>
        </w:rPr>
        <w:t>3、支付方式：银行转账。</w:t>
      </w:r>
    </w:p>
    <w:p w14:paraId="129D3E4D">
      <w:pPr>
        <w:spacing w:line="520" w:lineRule="exact"/>
        <w:ind w:firstLine="560" w:firstLineChars="200"/>
        <w:rPr>
          <w:rFonts w:ascii="仿宋" w:hAnsi="仿宋" w:eastAsia="仿宋"/>
          <w:sz w:val="28"/>
          <w:szCs w:val="28"/>
        </w:rPr>
      </w:pPr>
      <w:r>
        <w:rPr>
          <w:rFonts w:hint="eastAsia" w:ascii="仿宋" w:hAnsi="仿宋" w:eastAsia="仿宋"/>
          <w:sz w:val="28"/>
          <w:szCs w:val="28"/>
        </w:rPr>
        <w:t>4、结算方式：乙方在接受付款前开具等额发票给甲方。</w:t>
      </w:r>
    </w:p>
    <w:bookmarkEnd w:id="1"/>
    <w:bookmarkEnd w:id="2"/>
    <w:p w14:paraId="403F46E0">
      <w:pPr>
        <w:pBdr>
          <w:bottom w:val="single" w:color="auto" w:sz="4" w:space="1"/>
        </w:pBdr>
        <w:spacing w:beforeLines="100"/>
        <w:rPr>
          <w:rFonts w:ascii="仿宋" w:hAnsi="仿宋" w:eastAsia="仿宋"/>
          <w:b/>
          <w:sz w:val="28"/>
          <w:szCs w:val="28"/>
        </w:rPr>
      </w:pPr>
      <w:r>
        <w:rPr>
          <w:rFonts w:hint="eastAsia" w:ascii="仿宋" w:hAnsi="仿宋" w:eastAsia="仿宋"/>
          <w:b/>
          <w:sz w:val="28"/>
          <w:szCs w:val="28"/>
          <w:lang w:val="en-US" w:eastAsia="zh-CN"/>
        </w:rPr>
        <w:t>五</w:t>
      </w:r>
      <w:r>
        <w:rPr>
          <w:rFonts w:hint="eastAsia" w:ascii="仿宋" w:hAnsi="仿宋" w:eastAsia="仿宋"/>
          <w:b/>
          <w:sz w:val="28"/>
          <w:szCs w:val="28"/>
        </w:rPr>
        <w:t>、其他</w:t>
      </w:r>
    </w:p>
    <w:p w14:paraId="4ED7F8AC">
      <w:pPr>
        <w:spacing w:line="400" w:lineRule="exact"/>
        <w:rPr>
          <w:rFonts w:hint="eastAsia" w:ascii="仿宋" w:hAnsi="仿宋" w:eastAsia="仿宋"/>
          <w:sz w:val="28"/>
          <w:szCs w:val="28"/>
        </w:rPr>
      </w:pPr>
      <w:r>
        <w:rPr>
          <w:rFonts w:hint="eastAsia" w:ascii="仿宋" w:hAnsi="仿宋" w:eastAsia="仿宋"/>
          <w:sz w:val="28"/>
          <w:szCs w:val="28"/>
        </w:rPr>
        <w:t>（一</w:t>
      </w:r>
      <w:r>
        <w:rPr>
          <w:rFonts w:ascii="仿宋" w:hAnsi="仿宋" w:eastAsia="仿宋"/>
          <w:sz w:val="28"/>
          <w:szCs w:val="28"/>
        </w:rPr>
        <w:t>）</w:t>
      </w:r>
      <w:r>
        <w:rPr>
          <w:rFonts w:hint="eastAsia" w:ascii="仿宋" w:hAnsi="仿宋" w:eastAsia="仿宋"/>
          <w:sz w:val="28"/>
          <w:szCs w:val="28"/>
        </w:rPr>
        <w:t>对供应商业绩的要求。</w:t>
      </w:r>
    </w:p>
    <w:p w14:paraId="06BF0F01">
      <w:pPr>
        <w:ind w:firstLine="560" w:firstLineChars="200"/>
        <w:rPr>
          <w:rFonts w:hint="eastAsia" w:ascii="仿宋" w:hAnsi="仿宋" w:eastAsia="仿宋"/>
          <w:sz w:val="28"/>
          <w:szCs w:val="28"/>
          <w:lang w:eastAsia="zh-CN"/>
        </w:rPr>
      </w:pPr>
      <w:r>
        <w:rPr>
          <w:rFonts w:hint="eastAsia" w:ascii="仿宋" w:hAnsi="仿宋" w:eastAsia="仿宋"/>
          <w:sz w:val="28"/>
          <w:szCs w:val="28"/>
        </w:rPr>
        <w:t>服务商提供近</w:t>
      </w:r>
      <w:r>
        <w:rPr>
          <w:rFonts w:hint="eastAsia" w:ascii="仿宋" w:hAnsi="仿宋" w:eastAsia="仿宋"/>
          <w:sz w:val="28"/>
          <w:szCs w:val="28"/>
          <w:lang w:val="en-US" w:eastAsia="zh-CN"/>
        </w:rPr>
        <w:t>三</w:t>
      </w:r>
      <w:r>
        <w:rPr>
          <w:rFonts w:hint="eastAsia" w:ascii="仿宋" w:hAnsi="仿宋" w:eastAsia="仿宋"/>
          <w:sz w:val="28"/>
          <w:szCs w:val="28"/>
        </w:rPr>
        <w:t>年同类似项目业绩</w:t>
      </w:r>
      <w:r>
        <w:rPr>
          <w:rFonts w:hint="eastAsia" w:ascii="仿宋" w:hAnsi="仿宋" w:eastAsia="仿宋"/>
          <w:sz w:val="28"/>
          <w:szCs w:val="28"/>
          <w:lang w:eastAsia="zh-CN"/>
        </w:rPr>
        <w:t>，</w:t>
      </w:r>
    </w:p>
    <w:p w14:paraId="250D306B">
      <w:pPr>
        <w:spacing w:line="400" w:lineRule="exact"/>
        <w:rPr>
          <w:rFonts w:ascii="仿宋" w:hAnsi="仿宋" w:eastAsia="仿宋"/>
          <w:sz w:val="28"/>
          <w:szCs w:val="28"/>
        </w:rPr>
      </w:pPr>
      <w:r>
        <w:rPr>
          <w:rFonts w:hint="eastAsia" w:ascii="仿宋" w:hAnsi="仿宋" w:eastAsia="仿宋"/>
          <w:sz w:val="28"/>
          <w:szCs w:val="28"/>
        </w:rPr>
        <w:t>（二）质量验收标准或规范</w:t>
      </w:r>
    </w:p>
    <w:p w14:paraId="04E67AEA">
      <w:pPr>
        <w:spacing w:line="400" w:lineRule="exact"/>
        <w:ind w:firstLine="560" w:firstLineChars="200"/>
        <w:rPr>
          <w:rFonts w:ascii="仿宋" w:hAnsi="仿宋" w:eastAsia="仿宋"/>
          <w:sz w:val="28"/>
          <w:szCs w:val="28"/>
        </w:rPr>
      </w:pPr>
      <w:r>
        <w:rPr>
          <w:rFonts w:hint="eastAsia" w:ascii="仿宋" w:hAnsi="仿宋" w:eastAsia="仿宋"/>
          <w:sz w:val="28"/>
          <w:szCs w:val="28"/>
        </w:rPr>
        <w:t>现行的国家标准或国家行政部门颁布的法律法规、规章制度等，是项目验收的另一个重要依据。没有国家标准的，可以参考行业标准。</w:t>
      </w:r>
    </w:p>
    <w:p w14:paraId="00BF7F93">
      <w:pPr>
        <w:spacing w:line="400" w:lineRule="exact"/>
        <w:rPr>
          <w:rFonts w:ascii="仿宋" w:hAnsi="仿宋" w:eastAsia="仿宋"/>
          <w:sz w:val="28"/>
          <w:szCs w:val="28"/>
        </w:rPr>
      </w:pPr>
      <w:r>
        <w:rPr>
          <w:rFonts w:hint="eastAsia" w:ascii="仿宋" w:hAnsi="仿宋" w:eastAsia="仿宋"/>
          <w:sz w:val="28"/>
          <w:szCs w:val="28"/>
        </w:rPr>
        <w:t>（三）产品质保期</w:t>
      </w:r>
    </w:p>
    <w:p w14:paraId="6345975E">
      <w:pPr>
        <w:ind w:firstLine="560" w:firstLineChars="200"/>
        <w:rPr>
          <w:rFonts w:hint="eastAsia" w:eastAsia="仿宋"/>
          <w:lang w:val="en-US" w:eastAsia="zh-CN"/>
        </w:rPr>
      </w:pPr>
      <w:r>
        <w:rPr>
          <w:rFonts w:hint="eastAsia" w:ascii="仿宋" w:hAnsi="仿宋" w:eastAsia="仿宋"/>
          <w:sz w:val="28"/>
          <w:szCs w:val="28"/>
        </w:rPr>
        <w:t>按甲方要求提供产品质量证件</w:t>
      </w:r>
      <w:r>
        <w:rPr>
          <w:rFonts w:hint="eastAsia" w:ascii="仿宋" w:hAnsi="仿宋" w:eastAsia="仿宋"/>
          <w:sz w:val="28"/>
          <w:szCs w:val="28"/>
          <w:lang w:eastAsia="zh-CN"/>
        </w:rPr>
        <w:t>。</w:t>
      </w:r>
    </w:p>
    <w:p w14:paraId="4515362C">
      <w:pPr>
        <w:rPr>
          <w:rFonts w:ascii="仿宋" w:hAnsi="仿宋" w:eastAsia="仿宋"/>
          <w:sz w:val="28"/>
          <w:szCs w:val="28"/>
        </w:rPr>
      </w:pPr>
      <w:r>
        <w:rPr>
          <w:rFonts w:hint="eastAsia" w:ascii="仿宋" w:hAnsi="仿宋" w:eastAsia="仿宋"/>
          <w:sz w:val="28"/>
          <w:szCs w:val="28"/>
        </w:rPr>
        <w:t>（四</w:t>
      </w:r>
      <w:r>
        <w:rPr>
          <w:rFonts w:ascii="仿宋" w:hAnsi="仿宋" w:eastAsia="仿宋"/>
          <w:sz w:val="28"/>
          <w:szCs w:val="28"/>
        </w:rPr>
        <w:t>）违约责任</w:t>
      </w:r>
    </w:p>
    <w:p w14:paraId="37E8339B">
      <w:pPr>
        <w:ind w:firstLine="560" w:firstLineChars="200"/>
      </w:pPr>
      <w:r>
        <w:rPr>
          <w:rFonts w:ascii="仿宋" w:hAnsi="仿宋" w:eastAsia="仿宋"/>
          <w:sz w:val="28"/>
          <w:szCs w:val="28"/>
        </w:rPr>
        <w:t>甲乙双方按照《合同法》相关条款执行。</w:t>
      </w:r>
    </w:p>
    <w:sectPr>
      <w:pgSz w:w="11906" w:h="16838"/>
      <w:pgMar w:top="1440" w:right="1800" w:bottom="1135"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auto"/>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C7F40B"/>
    <w:multiLevelType w:val="singleLevel"/>
    <w:tmpl w:val="9AC7F40B"/>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2"/>
  </w:compat>
  <w:docVars>
    <w:docVar w:name="commondata" w:val="eyJoZGlkIjoiOGU0NTFiZjY2Y2FlMWI4ZjA1ODRkNDg1OWE3OTFmYWYifQ=="/>
  </w:docVars>
  <w:rsids>
    <w:rsidRoot w:val="0022387C"/>
    <w:rsid w:val="0000159C"/>
    <w:rsid w:val="000019FA"/>
    <w:rsid w:val="00002BB3"/>
    <w:rsid w:val="00003F53"/>
    <w:rsid w:val="00004F9A"/>
    <w:rsid w:val="00006A52"/>
    <w:rsid w:val="00012137"/>
    <w:rsid w:val="00012844"/>
    <w:rsid w:val="00012F9B"/>
    <w:rsid w:val="00013929"/>
    <w:rsid w:val="00014DAF"/>
    <w:rsid w:val="00015802"/>
    <w:rsid w:val="00016042"/>
    <w:rsid w:val="00022F41"/>
    <w:rsid w:val="00023261"/>
    <w:rsid w:val="000234CF"/>
    <w:rsid w:val="000235C8"/>
    <w:rsid w:val="00027E6B"/>
    <w:rsid w:val="0003251F"/>
    <w:rsid w:val="00032BB4"/>
    <w:rsid w:val="00033377"/>
    <w:rsid w:val="00033B5A"/>
    <w:rsid w:val="00037F2F"/>
    <w:rsid w:val="00037FD3"/>
    <w:rsid w:val="000403A2"/>
    <w:rsid w:val="00040799"/>
    <w:rsid w:val="00040973"/>
    <w:rsid w:val="00043830"/>
    <w:rsid w:val="000440AF"/>
    <w:rsid w:val="00044F32"/>
    <w:rsid w:val="00051EF3"/>
    <w:rsid w:val="000543B4"/>
    <w:rsid w:val="00054879"/>
    <w:rsid w:val="000556F1"/>
    <w:rsid w:val="0005692F"/>
    <w:rsid w:val="00061A13"/>
    <w:rsid w:val="00063EEF"/>
    <w:rsid w:val="00064071"/>
    <w:rsid w:val="00064386"/>
    <w:rsid w:val="00067A39"/>
    <w:rsid w:val="00067D44"/>
    <w:rsid w:val="0007053B"/>
    <w:rsid w:val="00070AA6"/>
    <w:rsid w:val="0007534F"/>
    <w:rsid w:val="000770B7"/>
    <w:rsid w:val="00077B80"/>
    <w:rsid w:val="000857F2"/>
    <w:rsid w:val="00090002"/>
    <w:rsid w:val="000906B5"/>
    <w:rsid w:val="000911CC"/>
    <w:rsid w:val="000951C6"/>
    <w:rsid w:val="00095A8D"/>
    <w:rsid w:val="00096428"/>
    <w:rsid w:val="00097CDB"/>
    <w:rsid w:val="000A0237"/>
    <w:rsid w:val="000A2583"/>
    <w:rsid w:val="000B5ACF"/>
    <w:rsid w:val="000B6858"/>
    <w:rsid w:val="000C048C"/>
    <w:rsid w:val="000C078B"/>
    <w:rsid w:val="000C21A4"/>
    <w:rsid w:val="000C538D"/>
    <w:rsid w:val="000C59A5"/>
    <w:rsid w:val="000D0AF3"/>
    <w:rsid w:val="000D0DE1"/>
    <w:rsid w:val="000D1277"/>
    <w:rsid w:val="000D2633"/>
    <w:rsid w:val="000D4097"/>
    <w:rsid w:val="000E3FB5"/>
    <w:rsid w:val="000E6AE7"/>
    <w:rsid w:val="000F0C8A"/>
    <w:rsid w:val="000F1A9A"/>
    <w:rsid w:val="000F27AD"/>
    <w:rsid w:val="000F2BEC"/>
    <w:rsid w:val="000F35AB"/>
    <w:rsid w:val="000F3645"/>
    <w:rsid w:val="000F4ECB"/>
    <w:rsid w:val="000F66FE"/>
    <w:rsid w:val="000F6831"/>
    <w:rsid w:val="000F6A10"/>
    <w:rsid w:val="000F735B"/>
    <w:rsid w:val="000F7DA6"/>
    <w:rsid w:val="00100C1B"/>
    <w:rsid w:val="00102E65"/>
    <w:rsid w:val="00103379"/>
    <w:rsid w:val="00106530"/>
    <w:rsid w:val="00107B8A"/>
    <w:rsid w:val="001101BD"/>
    <w:rsid w:val="00111F0F"/>
    <w:rsid w:val="001131D6"/>
    <w:rsid w:val="00113B9B"/>
    <w:rsid w:val="00121FC0"/>
    <w:rsid w:val="00122D76"/>
    <w:rsid w:val="001257D4"/>
    <w:rsid w:val="0013015E"/>
    <w:rsid w:val="00131904"/>
    <w:rsid w:val="0013342E"/>
    <w:rsid w:val="001338D9"/>
    <w:rsid w:val="00133ADB"/>
    <w:rsid w:val="00134EE2"/>
    <w:rsid w:val="001351E3"/>
    <w:rsid w:val="00135AA2"/>
    <w:rsid w:val="00136D4A"/>
    <w:rsid w:val="00137E7B"/>
    <w:rsid w:val="00142244"/>
    <w:rsid w:val="001454AD"/>
    <w:rsid w:val="001455F6"/>
    <w:rsid w:val="001456C7"/>
    <w:rsid w:val="0015361E"/>
    <w:rsid w:val="00156ED5"/>
    <w:rsid w:val="001630D0"/>
    <w:rsid w:val="00164101"/>
    <w:rsid w:val="00164EE1"/>
    <w:rsid w:val="00166FD9"/>
    <w:rsid w:val="00167ECE"/>
    <w:rsid w:val="0017054A"/>
    <w:rsid w:val="00171A61"/>
    <w:rsid w:val="00173749"/>
    <w:rsid w:val="00173A35"/>
    <w:rsid w:val="0017410F"/>
    <w:rsid w:val="00174285"/>
    <w:rsid w:val="00175756"/>
    <w:rsid w:val="00176F0E"/>
    <w:rsid w:val="00184F72"/>
    <w:rsid w:val="00187846"/>
    <w:rsid w:val="00191A7E"/>
    <w:rsid w:val="00193B5F"/>
    <w:rsid w:val="001947E8"/>
    <w:rsid w:val="00194890"/>
    <w:rsid w:val="00196A1C"/>
    <w:rsid w:val="001A2103"/>
    <w:rsid w:val="001A5309"/>
    <w:rsid w:val="001A5764"/>
    <w:rsid w:val="001B0699"/>
    <w:rsid w:val="001B2019"/>
    <w:rsid w:val="001B49FD"/>
    <w:rsid w:val="001C0BA3"/>
    <w:rsid w:val="001C0BBD"/>
    <w:rsid w:val="001C25ED"/>
    <w:rsid w:val="001D1BCB"/>
    <w:rsid w:val="001D22C0"/>
    <w:rsid w:val="001D4171"/>
    <w:rsid w:val="001D576E"/>
    <w:rsid w:val="001D60C4"/>
    <w:rsid w:val="001D70BC"/>
    <w:rsid w:val="001E2BB9"/>
    <w:rsid w:val="001E6A70"/>
    <w:rsid w:val="001F2059"/>
    <w:rsid w:val="001F49A1"/>
    <w:rsid w:val="001F4ACC"/>
    <w:rsid w:val="001F7532"/>
    <w:rsid w:val="00201795"/>
    <w:rsid w:val="0020498C"/>
    <w:rsid w:val="00207790"/>
    <w:rsid w:val="00210CFC"/>
    <w:rsid w:val="00210FBE"/>
    <w:rsid w:val="002125C8"/>
    <w:rsid w:val="00213205"/>
    <w:rsid w:val="002137AF"/>
    <w:rsid w:val="002174B0"/>
    <w:rsid w:val="00220787"/>
    <w:rsid w:val="0022387C"/>
    <w:rsid w:val="00230C6A"/>
    <w:rsid w:val="00233D53"/>
    <w:rsid w:val="002345B9"/>
    <w:rsid w:val="00237A3F"/>
    <w:rsid w:val="00237C8C"/>
    <w:rsid w:val="0024210D"/>
    <w:rsid w:val="00244C29"/>
    <w:rsid w:val="00247B11"/>
    <w:rsid w:val="00250468"/>
    <w:rsid w:val="00250A0D"/>
    <w:rsid w:val="00250B6E"/>
    <w:rsid w:val="00252050"/>
    <w:rsid w:val="00253B74"/>
    <w:rsid w:val="002547E0"/>
    <w:rsid w:val="00255DBC"/>
    <w:rsid w:val="0025777A"/>
    <w:rsid w:val="00260306"/>
    <w:rsid w:val="00261898"/>
    <w:rsid w:val="00264014"/>
    <w:rsid w:val="0026501F"/>
    <w:rsid w:val="00266611"/>
    <w:rsid w:val="00267AE5"/>
    <w:rsid w:val="00267C8A"/>
    <w:rsid w:val="00271136"/>
    <w:rsid w:val="00273219"/>
    <w:rsid w:val="002742EA"/>
    <w:rsid w:val="0027449B"/>
    <w:rsid w:val="00276641"/>
    <w:rsid w:val="0028033D"/>
    <w:rsid w:val="00282837"/>
    <w:rsid w:val="00287A1E"/>
    <w:rsid w:val="00291777"/>
    <w:rsid w:val="0029384E"/>
    <w:rsid w:val="002938B0"/>
    <w:rsid w:val="002961E2"/>
    <w:rsid w:val="00296372"/>
    <w:rsid w:val="00297703"/>
    <w:rsid w:val="00297866"/>
    <w:rsid w:val="002A3B25"/>
    <w:rsid w:val="002A6815"/>
    <w:rsid w:val="002B35C4"/>
    <w:rsid w:val="002B36C2"/>
    <w:rsid w:val="002B59BE"/>
    <w:rsid w:val="002B65AB"/>
    <w:rsid w:val="002B696D"/>
    <w:rsid w:val="002C4511"/>
    <w:rsid w:val="002D2B5F"/>
    <w:rsid w:val="002D327B"/>
    <w:rsid w:val="002D41DD"/>
    <w:rsid w:val="002D7418"/>
    <w:rsid w:val="002E1660"/>
    <w:rsid w:val="002E43F6"/>
    <w:rsid w:val="002E7C3E"/>
    <w:rsid w:val="002F1C19"/>
    <w:rsid w:val="002F1C7D"/>
    <w:rsid w:val="002F1EC9"/>
    <w:rsid w:val="002F25EC"/>
    <w:rsid w:val="002F2EAB"/>
    <w:rsid w:val="002F30DD"/>
    <w:rsid w:val="002F3224"/>
    <w:rsid w:val="002F7D7D"/>
    <w:rsid w:val="00300067"/>
    <w:rsid w:val="00300B27"/>
    <w:rsid w:val="0030123B"/>
    <w:rsid w:val="00301FAE"/>
    <w:rsid w:val="003024CF"/>
    <w:rsid w:val="00306470"/>
    <w:rsid w:val="00311862"/>
    <w:rsid w:val="00316D60"/>
    <w:rsid w:val="003172BB"/>
    <w:rsid w:val="00322208"/>
    <w:rsid w:val="003245F8"/>
    <w:rsid w:val="00325D47"/>
    <w:rsid w:val="00325EF1"/>
    <w:rsid w:val="00332A7C"/>
    <w:rsid w:val="00337CFC"/>
    <w:rsid w:val="003406B1"/>
    <w:rsid w:val="00343305"/>
    <w:rsid w:val="003443D3"/>
    <w:rsid w:val="003450CD"/>
    <w:rsid w:val="00345F35"/>
    <w:rsid w:val="00351734"/>
    <w:rsid w:val="00354FCF"/>
    <w:rsid w:val="00360830"/>
    <w:rsid w:val="00364896"/>
    <w:rsid w:val="00366A2C"/>
    <w:rsid w:val="00372CF8"/>
    <w:rsid w:val="00373AE9"/>
    <w:rsid w:val="00374506"/>
    <w:rsid w:val="0037495D"/>
    <w:rsid w:val="00375819"/>
    <w:rsid w:val="00375C89"/>
    <w:rsid w:val="00376DAF"/>
    <w:rsid w:val="003833FB"/>
    <w:rsid w:val="00383F8F"/>
    <w:rsid w:val="003872CB"/>
    <w:rsid w:val="00387AFC"/>
    <w:rsid w:val="00390290"/>
    <w:rsid w:val="0039216D"/>
    <w:rsid w:val="00392EBD"/>
    <w:rsid w:val="00393459"/>
    <w:rsid w:val="003943D1"/>
    <w:rsid w:val="0039449C"/>
    <w:rsid w:val="00395695"/>
    <w:rsid w:val="003A0002"/>
    <w:rsid w:val="003A0295"/>
    <w:rsid w:val="003A0D83"/>
    <w:rsid w:val="003B0D75"/>
    <w:rsid w:val="003B3207"/>
    <w:rsid w:val="003C3325"/>
    <w:rsid w:val="003D2606"/>
    <w:rsid w:val="003D39C7"/>
    <w:rsid w:val="003D45F5"/>
    <w:rsid w:val="003D6B60"/>
    <w:rsid w:val="003E010E"/>
    <w:rsid w:val="003E1D81"/>
    <w:rsid w:val="003E7874"/>
    <w:rsid w:val="003F60A3"/>
    <w:rsid w:val="004001BE"/>
    <w:rsid w:val="0040124D"/>
    <w:rsid w:val="004017C8"/>
    <w:rsid w:val="0040181A"/>
    <w:rsid w:val="004024C2"/>
    <w:rsid w:val="004068A7"/>
    <w:rsid w:val="00406C11"/>
    <w:rsid w:val="004106B2"/>
    <w:rsid w:val="00412CBC"/>
    <w:rsid w:val="004156E2"/>
    <w:rsid w:val="0042388D"/>
    <w:rsid w:val="00427ABD"/>
    <w:rsid w:val="004317AB"/>
    <w:rsid w:val="00431DBF"/>
    <w:rsid w:val="00433512"/>
    <w:rsid w:val="0043432D"/>
    <w:rsid w:val="00441D7B"/>
    <w:rsid w:val="00444250"/>
    <w:rsid w:val="00444298"/>
    <w:rsid w:val="004456C5"/>
    <w:rsid w:val="00454666"/>
    <w:rsid w:val="004574A4"/>
    <w:rsid w:val="00463236"/>
    <w:rsid w:val="004657D3"/>
    <w:rsid w:val="0046690A"/>
    <w:rsid w:val="0046782F"/>
    <w:rsid w:val="00471E1E"/>
    <w:rsid w:val="0047278F"/>
    <w:rsid w:val="0047590B"/>
    <w:rsid w:val="00490F98"/>
    <w:rsid w:val="00491349"/>
    <w:rsid w:val="00493684"/>
    <w:rsid w:val="00493E48"/>
    <w:rsid w:val="00496ACE"/>
    <w:rsid w:val="00497530"/>
    <w:rsid w:val="004A00FD"/>
    <w:rsid w:val="004A5CFF"/>
    <w:rsid w:val="004A61D7"/>
    <w:rsid w:val="004A6B5A"/>
    <w:rsid w:val="004B1026"/>
    <w:rsid w:val="004B5992"/>
    <w:rsid w:val="004C093C"/>
    <w:rsid w:val="004C0B7A"/>
    <w:rsid w:val="004C0CA0"/>
    <w:rsid w:val="004C5B48"/>
    <w:rsid w:val="004C6493"/>
    <w:rsid w:val="004D2D8E"/>
    <w:rsid w:val="004D4879"/>
    <w:rsid w:val="004D7C23"/>
    <w:rsid w:val="004D7F2C"/>
    <w:rsid w:val="004E07B6"/>
    <w:rsid w:val="004E0B6D"/>
    <w:rsid w:val="004E63AF"/>
    <w:rsid w:val="004F411F"/>
    <w:rsid w:val="004F60D3"/>
    <w:rsid w:val="004F7D8F"/>
    <w:rsid w:val="0050182A"/>
    <w:rsid w:val="00502DB5"/>
    <w:rsid w:val="005053C1"/>
    <w:rsid w:val="00506ECC"/>
    <w:rsid w:val="00510D3F"/>
    <w:rsid w:val="00511E18"/>
    <w:rsid w:val="00512B77"/>
    <w:rsid w:val="00515ADE"/>
    <w:rsid w:val="00515E63"/>
    <w:rsid w:val="005176F4"/>
    <w:rsid w:val="005203BA"/>
    <w:rsid w:val="005220F8"/>
    <w:rsid w:val="00522932"/>
    <w:rsid w:val="0052539A"/>
    <w:rsid w:val="005309DD"/>
    <w:rsid w:val="0053320F"/>
    <w:rsid w:val="005406CD"/>
    <w:rsid w:val="00542C65"/>
    <w:rsid w:val="00544037"/>
    <w:rsid w:val="0054537C"/>
    <w:rsid w:val="00547AD0"/>
    <w:rsid w:val="005509F0"/>
    <w:rsid w:val="00553778"/>
    <w:rsid w:val="00553AC5"/>
    <w:rsid w:val="00554646"/>
    <w:rsid w:val="005555A0"/>
    <w:rsid w:val="0056216F"/>
    <w:rsid w:val="005627E9"/>
    <w:rsid w:val="00566E90"/>
    <w:rsid w:val="00572506"/>
    <w:rsid w:val="00573AC9"/>
    <w:rsid w:val="00581DBA"/>
    <w:rsid w:val="00581F60"/>
    <w:rsid w:val="005829C2"/>
    <w:rsid w:val="00582A46"/>
    <w:rsid w:val="0058322B"/>
    <w:rsid w:val="00583A5C"/>
    <w:rsid w:val="0058471F"/>
    <w:rsid w:val="0058487A"/>
    <w:rsid w:val="00592CFD"/>
    <w:rsid w:val="00593C8A"/>
    <w:rsid w:val="005960B9"/>
    <w:rsid w:val="005A0091"/>
    <w:rsid w:val="005A3DFC"/>
    <w:rsid w:val="005A5B0F"/>
    <w:rsid w:val="005A69F8"/>
    <w:rsid w:val="005A6B45"/>
    <w:rsid w:val="005A7B9D"/>
    <w:rsid w:val="005B0579"/>
    <w:rsid w:val="005B27CD"/>
    <w:rsid w:val="005B314D"/>
    <w:rsid w:val="005B353B"/>
    <w:rsid w:val="005B547C"/>
    <w:rsid w:val="005B65A5"/>
    <w:rsid w:val="005B67BE"/>
    <w:rsid w:val="005B7116"/>
    <w:rsid w:val="005C6C4F"/>
    <w:rsid w:val="005D000E"/>
    <w:rsid w:val="005D62E5"/>
    <w:rsid w:val="005D7216"/>
    <w:rsid w:val="005E12F7"/>
    <w:rsid w:val="005E548A"/>
    <w:rsid w:val="005E5BCC"/>
    <w:rsid w:val="005E5CCE"/>
    <w:rsid w:val="005E6CCC"/>
    <w:rsid w:val="005F19BB"/>
    <w:rsid w:val="005F3B5B"/>
    <w:rsid w:val="006022C0"/>
    <w:rsid w:val="00602E42"/>
    <w:rsid w:val="00603082"/>
    <w:rsid w:val="00603657"/>
    <w:rsid w:val="0060479B"/>
    <w:rsid w:val="00606A55"/>
    <w:rsid w:val="00611AC2"/>
    <w:rsid w:val="00613BB6"/>
    <w:rsid w:val="0061777B"/>
    <w:rsid w:val="00624066"/>
    <w:rsid w:val="00624620"/>
    <w:rsid w:val="00624946"/>
    <w:rsid w:val="00625173"/>
    <w:rsid w:val="00630CCB"/>
    <w:rsid w:val="00631E71"/>
    <w:rsid w:val="0063350A"/>
    <w:rsid w:val="006340A0"/>
    <w:rsid w:val="0063581A"/>
    <w:rsid w:val="00636BF4"/>
    <w:rsid w:val="00642CB1"/>
    <w:rsid w:val="006431A9"/>
    <w:rsid w:val="006466DF"/>
    <w:rsid w:val="006518D0"/>
    <w:rsid w:val="00652393"/>
    <w:rsid w:val="00656003"/>
    <w:rsid w:val="006571DD"/>
    <w:rsid w:val="0065774D"/>
    <w:rsid w:val="0065792C"/>
    <w:rsid w:val="0066668A"/>
    <w:rsid w:val="00675065"/>
    <w:rsid w:val="00675563"/>
    <w:rsid w:val="00675632"/>
    <w:rsid w:val="00685346"/>
    <w:rsid w:val="00685B24"/>
    <w:rsid w:val="006870E8"/>
    <w:rsid w:val="00690BC5"/>
    <w:rsid w:val="00690C8E"/>
    <w:rsid w:val="006933DD"/>
    <w:rsid w:val="0069471D"/>
    <w:rsid w:val="00695670"/>
    <w:rsid w:val="00695E20"/>
    <w:rsid w:val="006A3BA0"/>
    <w:rsid w:val="006A4EC6"/>
    <w:rsid w:val="006A6DF3"/>
    <w:rsid w:val="006B20D5"/>
    <w:rsid w:val="006B34F6"/>
    <w:rsid w:val="006B4952"/>
    <w:rsid w:val="006B5EA1"/>
    <w:rsid w:val="006B7F10"/>
    <w:rsid w:val="006C042B"/>
    <w:rsid w:val="006C2543"/>
    <w:rsid w:val="006C7C59"/>
    <w:rsid w:val="006D0312"/>
    <w:rsid w:val="006D214E"/>
    <w:rsid w:val="006D2DEA"/>
    <w:rsid w:val="006D2E9C"/>
    <w:rsid w:val="006D30BC"/>
    <w:rsid w:val="006E1A0E"/>
    <w:rsid w:val="006E6E8B"/>
    <w:rsid w:val="006E7C76"/>
    <w:rsid w:val="006F04CD"/>
    <w:rsid w:val="006F07C9"/>
    <w:rsid w:val="006F0A6B"/>
    <w:rsid w:val="006F0F75"/>
    <w:rsid w:val="006F5AC8"/>
    <w:rsid w:val="006F5F50"/>
    <w:rsid w:val="006F721C"/>
    <w:rsid w:val="00704218"/>
    <w:rsid w:val="00706102"/>
    <w:rsid w:val="00711356"/>
    <w:rsid w:val="00716375"/>
    <w:rsid w:val="00724763"/>
    <w:rsid w:val="007326D4"/>
    <w:rsid w:val="007331C5"/>
    <w:rsid w:val="00733D26"/>
    <w:rsid w:val="00733E96"/>
    <w:rsid w:val="00734BE2"/>
    <w:rsid w:val="00734DBA"/>
    <w:rsid w:val="007405AB"/>
    <w:rsid w:val="0074169B"/>
    <w:rsid w:val="007416A5"/>
    <w:rsid w:val="00742326"/>
    <w:rsid w:val="00743F8B"/>
    <w:rsid w:val="007552A7"/>
    <w:rsid w:val="00757FC1"/>
    <w:rsid w:val="00760265"/>
    <w:rsid w:val="00763522"/>
    <w:rsid w:val="00770D89"/>
    <w:rsid w:val="00771FBD"/>
    <w:rsid w:val="00772751"/>
    <w:rsid w:val="00772BFA"/>
    <w:rsid w:val="007732E5"/>
    <w:rsid w:val="00773A1F"/>
    <w:rsid w:val="007750D4"/>
    <w:rsid w:val="00775725"/>
    <w:rsid w:val="00781A2A"/>
    <w:rsid w:val="0079003B"/>
    <w:rsid w:val="00797959"/>
    <w:rsid w:val="007A0298"/>
    <w:rsid w:val="007A0EED"/>
    <w:rsid w:val="007A1F61"/>
    <w:rsid w:val="007A2D00"/>
    <w:rsid w:val="007A3433"/>
    <w:rsid w:val="007A5B38"/>
    <w:rsid w:val="007A7AC5"/>
    <w:rsid w:val="007B1707"/>
    <w:rsid w:val="007B1F48"/>
    <w:rsid w:val="007B4190"/>
    <w:rsid w:val="007B5A22"/>
    <w:rsid w:val="007B7795"/>
    <w:rsid w:val="007C1E2E"/>
    <w:rsid w:val="007C32E6"/>
    <w:rsid w:val="007C6103"/>
    <w:rsid w:val="007C7079"/>
    <w:rsid w:val="007C745E"/>
    <w:rsid w:val="007C7E4A"/>
    <w:rsid w:val="007D249E"/>
    <w:rsid w:val="007D2EE8"/>
    <w:rsid w:val="007D4745"/>
    <w:rsid w:val="007D596E"/>
    <w:rsid w:val="007D61F2"/>
    <w:rsid w:val="007D6288"/>
    <w:rsid w:val="007D7D00"/>
    <w:rsid w:val="007E1576"/>
    <w:rsid w:val="007E2BD2"/>
    <w:rsid w:val="007E5F41"/>
    <w:rsid w:val="007E6CF2"/>
    <w:rsid w:val="007F1EB4"/>
    <w:rsid w:val="007F5493"/>
    <w:rsid w:val="007F5B53"/>
    <w:rsid w:val="007F6DC7"/>
    <w:rsid w:val="0080075E"/>
    <w:rsid w:val="00802AAC"/>
    <w:rsid w:val="00806FED"/>
    <w:rsid w:val="00811115"/>
    <w:rsid w:val="008134C7"/>
    <w:rsid w:val="008139EB"/>
    <w:rsid w:val="008150A6"/>
    <w:rsid w:val="008151E2"/>
    <w:rsid w:val="00816091"/>
    <w:rsid w:val="00816182"/>
    <w:rsid w:val="00821BA2"/>
    <w:rsid w:val="00822824"/>
    <w:rsid w:val="008228B9"/>
    <w:rsid w:val="00824639"/>
    <w:rsid w:val="00826C95"/>
    <w:rsid w:val="00832985"/>
    <w:rsid w:val="008332CE"/>
    <w:rsid w:val="008345B9"/>
    <w:rsid w:val="008354ED"/>
    <w:rsid w:val="00835DAD"/>
    <w:rsid w:val="008376EF"/>
    <w:rsid w:val="00837760"/>
    <w:rsid w:val="00837F02"/>
    <w:rsid w:val="00840EF2"/>
    <w:rsid w:val="00843C41"/>
    <w:rsid w:val="0084500E"/>
    <w:rsid w:val="008455FB"/>
    <w:rsid w:val="0084584F"/>
    <w:rsid w:val="00850BC8"/>
    <w:rsid w:val="00850E33"/>
    <w:rsid w:val="00856715"/>
    <w:rsid w:val="00856DC0"/>
    <w:rsid w:val="00861CE7"/>
    <w:rsid w:val="00864D01"/>
    <w:rsid w:val="00865BFC"/>
    <w:rsid w:val="0087394A"/>
    <w:rsid w:val="00874D32"/>
    <w:rsid w:val="00881B84"/>
    <w:rsid w:val="008876A3"/>
    <w:rsid w:val="00887DFB"/>
    <w:rsid w:val="0089283A"/>
    <w:rsid w:val="00892ADC"/>
    <w:rsid w:val="00893813"/>
    <w:rsid w:val="0089658C"/>
    <w:rsid w:val="00896F74"/>
    <w:rsid w:val="00897000"/>
    <w:rsid w:val="008A2458"/>
    <w:rsid w:val="008A66B8"/>
    <w:rsid w:val="008A7EED"/>
    <w:rsid w:val="008B2B1D"/>
    <w:rsid w:val="008B5009"/>
    <w:rsid w:val="008B7E45"/>
    <w:rsid w:val="008C1237"/>
    <w:rsid w:val="008C64FB"/>
    <w:rsid w:val="008C771B"/>
    <w:rsid w:val="008C77A4"/>
    <w:rsid w:val="008D0DB7"/>
    <w:rsid w:val="008D2DAF"/>
    <w:rsid w:val="008D4EEC"/>
    <w:rsid w:val="008E1C91"/>
    <w:rsid w:val="008E2EFF"/>
    <w:rsid w:val="008E3B9E"/>
    <w:rsid w:val="008E4E0F"/>
    <w:rsid w:val="008E738E"/>
    <w:rsid w:val="008F0A84"/>
    <w:rsid w:val="008F0CC3"/>
    <w:rsid w:val="008F44C7"/>
    <w:rsid w:val="008F5035"/>
    <w:rsid w:val="008F5056"/>
    <w:rsid w:val="0090408F"/>
    <w:rsid w:val="00906F8A"/>
    <w:rsid w:val="00915570"/>
    <w:rsid w:val="0091611D"/>
    <w:rsid w:val="00916267"/>
    <w:rsid w:val="00921082"/>
    <w:rsid w:val="00922EFB"/>
    <w:rsid w:val="00923A6C"/>
    <w:rsid w:val="009249C8"/>
    <w:rsid w:val="00933F00"/>
    <w:rsid w:val="00935401"/>
    <w:rsid w:val="0094003A"/>
    <w:rsid w:val="0094004A"/>
    <w:rsid w:val="00946A82"/>
    <w:rsid w:val="00951071"/>
    <w:rsid w:val="0095333C"/>
    <w:rsid w:val="00955186"/>
    <w:rsid w:val="00956EE8"/>
    <w:rsid w:val="009643C2"/>
    <w:rsid w:val="00966B6A"/>
    <w:rsid w:val="0097057C"/>
    <w:rsid w:val="009715C5"/>
    <w:rsid w:val="00971AF2"/>
    <w:rsid w:val="009723B8"/>
    <w:rsid w:val="0098281C"/>
    <w:rsid w:val="0098423D"/>
    <w:rsid w:val="009850E9"/>
    <w:rsid w:val="00985DFA"/>
    <w:rsid w:val="00986315"/>
    <w:rsid w:val="009911E3"/>
    <w:rsid w:val="0099491A"/>
    <w:rsid w:val="00994E42"/>
    <w:rsid w:val="00995178"/>
    <w:rsid w:val="009A1C33"/>
    <w:rsid w:val="009A2439"/>
    <w:rsid w:val="009A2BFF"/>
    <w:rsid w:val="009A6D30"/>
    <w:rsid w:val="009B206F"/>
    <w:rsid w:val="009B5F6F"/>
    <w:rsid w:val="009B7A7F"/>
    <w:rsid w:val="009B7A90"/>
    <w:rsid w:val="009B7BA4"/>
    <w:rsid w:val="009C1007"/>
    <w:rsid w:val="009C1F6E"/>
    <w:rsid w:val="009C2514"/>
    <w:rsid w:val="009C3C03"/>
    <w:rsid w:val="009C3EBA"/>
    <w:rsid w:val="009C4C61"/>
    <w:rsid w:val="009C5377"/>
    <w:rsid w:val="009C7BA0"/>
    <w:rsid w:val="009D1B51"/>
    <w:rsid w:val="009D52BF"/>
    <w:rsid w:val="009D6DD3"/>
    <w:rsid w:val="009E3F57"/>
    <w:rsid w:val="009E4F8A"/>
    <w:rsid w:val="009E6771"/>
    <w:rsid w:val="009E67E4"/>
    <w:rsid w:val="009F0511"/>
    <w:rsid w:val="009F1DBD"/>
    <w:rsid w:val="009F22FE"/>
    <w:rsid w:val="009F750B"/>
    <w:rsid w:val="00A00435"/>
    <w:rsid w:val="00A03071"/>
    <w:rsid w:val="00A05B11"/>
    <w:rsid w:val="00A06B7F"/>
    <w:rsid w:val="00A07D9C"/>
    <w:rsid w:val="00A109CC"/>
    <w:rsid w:val="00A13EDB"/>
    <w:rsid w:val="00A14C4D"/>
    <w:rsid w:val="00A15845"/>
    <w:rsid w:val="00A17B52"/>
    <w:rsid w:val="00A2141C"/>
    <w:rsid w:val="00A21B16"/>
    <w:rsid w:val="00A22D76"/>
    <w:rsid w:val="00A24D47"/>
    <w:rsid w:val="00A30370"/>
    <w:rsid w:val="00A32017"/>
    <w:rsid w:val="00A3527C"/>
    <w:rsid w:val="00A37E7E"/>
    <w:rsid w:val="00A4098F"/>
    <w:rsid w:val="00A4193A"/>
    <w:rsid w:val="00A45C6F"/>
    <w:rsid w:val="00A46DCC"/>
    <w:rsid w:val="00A5014E"/>
    <w:rsid w:val="00A562E3"/>
    <w:rsid w:val="00A569D3"/>
    <w:rsid w:val="00A6062B"/>
    <w:rsid w:val="00A62089"/>
    <w:rsid w:val="00A654EF"/>
    <w:rsid w:val="00A658F2"/>
    <w:rsid w:val="00A65AFD"/>
    <w:rsid w:val="00A66B78"/>
    <w:rsid w:val="00A6769B"/>
    <w:rsid w:val="00A677C6"/>
    <w:rsid w:val="00A67E25"/>
    <w:rsid w:val="00A72C38"/>
    <w:rsid w:val="00A72FD2"/>
    <w:rsid w:val="00A7420A"/>
    <w:rsid w:val="00A74D3C"/>
    <w:rsid w:val="00A75DB1"/>
    <w:rsid w:val="00A761C2"/>
    <w:rsid w:val="00A76D29"/>
    <w:rsid w:val="00A86960"/>
    <w:rsid w:val="00A91A54"/>
    <w:rsid w:val="00A91B7E"/>
    <w:rsid w:val="00A9286E"/>
    <w:rsid w:val="00A96F13"/>
    <w:rsid w:val="00AA1080"/>
    <w:rsid w:val="00AA16D3"/>
    <w:rsid w:val="00AA18CA"/>
    <w:rsid w:val="00AA3BFA"/>
    <w:rsid w:val="00AA5A0A"/>
    <w:rsid w:val="00AA5E84"/>
    <w:rsid w:val="00AA725C"/>
    <w:rsid w:val="00AB3274"/>
    <w:rsid w:val="00AB7A0E"/>
    <w:rsid w:val="00AC0409"/>
    <w:rsid w:val="00AC0C60"/>
    <w:rsid w:val="00AC15C6"/>
    <w:rsid w:val="00AC2E63"/>
    <w:rsid w:val="00AC2EA5"/>
    <w:rsid w:val="00AC3A70"/>
    <w:rsid w:val="00AC63F8"/>
    <w:rsid w:val="00AC7144"/>
    <w:rsid w:val="00AC75AF"/>
    <w:rsid w:val="00AD340C"/>
    <w:rsid w:val="00AD3849"/>
    <w:rsid w:val="00AD3D18"/>
    <w:rsid w:val="00AD4D41"/>
    <w:rsid w:val="00AD4DD2"/>
    <w:rsid w:val="00AD6114"/>
    <w:rsid w:val="00AD74EC"/>
    <w:rsid w:val="00AE01B3"/>
    <w:rsid w:val="00AE0CFD"/>
    <w:rsid w:val="00AE1DA8"/>
    <w:rsid w:val="00AE4D94"/>
    <w:rsid w:val="00AE5612"/>
    <w:rsid w:val="00AE6664"/>
    <w:rsid w:val="00AE6EED"/>
    <w:rsid w:val="00AE74AC"/>
    <w:rsid w:val="00B02758"/>
    <w:rsid w:val="00B02B5A"/>
    <w:rsid w:val="00B036CF"/>
    <w:rsid w:val="00B047D1"/>
    <w:rsid w:val="00B04B8A"/>
    <w:rsid w:val="00B04BFB"/>
    <w:rsid w:val="00B104AA"/>
    <w:rsid w:val="00B11872"/>
    <w:rsid w:val="00B13979"/>
    <w:rsid w:val="00B15E4F"/>
    <w:rsid w:val="00B2012B"/>
    <w:rsid w:val="00B20B29"/>
    <w:rsid w:val="00B20CB9"/>
    <w:rsid w:val="00B20D52"/>
    <w:rsid w:val="00B2167C"/>
    <w:rsid w:val="00B246D3"/>
    <w:rsid w:val="00B262C9"/>
    <w:rsid w:val="00B26A2C"/>
    <w:rsid w:val="00B30526"/>
    <w:rsid w:val="00B32FCD"/>
    <w:rsid w:val="00B34577"/>
    <w:rsid w:val="00B34E07"/>
    <w:rsid w:val="00B43464"/>
    <w:rsid w:val="00B45223"/>
    <w:rsid w:val="00B45C7D"/>
    <w:rsid w:val="00B461F3"/>
    <w:rsid w:val="00B50C36"/>
    <w:rsid w:val="00B51C5E"/>
    <w:rsid w:val="00B52083"/>
    <w:rsid w:val="00B52525"/>
    <w:rsid w:val="00B52B44"/>
    <w:rsid w:val="00B52D72"/>
    <w:rsid w:val="00B56BAC"/>
    <w:rsid w:val="00B571F4"/>
    <w:rsid w:val="00B64780"/>
    <w:rsid w:val="00B6494B"/>
    <w:rsid w:val="00B65E8E"/>
    <w:rsid w:val="00B67926"/>
    <w:rsid w:val="00B679FA"/>
    <w:rsid w:val="00B72B4C"/>
    <w:rsid w:val="00B75DE1"/>
    <w:rsid w:val="00B76EAC"/>
    <w:rsid w:val="00B81ECA"/>
    <w:rsid w:val="00B838D7"/>
    <w:rsid w:val="00B86A3E"/>
    <w:rsid w:val="00B9113C"/>
    <w:rsid w:val="00B91DE8"/>
    <w:rsid w:val="00B96111"/>
    <w:rsid w:val="00B975ED"/>
    <w:rsid w:val="00B979E2"/>
    <w:rsid w:val="00B97D1F"/>
    <w:rsid w:val="00B97E9D"/>
    <w:rsid w:val="00BA38E0"/>
    <w:rsid w:val="00BA619F"/>
    <w:rsid w:val="00BA7D43"/>
    <w:rsid w:val="00BB02EB"/>
    <w:rsid w:val="00BB0A6C"/>
    <w:rsid w:val="00BB2DBC"/>
    <w:rsid w:val="00BB4AC7"/>
    <w:rsid w:val="00BB4CD0"/>
    <w:rsid w:val="00BB61C1"/>
    <w:rsid w:val="00BB6B4A"/>
    <w:rsid w:val="00BB7E90"/>
    <w:rsid w:val="00BC03CC"/>
    <w:rsid w:val="00BC11D7"/>
    <w:rsid w:val="00BC1B9C"/>
    <w:rsid w:val="00BC2C14"/>
    <w:rsid w:val="00BC31EE"/>
    <w:rsid w:val="00BC3C19"/>
    <w:rsid w:val="00BC4B27"/>
    <w:rsid w:val="00BC5C23"/>
    <w:rsid w:val="00BD15BE"/>
    <w:rsid w:val="00BD3BF3"/>
    <w:rsid w:val="00BD5316"/>
    <w:rsid w:val="00BD6613"/>
    <w:rsid w:val="00BD7E81"/>
    <w:rsid w:val="00BE41BE"/>
    <w:rsid w:val="00BE6F8C"/>
    <w:rsid w:val="00BE735F"/>
    <w:rsid w:val="00BF0B0F"/>
    <w:rsid w:val="00BF150A"/>
    <w:rsid w:val="00BF30A5"/>
    <w:rsid w:val="00BF3210"/>
    <w:rsid w:val="00BF3B09"/>
    <w:rsid w:val="00C03270"/>
    <w:rsid w:val="00C048FB"/>
    <w:rsid w:val="00C04CFA"/>
    <w:rsid w:val="00C076EF"/>
    <w:rsid w:val="00C16C84"/>
    <w:rsid w:val="00C21DB4"/>
    <w:rsid w:val="00C224CD"/>
    <w:rsid w:val="00C25539"/>
    <w:rsid w:val="00C25C2B"/>
    <w:rsid w:val="00C34D95"/>
    <w:rsid w:val="00C357EB"/>
    <w:rsid w:val="00C37015"/>
    <w:rsid w:val="00C40072"/>
    <w:rsid w:val="00C4213E"/>
    <w:rsid w:val="00C438D5"/>
    <w:rsid w:val="00C45741"/>
    <w:rsid w:val="00C472A3"/>
    <w:rsid w:val="00C50C4A"/>
    <w:rsid w:val="00C524B1"/>
    <w:rsid w:val="00C56B9D"/>
    <w:rsid w:val="00C60706"/>
    <w:rsid w:val="00C6464D"/>
    <w:rsid w:val="00C64FE6"/>
    <w:rsid w:val="00C72DBC"/>
    <w:rsid w:val="00C76B39"/>
    <w:rsid w:val="00C8194B"/>
    <w:rsid w:val="00C8510F"/>
    <w:rsid w:val="00C856C4"/>
    <w:rsid w:val="00C8634C"/>
    <w:rsid w:val="00C86F92"/>
    <w:rsid w:val="00C90072"/>
    <w:rsid w:val="00C9533B"/>
    <w:rsid w:val="00CB0748"/>
    <w:rsid w:val="00CB18BD"/>
    <w:rsid w:val="00CB232C"/>
    <w:rsid w:val="00CB2D79"/>
    <w:rsid w:val="00CB2E90"/>
    <w:rsid w:val="00CB4405"/>
    <w:rsid w:val="00CB4EF4"/>
    <w:rsid w:val="00CB5BD0"/>
    <w:rsid w:val="00CB63F6"/>
    <w:rsid w:val="00CC042F"/>
    <w:rsid w:val="00CC11D6"/>
    <w:rsid w:val="00CD1AFF"/>
    <w:rsid w:val="00CD2668"/>
    <w:rsid w:val="00CD2FAC"/>
    <w:rsid w:val="00CD495B"/>
    <w:rsid w:val="00CD7C0B"/>
    <w:rsid w:val="00CD7C6C"/>
    <w:rsid w:val="00CE3BDB"/>
    <w:rsid w:val="00CE4305"/>
    <w:rsid w:val="00CE44AB"/>
    <w:rsid w:val="00CE4BC6"/>
    <w:rsid w:val="00CE52BF"/>
    <w:rsid w:val="00CE70DB"/>
    <w:rsid w:val="00CF001E"/>
    <w:rsid w:val="00CF50D5"/>
    <w:rsid w:val="00CF5C9B"/>
    <w:rsid w:val="00CF6662"/>
    <w:rsid w:val="00D01058"/>
    <w:rsid w:val="00D01136"/>
    <w:rsid w:val="00D03474"/>
    <w:rsid w:val="00D03476"/>
    <w:rsid w:val="00D03C0F"/>
    <w:rsid w:val="00D06B71"/>
    <w:rsid w:val="00D105D9"/>
    <w:rsid w:val="00D11FB0"/>
    <w:rsid w:val="00D129B0"/>
    <w:rsid w:val="00D1756F"/>
    <w:rsid w:val="00D21893"/>
    <w:rsid w:val="00D23DB6"/>
    <w:rsid w:val="00D242FC"/>
    <w:rsid w:val="00D26400"/>
    <w:rsid w:val="00D264F9"/>
    <w:rsid w:val="00D35E6A"/>
    <w:rsid w:val="00D361F7"/>
    <w:rsid w:val="00D37A4D"/>
    <w:rsid w:val="00D37BDA"/>
    <w:rsid w:val="00D409F8"/>
    <w:rsid w:val="00D41D8D"/>
    <w:rsid w:val="00D51C08"/>
    <w:rsid w:val="00D51F3E"/>
    <w:rsid w:val="00D55D74"/>
    <w:rsid w:val="00D568D6"/>
    <w:rsid w:val="00D613B2"/>
    <w:rsid w:val="00D61D4F"/>
    <w:rsid w:val="00D62526"/>
    <w:rsid w:val="00D65B3B"/>
    <w:rsid w:val="00D6655A"/>
    <w:rsid w:val="00D73BEF"/>
    <w:rsid w:val="00D75DD7"/>
    <w:rsid w:val="00D82C17"/>
    <w:rsid w:val="00D8461E"/>
    <w:rsid w:val="00D848AF"/>
    <w:rsid w:val="00D84D41"/>
    <w:rsid w:val="00D85867"/>
    <w:rsid w:val="00D90438"/>
    <w:rsid w:val="00D90F7C"/>
    <w:rsid w:val="00D93BBB"/>
    <w:rsid w:val="00D9483F"/>
    <w:rsid w:val="00D9612C"/>
    <w:rsid w:val="00DA0DFD"/>
    <w:rsid w:val="00DA26D1"/>
    <w:rsid w:val="00DB18FC"/>
    <w:rsid w:val="00DB2769"/>
    <w:rsid w:val="00DB3FFB"/>
    <w:rsid w:val="00DB4762"/>
    <w:rsid w:val="00DB630A"/>
    <w:rsid w:val="00DB6473"/>
    <w:rsid w:val="00DC4AE1"/>
    <w:rsid w:val="00DC6B38"/>
    <w:rsid w:val="00DC767D"/>
    <w:rsid w:val="00DC7A15"/>
    <w:rsid w:val="00DD0CDD"/>
    <w:rsid w:val="00DD26EA"/>
    <w:rsid w:val="00DD35BB"/>
    <w:rsid w:val="00DD7198"/>
    <w:rsid w:val="00DE3B48"/>
    <w:rsid w:val="00DF0FF1"/>
    <w:rsid w:val="00DF1557"/>
    <w:rsid w:val="00DF7223"/>
    <w:rsid w:val="00DF749E"/>
    <w:rsid w:val="00DF7988"/>
    <w:rsid w:val="00E0112E"/>
    <w:rsid w:val="00E02056"/>
    <w:rsid w:val="00E037D5"/>
    <w:rsid w:val="00E07EB9"/>
    <w:rsid w:val="00E10A87"/>
    <w:rsid w:val="00E114BC"/>
    <w:rsid w:val="00E11D50"/>
    <w:rsid w:val="00E13609"/>
    <w:rsid w:val="00E14B3C"/>
    <w:rsid w:val="00E16067"/>
    <w:rsid w:val="00E17358"/>
    <w:rsid w:val="00E212E3"/>
    <w:rsid w:val="00E227F4"/>
    <w:rsid w:val="00E23903"/>
    <w:rsid w:val="00E2575E"/>
    <w:rsid w:val="00E27DAA"/>
    <w:rsid w:val="00E27FDC"/>
    <w:rsid w:val="00E30E7D"/>
    <w:rsid w:val="00E31BA9"/>
    <w:rsid w:val="00E40872"/>
    <w:rsid w:val="00E41594"/>
    <w:rsid w:val="00E43FB3"/>
    <w:rsid w:val="00E46A08"/>
    <w:rsid w:val="00E56FE8"/>
    <w:rsid w:val="00E57C5E"/>
    <w:rsid w:val="00E6057C"/>
    <w:rsid w:val="00E607A7"/>
    <w:rsid w:val="00E63BD1"/>
    <w:rsid w:val="00E6467D"/>
    <w:rsid w:val="00E66BCF"/>
    <w:rsid w:val="00E71342"/>
    <w:rsid w:val="00E728E4"/>
    <w:rsid w:val="00E75741"/>
    <w:rsid w:val="00E83DB2"/>
    <w:rsid w:val="00E85DAF"/>
    <w:rsid w:val="00E87864"/>
    <w:rsid w:val="00E9170D"/>
    <w:rsid w:val="00E9198A"/>
    <w:rsid w:val="00E931C1"/>
    <w:rsid w:val="00E93D73"/>
    <w:rsid w:val="00E94BFD"/>
    <w:rsid w:val="00E94E0E"/>
    <w:rsid w:val="00E97186"/>
    <w:rsid w:val="00E97F6C"/>
    <w:rsid w:val="00EA04D2"/>
    <w:rsid w:val="00EA68DB"/>
    <w:rsid w:val="00EB1A62"/>
    <w:rsid w:val="00EB7A4C"/>
    <w:rsid w:val="00EC2A66"/>
    <w:rsid w:val="00EC3672"/>
    <w:rsid w:val="00EC6945"/>
    <w:rsid w:val="00ED0960"/>
    <w:rsid w:val="00ED3782"/>
    <w:rsid w:val="00ED56C1"/>
    <w:rsid w:val="00EE1F49"/>
    <w:rsid w:val="00EE1F87"/>
    <w:rsid w:val="00EE3720"/>
    <w:rsid w:val="00EE3F92"/>
    <w:rsid w:val="00EE7634"/>
    <w:rsid w:val="00EF1FCF"/>
    <w:rsid w:val="00EF271D"/>
    <w:rsid w:val="00EF4228"/>
    <w:rsid w:val="00EF4DC8"/>
    <w:rsid w:val="00EF659E"/>
    <w:rsid w:val="00EF6A13"/>
    <w:rsid w:val="00F01751"/>
    <w:rsid w:val="00F02CF2"/>
    <w:rsid w:val="00F0385A"/>
    <w:rsid w:val="00F1070F"/>
    <w:rsid w:val="00F14992"/>
    <w:rsid w:val="00F21D20"/>
    <w:rsid w:val="00F22674"/>
    <w:rsid w:val="00F22B78"/>
    <w:rsid w:val="00F244F9"/>
    <w:rsid w:val="00F25220"/>
    <w:rsid w:val="00F25320"/>
    <w:rsid w:val="00F26FA6"/>
    <w:rsid w:val="00F306D7"/>
    <w:rsid w:val="00F308B7"/>
    <w:rsid w:val="00F31CAB"/>
    <w:rsid w:val="00F32A46"/>
    <w:rsid w:val="00F37170"/>
    <w:rsid w:val="00F43040"/>
    <w:rsid w:val="00F44E00"/>
    <w:rsid w:val="00F44EC3"/>
    <w:rsid w:val="00F459DC"/>
    <w:rsid w:val="00F46B72"/>
    <w:rsid w:val="00F474AB"/>
    <w:rsid w:val="00F476F6"/>
    <w:rsid w:val="00F47A28"/>
    <w:rsid w:val="00F5050C"/>
    <w:rsid w:val="00F5134E"/>
    <w:rsid w:val="00F528DD"/>
    <w:rsid w:val="00F52A18"/>
    <w:rsid w:val="00F52C68"/>
    <w:rsid w:val="00F53CC6"/>
    <w:rsid w:val="00F564CD"/>
    <w:rsid w:val="00F61702"/>
    <w:rsid w:val="00F62E71"/>
    <w:rsid w:val="00F630C8"/>
    <w:rsid w:val="00F64C12"/>
    <w:rsid w:val="00F6552D"/>
    <w:rsid w:val="00F67278"/>
    <w:rsid w:val="00F710E9"/>
    <w:rsid w:val="00F733F0"/>
    <w:rsid w:val="00F76A72"/>
    <w:rsid w:val="00F77340"/>
    <w:rsid w:val="00F8042D"/>
    <w:rsid w:val="00F85256"/>
    <w:rsid w:val="00F87572"/>
    <w:rsid w:val="00F87CA2"/>
    <w:rsid w:val="00F91976"/>
    <w:rsid w:val="00F92C8D"/>
    <w:rsid w:val="00F931AD"/>
    <w:rsid w:val="00F9741A"/>
    <w:rsid w:val="00FA1F53"/>
    <w:rsid w:val="00FA2095"/>
    <w:rsid w:val="00FA244D"/>
    <w:rsid w:val="00FB1215"/>
    <w:rsid w:val="00FB4CB0"/>
    <w:rsid w:val="00FB6392"/>
    <w:rsid w:val="00FC39BA"/>
    <w:rsid w:val="00FC3DAC"/>
    <w:rsid w:val="00FD1428"/>
    <w:rsid w:val="00FD20C5"/>
    <w:rsid w:val="00FD2761"/>
    <w:rsid w:val="00FD37B5"/>
    <w:rsid w:val="00FD4568"/>
    <w:rsid w:val="00FD5B5E"/>
    <w:rsid w:val="00FD613E"/>
    <w:rsid w:val="00FD6F4D"/>
    <w:rsid w:val="00FE05A0"/>
    <w:rsid w:val="00FE3FCF"/>
    <w:rsid w:val="00FF2E19"/>
    <w:rsid w:val="00FF756F"/>
    <w:rsid w:val="017F18F9"/>
    <w:rsid w:val="03DC31A4"/>
    <w:rsid w:val="07A0527C"/>
    <w:rsid w:val="0D1576D5"/>
    <w:rsid w:val="10041A5E"/>
    <w:rsid w:val="12AB15E5"/>
    <w:rsid w:val="14D8043E"/>
    <w:rsid w:val="165A604C"/>
    <w:rsid w:val="176D1177"/>
    <w:rsid w:val="198527A8"/>
    <w:rsid w:val="19BA4C2D"/>
    <w:rsid w:val="20F57327"/>
    <w:rsid w:val="222A5C3D"/>
    <w:rsid w:val="261775D0"/>
    <w:rsid w:val="2BA320C5"/>
    <w:rsid w:val="2BE31EF4"/>
    <w:rsid w:val="33D16011"/>
    <w:rsid w:val="358A67AF"/>
    <w:rsid w:val="3FA4757D"/>
    <w:rsid w:val="42976F25"/>
    <w:rsid w:val="47736CA5"/>
    <w:rsid w:val="4A864B11"/>
    <w:rsid w:val="56155820"/>
    <w:rsid w:val="5CB36BF9"/>
    <w:rsid w:val="67631BAC"/>
    <w:rsid w:val="67FD0C5C"/>
    <w:rsid w:val="68F760C0"/>
    <w:rsid w:val="6CA37CBF"/>
    <w:rsid w:val="6E441899"/>
    <w:rsid w:val="79755659"/>
    <w:rsid w:val="7FE900B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Normal Indent"/>
    <w:basedOn w:val="1"/>
    <w:unhideWhenUsed/>
    <w:qFormat/>
    <w:uiPriority w:val="0"/>
    <w:pPr>
      <w:ind w:firstLine="420" w:firstLineChars="200"/>
    </w:pPr>
    <w:rPr>
      <w:rFonts w:ascii="Calibri" w:hAnsi="Calibri"/>
    </w:rPr>
  </w:style>
  <w:style w:type="paragraph" w:styleId="3">
    <w:name w:val="annotation text"/>
    <w:basedOn w:val="1"/>
    <w:link w:val="37"/>
    <w:unhideWhenUsed/>
    <w:qFormat/>
    <w:uiPriority w:val="99"/>
    <w:pPr>
      <w:jc w:val="left"/>
    </w:pPr>
  </w:style>
  <w:style w:type="paragraph" w:styleId="4">
    <w:name w:val="Balloon Text"/>
    <w:basedOn w:val="1"/>
    <w:link w:val="39"/>
    <w:unhideWhenUsed/>
    <w:qFormat/>
    <w:uiPriority w:val="99"/>
    <w:rPr>
      <w:sz w:val="18"/>
      <w:szCs w:val="18"/>
    </w:rPr>
  </w:style>
  <w:style w:type="paragraph" w:styleId="5">
    <w:name w:val="footer"/>
    <w:basedOn w:val="1"/>
    <w:link w:val="36"/>
    <w:unhideWhenUsed/>
    <w:qFormat/>
    <w:uiPriority w:val="99"/>
    <w:pPr>
      <w:tabs>
        <w:tab w:val="center" w:pos="4153"/>
        <w:tab w:val="right" w:pos="8306"/>
      </w:tabs>
      <w:snapToGrid w:val="0"/>
      <w:jc w:val="left"/>
    </w:pPr>
    <w:rPr>
      <w:sz w:val="18"/>
      <w:szCs w:val="18"/>
    </w:rPr>
  </w:style>
  <w:style w:type="paragraph" w:styleId="6">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link w:val="38"/>
    <w:unhideWhenUsed/>
    <w:qFormat/>
    <w:uiPriority w:val="99"/>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annotation reference"/>
    <w:basedOn w:val="10"/>
    <w:unhideWhenUsed/>
    <w:qFormat/>
    <w:uiPriority w:val="99"/>
    <w:rPr>
      <w:sz w:val="21"/>
      <w:szCs w:val="21"/>
    </w:rPr>
  </w:style>
  <w:style w:type="paragraph" w:customStyle="1" w:styleId="12">
    <w:name w:val="※封面大标题"/>
    <w:basedOn w:val="1"/>
    <w:next w:val="1"/>
    <w:qFormat/>
    <w:uiPriority w:val="0"/>
    <w:pPr>
      <w:widowControl/>
      <w:jc w:val="center"/>
    </w:pPr>
    <w:rPr>
      <w:rFonts w:ascii="华文中宋" w:hAnsi="华文中宋" w:eastAsia="华文中宋"/>
      <w:sz w:val="96"/>
      <w:szCs w:val="96"/>
    </w:rPr>
  </w:style>
  <w:style w:type="paragraph" w:customStyle="1" w:styleId="13">
    <w:name w:val="※封面题颌"/>
    <w:basedOn w:val="1"/>
    <w:next w:val="1"/>
    <w:qFormat/>
    <w:uiPriority w:val="0"/>
    <w:pPr>
      <w:widowControl/>
      <w:jc w:val="center"/>
    </w:pPr>
    <w:rPr>
      <w:rFonts w:ascii="Calibri Light" w:hAnsi="Calibri Light" w:eastAsia="华文仿宋"/>
      <w:sz w:val="36"/>
      <w:szCs w:val="36"/>
    </w:rPr>
  </w:style>
  <w:style w:type="paragraph" w:customStyle="1" w:styleId="14">
    <w:name w:val="※封面题眉"/>
    <w:basedOn w:val="1"/>
    <w:next w:val="12"/>
    <w:qFormat/>
    <w:uiPriority w:val="0"/>
    <w:pPr>
      <w:widowControl/>
      <w:jc w:val="center"/>
    </w:pPr>
    <w:rPr>
      <w:rFonts w:ascii="华文仿宋" w:hAnsi="华文仿宋" w:eastAsia="华文仿宋"/>
      <w:sz w:val="52"/>
      <w:szCs w:val="28"/>
    </w:rPr>
  </w:style>
  <w:style w:type="paragraph" w:customStyle="1" w:styleId="15">
    <w:name w:val="※封面题须"/>
    <w:basedOn w:val="1"/>
    <w:qFormat/>
    <w:uiPriority w:val="0"/>
    <w:pPr>
      <w:widowControl/>
      <w:ind w:left="850" w:leftChars="350" w:right="250" w:rightChars="250" w:hanging="500" w:hangingChars="500"/>
      <w:jc w:val="left"/>
    </w:pPr>
    <w:rPr>
      <w:rFonts w:ascii="Calibri Light" w:hAnsi="Calibri Light" w:eastAsia="华文仿宋"/>
      <w:sz w:val="36"/>
      <w:szCs w:val="36"/>
    </w:rPr>
  </w:style>
  <w:style w:type="paragraph" w:customStyle="1" w:styleId="16">
    <w:name w:val="※目录（次）"/>
    <w:basedOn w:val="1"/>
    <w:qFormat/>
    <w:uiPriority w:val="0"/>
    <w:pPr>
      <w:widowControl/>
      <w:tabs>
        <w:tab w:val="right" w:leader="hyphen" w:pos="8400"/>
      </w:tabs>
      <w:wordWrap w:val="0"/>
      <w:ind w:left="700" w:leftChars="200" w:right="300" w:rightChars="300" w:hanging="500" w:hangingChars="500"/>
      <w:jc w:val="left"/>
    </w:pPr>
    <w:rPr>
      <w:rFonts w:ascii="Calibri Light" w:hAnsi="Calibri Light" w:eastAsia="华文仿宋"/>
      <w:sz w:val="36"/>
      <w:szCs w:val="28"/>
    </w:rPr>
  </w:style>
  <w:style w:type="paragraph" w:customStyle="1" w:styleId="17">
    <w:name w:val="※目录（主）"/>
    <w:basedOn w:val="1"/>
    <w:qFormat/>
    <w:uiPriority w:val="0"/>
    <w:pPr>
      <w:widowControl/>
      <w:tabs>
        <w:tab w:val="right" w:leader="hyphen" w:pos="8400"/>
      </w:tabs>
      <w:spacing w:afterLines="100" w:line="400" w:lineRule="exact"/>
      <w:ind w:left="200" w:leftChars="200" w:right="200" w:rightChars="200" w:hanging="499" w:hangingChars="400"/>
      <w:jc w:val="left"/>
    </w:pPr>
    <w:rPr>
      <w:rFonts w:ascii="Calibri Light" w:hAnsi="Calibri Light" w:eastAsia="华文仿宋"/>
      <w:sz w:val="36"/>
      <w:szCs w:val="36"/>
    </w:rPr>
  </w:style>
  <w:style w:type="paragraph" w:customStyle="1" w:styleId="18">
    <w:name w:val="※小标题 1"/>
    <w:basedOn w:val="1"/>
    <w:next w:val="1"/>
    <w:qFormat/>
    <w:uiPriority w:val="0"/>
    <w:pPr>
      <w:widowControl/>
      <w:wordWrap w:val="0"/>
      <w:spacing w:before="20" w:after="20" w:line="400" w:lineRule="exact"/>
      <w:ind w:firstLine="200" w:firstLineChars="200"/>
      <w:jc w:val="left"/>
      <w:outlineLvl w:val="4"/>
    </w:pPr>
    <w:rPr>
      <w:rFonts w:ascii="Calibri Light" w:hAnsi="Calibri Light" w:eastAsia="华文仿宋"/>
      <w:b/>
      <w:sz w:val="28"/>
      <w:szCs w:val="28"/>
    </w:rPr>
  </w:style>
  <w:style w:type="paragraph" w:customStyle="1" w:styleId="19">
    <w:name w:val="※正文"/>
    <w:basedOn w:val="1"/>
    <w:next w:val="1"/>
    <w:qFormat/>
    <w:uiPriority w:val="0"/>
    <w:pPr>
      <w:widowControl/>
      <w:wordWrap w:val="0"/>
      <w:spacing w:line="400" w:lineRule="exact"/>
    </w:pPr>
    <w:rPr>
      <w:rFonts w:ascii="Calibri Light" w:hAnsi="Calibri Light" w:eastAsia="华文仿宋"/>
      <w:sz w:val="28"/>
      <w:szCs w:val="28"/>
    </w:rPr>
  </w:style>
  <w:style w:type="paragraph" w:customStyle="1" w:styleId="20">
    <w:name w:val="※小标题 一"/>
    <w:basedOn w:val="19"/>
    <w:next w:val="19"/>
    <w:qFormat/>
    <w:uiPriority w:val="0"/>
    <w:pPr>
      <w:spacing w:before="120" w:line="240" w:lineRule="auto"/>
      <w:outlineLvl w:val="2"/>
    </w:pPr>
    <w:rPr>
      <w:b/>
      <w:color w:val="1F3864"/>
      <w:sz w:val="32"/>
    </w:rPr>
  </w:style>
  <w:style w:type="paragraph" w:customStyle="1" w:styleId="21">
    <w:name w:val="※小标题（1）"/>
    <w:basedOn w:val="1"/>
    <w:next w:val="19"/>
    <w:qFormat/>
    <w:uiPriority w:val="0"/>
    <w:pPr>
      <w:widowControl/>
      <w:wordWrap w:val="0"/>
      <w:spacing w:line="400" w:lineRule="exact"/>
      <w:ind w:firstLine="200" w:firstLineChars="200"/>
      <w:outlineLvl w:val="5"/>
    </w:pPr>
    <w:rPr>
      <w:rFonts w:ascii="Calibri Light" w:hAnsi="Calibri Light" w:eastAsia="华文仿宋"/>
      <w:b/>
      <w:sz w:val="28"/>
      <w:szCs w:val="28"/>
    </w:rPr>
  </w:style>
  <w:style w:type="paragraph" w:customStyle="1" w:styleId="22">
    <w:name w:val="※小标题（一）"/>
    <w:basedOn w:val="1"/>
    <w:next w:val="19"/>
    <w:qFormat/>
    <w:uiPriority w:val="0"/>
    <w:pPr>
      <w:widowControl/>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23">
    <w:name w:val="※页脚（横屏）"/>
    <w:basedOn w:val="1"/>
    <w:qFormat/>
    <w:uiPriority w:val="0"/>
    <w:pPr>
      <w:widowControl/>
      <w:tabs>
        <w:tab w:val="center" w:pos="7000"/>
      </w:tabs>
      <w:wordWrap w:val="0"/>
      <w:spacing w:line="240" w:lineRule="atLeast"/>
      <w:jc w:val="left"/>
    </w:pPr>
    <w:rPr>
      <w:rFonts w:ascii="宋体" w:hAnsi="宋体"/>
      <w:sz w:val="18"/>
      <w:szCs w:val="18"/>
    </w:rPr>
  </w:style>
  <w:style w:type="paragraph" w:customStyle="1" w:styleId="24">
    <w:name w:val="※页脚（竖屏）"/>
    <w:basedOn w:val="1"/>
    <w:qFormat/>
    <w:uiPriority w:val="0"/>
    <w:pPr>
      <w:widowControl/>
      <w:tabs>
        <w:tab w:val="center" w:pos="4536"/>
      </w:tabs>
      <w:wordWrap w:val="0"/>
      <w:spacing w:line="240" w:lineRule="atLeast"/>
      <w:jc w:val="left"/>
    </w:pPr>
    <w:rPr>
      <w:rFonts w:ascii="宋体" w:hAnsi="宋体"/>
      <w:sz w:val="18"/>
      <w:szCs w:val="18"/>
    </w:rPr>
  </w:style>
  <w:style w:type="paragraph" w:customStyle="1" w:styleId="25">
    <w:name w:val="※页眉"/>
    <w:basedOn w:val="19"/>
    <w:qFormat/>
    <w:uiPriority w:val="0"/>
    <w:pPr>
      <w:pBdr>
        <w:bottom w:val="single" w:color="auto" w:sz="4" w:space="1"/>
      </w:pBdr>
      <w:spacing w:line="240" w:lineRule="atLeast"/>
      <w:jc w:val="right"/>
    </w:pPr>
    <w:rPr>
      <w:rFonts w:ascii="宋体" w:hAnsi="宋体" w:eastAsia="宋体"/>
      <w:sz w:val="18"/>
    </w:rPr>
  </w:style>
  <w:style w:type="paragraph" w:customStyle="1" w:styleId="26">
    <w:name w:val="※章节标题（第X章）"/>
    <w:basedOn w:val="1"/>
    <w:qFormat/>
    <w:uiPriority w:val="0"/>
    <w:pPr>
      <w:widowControl/>
      <w:jc w:val="center"/>
      <w:outlineLvl w:val="0"/>
    </w:pPr>
    <w:rPr>
      <w:rFonts w:ascii="Calibri Light" w:hAnsi="Calibri Light" w:eastAsia="黑体"/>
      <w:sz w:val="36"/>
      <w:szCs w:val="28"/>
    </w:rPr>
  </w:style>
  <w:style w:type="paragraph" w:customStyle="1" w:styleId="27">
    <w:name w:val="※章节标题（第Y部分）"/>
    <w:basedOn w:val="1"/>
    <w:next w:val="1"/>
    <w:qFormat/>
    <w:uiPriority w:val="0"/>
    <w:pPr>
      <w:widowControl/>
      <w:jc w:val="center"/>
      <w:outlineLvl w:val="1"/>
    </w:pPr>
    <w:rPr>
      <w:rFonts w:ascii="Calibri Light" w:hAnsi="Calibri Light" w:eastAsia="黑体"/>
      <w:color w:val="1E4E79"/>
      <w:sz w:val="32"/>
      <w:szCs w:val="36"/>
    </w:rPr>
  </w:style>
  <w:style w:type="paragraph" w:customStyle="1" w:styleId="28">
    <w:name w:val="※章节标题（第Z部分分项）"/>
    <w:basedOn w:val="27"/>
    <w:qFormat/>
    <w:uiPriority w:val="0"/>
    <w:pPr>
      <w:outlineLvl w:val="2"/>
    </w:pPr>
  </w:style>
  <w:style w:type="paragraph" w:customStyle="1" w:styleId="29">
    <w:name w:val="※正文（落款）"/>
    <w:basedOn w:val="1"/>
    <w:qFormat/>
    <w:uiPriority w:val="0"/>
    <w:pPr>
      <w:widowControl/>
      <w:tabs>
        <w:tab w:val="center" w:pos="6663"/>
      </w:tabs>
      <w:wordWrap w:val="0"/>
      <w:spacing w:line="240" w:lineRule="atLeast"/>
      <w:jc w:val="left"/>
    </w:pPr>
    <w:rPr>
      <w:rFonts w:ascii="Calibri Light" w:hAnsi="Calibri Light" w:eastAsia="华文仿宋"/>
      <w:sz w:val="28"/>
      <w:szCs w:val="28"/>
    </w:rPr>
  </w:style>
  <w:style w:type="paragraph" w:customStyle="1" w:styleId="30">
    <w:name w:val="※正文（缩进2）"/>
    <w:basedOn w:val="19"/>
    <w:qFormat/>
    <w:uiPriority w:val="0"/>
    <w:pPr>
      <w:ind w:firstLine="200" w:firstLineChars="200"/>
    </w:pPr>
  </w:style>
  <w:style w:type="paragraph" w:customStyle="1" w:styleId="31">
    <w:name w:val="※正文（缩进4）"/>
    <w:basedOn w:val="19"/>
    <w:qFormat/>
    <w:uiPriority w:val="0"/>
    <w:pPr>
      <w:ind w:firstLine="400" w:firstLineChars="400"/>
    </w:pPr>
  </w:style>
  <w:style w:type="paragraph" w:customStyle="1" w:styleId="32">
    <w:name w:val="样式"/>
    <w:link w:val="34"/>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33">
    <w:name w:val="List Paragraph"/>
    <w:basedOn w:val="1"/>
    <w:qFormat/>
    <w:uiPriority w:val="34"/>
    <w:pPr>
      <w:ind w:firstLine="420" w:firstLineChars="200"/>
    </w:pPr>
    <w:rPr>
      <w:rFonts w:ascii="Calibri" w:hAnsi="Calibri" w:eastAsia="宋体" w:cs="黑体"/>
    </w:rPr>
  </w:style>
  <w:style w:type="character" w:customStyle="1" w:styleId="34">
    <w:name w:val="样式 Char Char"/>
    <w:link w:val="32"/>
    <w:qFormat/>
    <w:locked/>
    <w:uiPriority w:val="0"/>
    <w:rPr>
      <w:rFonts w:ascii="宋体" w:hAnsi="宋体" w:eastAsia="宋体" w:cs="宋体"/>
      <w:kern w:val="0"/>
      <w:sz w:val="24"/>
      <w:szCs w:val="24"/>
    </w:rPr>
  </w:style>
  <w:style w:type="character" w:customStyle="1" w:styleId="35">
    <w:name w:val="页眉 Char"/>
    <w:basedOn w:val="10"/>
    <w:link w:val="6"/>
    <w:qFormat/>
    <w:uiPriority w:val="99"/>
    <w:rPr>
      <w:rFonts w:ascii="Calibri" w:hAnsi="Calibri" w:eastAsia="宋体" w:cs="Times New Roman"/>
      <w:sz w:val="18"/>
      <w:szCs w:val="18"/>
    </w:rPr>
  </w:style>
  <w:style w:type="character" w:customStyle="1" w:styleId="36">
    <w:name w:val="页脚 Char"/>
    <w:basedOn w:val="10"/>
    <w:link w:val="5"/>
    <w:qFormat/>
    <w:uiPriority w:val="99"/>
    <w:rPr>
      <w:rFonts w:ascii="Calibri" w:hAnsi="Calibri" w:eastAsia="宋体" w:cs="Times New Roman"/>
      <w:sz w:val="18"/>
      <w:szCs w:val="18"/>
    </w:rPr>
  </w:style>
  <w:style w:type="character" w:customStyle="1" w:styleId="37">
    <w:name w:val="批注文字 Char"/>
    <w:basedOn w:val="10"/>
    <w:link w:val="3"/>
    <w:semiHidden/>
    <w:qFormat/>
    <w:uiPriority w:val="99"/>
    <w:rPr>
      <w:rFonts w:ascii="Calibri" w:hAnsi="Calibri" w:eastAsia="宋体" w:cs="Times New Roman"/>
    </w:rPr>
  </w:style>
  <w:style w:type="character" w:customStyle="1" w:styleId="38">
    <w:name w:val="批注主题 Char"/>
    <w:basedOn w:val="37"/>
    <w:link w:val="7"/>
    <w:semiHidden/>
    <w:qFormat/>
    <w:uiPriority w:val="99"/>
    <w:rPr>
      <w:rFonts w:ascii="Calibri" w:hAnsi="Calibri" w:eastAsia="宋体" w:cs="Times New Roman"/>
      <w:b/>
      <w:bCs/>
    </w:rPr>
  </w:style>
  <w:style w:type="character" w:customStyle="1" w:styleId="39">
    <w:name w:val="批注框文本 Char"/>
    <w:basedOn w:val="10"/>
    <w:link w:val="4"/>
    <w:semiHidden/>
    <w:qFormat/>
    <w:uiPriority w:val="99"/>
    <w:rPr>
      <w:rFonts w:ascii="Calibri" w:hAnsi="Calibri" w:eastAsia="宋体" w:cs="Times New Roman"/>
      <w:sz w:val="18"/>
      <w:szCs w:val="18"/>
    </w:rPr>
  </w:style>
  <w:style w:type="table" w:customStyle="1" w:styleId="40">
    <w:name w:val="Grid Table 4 Accent 3"/>
    <w:basedOn w:val="8"/>
    <w:qFormat/>
    <w:uiPriority w:val="49"/>
    <w:tblPr>
      <w:tblBorders>
        <w:top w:val="single" w:color="C8C8C8" w:sz="4" w:space="0"/>
        <w:left w:val="single" w:color="C8C8C8" w:sz="4" w:space="0"/>
        <w:bottom w:val="single" w:color="C8C8C8" w:sz="4" w:space="0"/>
        <w:right w:val="single" w:color="C8C8C8" w:sz="4" w:space="0"/>
        <w:insideH w:val="single" w:color="C8C8C8" w:sz="4" w:space="0"/>
        <w:insideV w:val="single" w:color="C8C8C8" w:sz="4" w:space="0"/>
      </w:tblBorders>
      <w:tblCellMar>
        <w:top w:w="0" w:type="dxa"/>
        <w:left w:w="108" w:type="dxa"/>
        <w:bottom w:w="0" w:type="dxa"/>
        <w:right w:w="108" w:type="dxa"/>
      </w:tblCellMar>
    </w:tblPr>
    <w:tblStylePr w:type="firstRow">
      <w:rPr>
        <w:b/>
        <w:bCs/>
        <w:color w:val="FFFFFF"/>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uto" w:fill="A5A5A5"/>
      </w:tcPr>
    </w:tblStylePr>
    <w:tblStylePr w:type="lastRow">
      <w:rPr>
        <w:b/>
        <w:bCs/>
      </w:rPr>
      <w:tcPr>
        <w:tcBorders>
          <w:top w:val="double" w:color="A5A5A5"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shd w:val="clear" w:color="auto" w:fill="ECECEC"/>
      </w:tcPr>
    </w:tblStylePr>
    <w:tblStylePr w:type="band1Horz">
      <w:tcPr>
        <w:shd w:val="clear" w:color="auto" w:fill="ECECEC"/>
      </w:tcPr>
    </w:tblStyle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4</Pages>
  <Words>2021</Words>
  <Characters>2236</Characters>
  <Lines>22</Lines>
  <Paragraphs>6</Paragraphs>
  <TotalTime>16</TotalTime>
  <ScaleCrop>false</ScaleCrop>
  <LinksUpToDate>false</LinksUpToDate>
  <CharactersWithSpaces>2237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2021-03-19T00:37:00Z</dcterms:created>
  <dc:creator>lenovo</dc:creator>
  <cp:lastModifiedBy>学凯</cp:lastModifiedBy>
  <cp:lastPrinted>2025-08-25T06:37:00Z</cp:lastPrinted>
  <dcterms:modified xsi:type="dcterms:W3CDTF">2026-09-27T08:58:12Z</dcterms:modified>
  <dc:title>西安市阎良区农业技术推广中心</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C95555519181438A90EFF9044355B242_13</vt:lpwstr>
  </property>
  <property fmtid="{D5CDD505-2E9C-101B-9397-08002B2CF9AE}" pid="4" name="KSOTemplateDocerSaveRecord">
    <vt:lpwstr>eyJoZGlkIjoiN2FmOGNjMjYxYTkzNGI4NWI0Mjc2YjE5MWY5MDBmMDYiLCJ1c2VySWQiOiIyNjkyNTU4MDcifQ==</vt:lpwstr>
  </property>
</Properties>
</file>