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版本号：ZX2026-06-7320260721002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陕西省地理国情监测项目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ZX2026-06-73</w:t>
      </w:r>
      <w:r>
        <w:br/>
      </w:r>
      <w:r>
        <w:br/>
      </w:r>
      <w:r>
        <w:br/>
      </w:r>
    </w:p>
    <w:p>
      <w:pPr>
        <w:pStyle w:val="null3"/>
        <w:jc w:val="center"/>
        <w:outlineLvl w:val="2"/>
      </w:pPr>
      <w:r>
        <w:rPr>
          <w:rFonts w:ascii="仿宋_GB2312" w:hAnsi="仿宋_GB2312" w:cs="仿宋_GB2312" w:eastAsia="仿宋_GB2312"/>
          <w:sz w:val="28"/>
          <w:b/>
        </w:rPr>
        <w:t>陕西省测绘地理信息局</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陕西省测绘地理信息局</w:t>
      </w:r>
      <w:r>
        <w:rPr>
          <w:rFonts w:ascii="仿宋_GB2312" w:hAnsi="仿宋_GB2312" w:cs="仿宋_GB2312" w:eastAsia="仿宋_GB2312"/>
        </w:rPr>
        <w:t>委托，拟对</w:t>
      </w:r>
      <w:r>
        <w:rPr>
          <w:rFonts w:ascii="仿宋_GB2312" w:hAnsi="仿宋_GB2312" w:cs="仿宋_GB2312" w:eastAsia="仿宋_GB2312"/>
        </w:rPr>
        <w:t>陕西省地理国情监测项目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ZX2026-06-73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陕西省地理国情监测项目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本项目为陕西省地理国情监测项目，1项；具体内容详见招标文件。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采购包1（陕西省地理国情监测项目）：属于预留采购份额面向中小企业采购，预留比例为40%。</w:t>
      </w:r>
    </w:p>
    <w:p>
      <w:pPr>
        <w:pStyle w:val="null3"/>
      </w:pPr>
      <w:r>
        <w:rPr>
          <w:rFonts w:ascii="仿宋_GB2312" w:hAnsi="仿宋_GB2312" w:cs="仿宋_GB2312" w:eastAsia="仿宋_GB2312"/>
        </w:rPr>
        <w:t>供应商以联合体形式参加本采购包的，联合体协议中中小企业预留比例为40%。（未组成联合体的，供应商应当为中小企业）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2、测绘资质：投标人具有有效的甲级测绘资质（专业类别须同时包含：摄影测量与遥感、地理信息系统工程、地图编制）。本项资格要求若为联合体投标，联合体各方均须提供。</w:t>
      </w:r>
    </w:p>
    <w:p>
      <w:pPr>
        <w:pStyle w:val="null3"/>
      </w:pPr>
      <w:r>
        <w:rPr>
          <w:rFonts w:ascii="仿宋_GB2312" w:hAnsi="仿宋_GB2312" w:cs="仿宋_GB2312" w:eastAsia="仿宋_GB2312"/>
        </w:rPr>
        <w:t>3、本项目接受联合体投标，不允许分包：本项目接受联合体投标，不允许分包。投标人若为联合体投标，应提供《不分包投标声明》及联合体协议，联合体中中小企业承担的部分不低于预算金额的40%。投标人若为非联合体投标，应提供《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陕西省测绘地理信息局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西安市碑林区友谊东路334号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029-87604080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张浥清 曹婷 崔文 王宇轩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采购包1保证金金额：76,730.00元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说明：合同签订后10个工作日内，中标人须向采购人缴纳合同金额5%的履约保证金，履约保证金以金融机构、担保机构出具的保函形式提交，保函有效期至项目验收完成后一个月。</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代理服务费收费标准：按中标金额参照国家计委计价格〔2002〕1980号及发改办价格〔2003〕857号通知规定下浮20%计取，由中标人支付代理服务费。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陕西省测绘地理信息局</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陕西省测绘地理信息局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陕西省测绘地理信息局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按照合同约定。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 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利用采购人提供的基础控制成果、卫星影像数据、1:10000比例尺数字线划图数据成果及其他专题资料，依据相关技术标准，完成铜川市、渭南市、延安市、榆林市全域及西安市、咸阳市部分区域约10.39万平方千米优于1米分辨率1:10000分幅数字正射影像数据生产；完成监测区域内交通、水系、居民地及设施等部分地形要素数据更新生产工作；完成生产区域与相邻省份数据的接边和融合处理工作；开展全省域范围内交通、水系、居民地及设施类部分重点要素专题性监测，形成专题性监测数据及监测报告成果。其中非监测更新区域内重点要素数据由采购人提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5,000,000.00</w:t>
      </w:r>
    </w:p>
    <w:p>
      <w:pPr>
        <w:pStyle w:val="null3"/>
      </w:pPr>
      <w:r>
        <w:rPr>
          <w:rFonts w:ascii="仿宋_GB2312" w:hAnsi="仿宋_GB2312" w:cs="仿宋_GB2312" w:eastAsia="仿宋_GB2312"/>
        </w:rPr>
        <w:t>采购包最高限价（元）: 5,000,000.00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陕西省地理国情监测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标的名称：陕西省地理国情监测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一、技术需求</w:t>
            </w:r>
          </w:p>
          <w:p>
            <w:pPr>
              <w:pStyle w:val="null3"/>
            </w:pPr>
            <w:r>
              <w:rPr>
                <w:rFonts w:ascii="仿宋_GB2312" w:hAnsi="仿宋_GB2312" w:cs="仿宋_GB2312" w:eastAsia="仿宋_GB2312"/>
              </w:rPr>
              <w:t>（一）项目概述及需求</w:t>
            </w:r>
          </w:p>
          <w:p>
            <w:pPr>
              <w:pStyle w:val="null3"/>
            </w:pPr>
            <w:r>
              <w:rPr>
                <w:rFonts w:ascii="仿宋_GB2312" w:hAnsi="仿宋_GB2312" w:cs="仿宋_GB2312" w:eastAsia="仿宋_GB2312"/>
              </w:rPr>
              <w:t>利用采购人提供的基础控制成果、卫星影像数据、1:10000比例尺数字线划图数据成果及其他专题资料，依据相关技术标准，完成铜川市、渭南市、延安市、榆林市全域及西安市、咸阳市部分区域约10.39万平方千米优于1米分辨率1:10000分幅数字正射影像数据生产；完成监测区域内交通、水系、居民地及设施等部分地形要素数据更新生产工作；完成生产区域与相邻省份数据的接边和融合处理工作；开展全省域范围内交通、水系、居民地及设施类部分重点要素专题性监测，形成专题性监测数据及监测报告成果。其中非监测更新区域内重点要素数据由采购人提供。</w:t>
            </w:r>
          </w:p>
          <w:p>
            <w:pPr>
              <w:pStyle w:val="null3"/>
            </w:pPr>
            <w:r>
              <w:rPr>
                <w:rFonts w:ascii="仿宋_GB2312" w:hAnsi="仿宋_GB2312" w:cs="仿宋_GB2312" w:eastAsia="仿宋_GB2312"/>
              </w:rPr>
              <w:t>监测更新区域及专题监测区域具体分布如下图：</w:t>
            </w:r>
          </w:p>
          <w:p>
            <w:pPr>
              <w:pStyle w:val="null3"/>
            </w:pPr>
            <w:r>
              <w:drawing>
                <wp:inline distT="0" distR="0" distB="0" distL="0">
                  <wp:extent cx="1621155" cy="2293717"/>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2293717"/>
                          </a:xfrm>
                          <a:prstGeom prst="rect">
                            <a:avLst/>
                          </a:prstGeom>
                        </pic:spPr>
                      </pic:pic>
                    </a:graphicData>
                  </a:graphic>
                </wp:inline>
              </w:drawing>
            </w:r>
          </w:p>
          <w:p>
            <w:pPr>
              <w:pStyle w:val="null3"/>
            </w:pPr>
            <w:r>
              <w:rPr>
                <w:rFonts w:ascii="仿宋_GB2312" w:hAnsi="仿宋_GB2312" w:cs="仿宋_GB2312" w:eastAsia="仿宋_GB2312"/>
              </w:rPr>
              <w:t>（二）项目技术规格及要求</w:t>
            </w:r>
          </w:p>
          <w:p>
            <w:pPr>
              <w:pStyle w:val="null3"/>
            </w:pPr>
            <w:r>
              <w:rPr>
                <w:rFonts w:ascii="仿宋_GB2312" w:hAnsi="仿宋_GB2312" w:cs="仿宋_GB2312" w:eastAsia="仿宋_GB2312"/>
              </w:rPr>
              <w:t>1、法律、技术依据</w:t>
            </w:r>
          </w:p>
          <w:p>
            <w:pPr>
              <w:pStyle w:val="null3"/>
            </w:pPr>
            <w:r>
              <w:rPr>
                <w:rFonts w:ascii="仿宋_GB2312" w:hAnsi="仿宋_GB2312" w:cs="仿宋_GB2312" w:eastAsia="仿宋_GB2312"/>
              </w:rPr>
              <w:t>（1）法律法规</w:t>
            </w:r>
          </w:p>
          <w:p>
            <w:pPr>
              <w:pStyle w:val="null3"/>
            </w:pPr>
            <w:r>
              <w:rPr>
                <w:rFonts w:ascii="仿宋_GB2312" w:hAnsi="仿宋_GB2312" w:cs="仿宋_GB2312" w:eastAsia="仿宋_GB2312"/>
              </w:rPr>
              <w:t>1.《中华人民共和国测绘法》；</w:t>
            </w:r>
          </w:p>
          <w:p>
            <w:pPr>
              <w:pStyle w:val="null3"/>
            </w:pPr>
            <w:r>
              <w:rPr>
                <w:rFonts w:ascii="仿宋_GB2312" w:hAnsi="仿宋_GB2312" w:cs="仿宋_GB2312" w:eastAsia="仿宋_GB2312"/>
              </w:rPr>
              <w:t>2.《中华人民共和国土地管理法》；</w:t>
            </w:r>
          </w:p>
          <w:p>
            <w:pPr>
              <w:pStyle w:val="null3"/>
            </w:pPr>
            <w:r>
              <w:rPr>
                <w:rFonts w:ascii="仿宋_GB2312" w:hAnsi="仿宋_GB2312" w:cs="仿宋_GB2312" w:eastAsia="仿宋_GB2312"/>
              </w:rPr>
              <w:t>3.《基础测绘条例》；</w:t>
            </w:r>
          </w:p>
          <w:p>
            <w:pPr>
              <w:pStyle w:val="null3"/>
            </w:pPr>
            <w:r>
              <w:rPr>
                <w:rFonts w:ascii="仿宋_GB2312" w:hAnsi="仿宋_GB2312" w:cs="仿宋_GB2312" w:eastAsia="仿宋_GB2312"/>
              </w:rPr>
              <w:t>4.《中华人民共和国测绘成果管理条例》；</w:t>
            </w:r>
          </w:p>
          <w:p>
            <w:pPr>
              <w:pStyle w:val="null3"/>
            </w:pPr>
            <w:r>
              <w:rPr>
                <w:rFonts w:ascii="仿宋_GB2312" w:hAnsi="仿宋_GB2312" w:cs="仿宋_GB2312" w:eastAsia="仿宋_GB2312"/>
              </w:rPr>
              <w:t>5.《中华人民共和国土地管理法实施条例》；</w:t>
            </w:r>
          </w:p>
          <w:p>
            <w:pPr>
              <w:pStyle w:val="null3"/>
            </w:pPr>
            <w:r>
              <w:rPr>
                <w:rFonts w:ascii="仿宋_GB2312" w:hAnsi="仿宋_GB2312" w:cs="仿宋_GB2312" w:eastAsia="仿宋_GB2312"/>
              </w:rPr>
              <w:t>6.《陕西省测绘条例》。</w:t>
            </w:r>
          </w:p>
          <w:p>
            <w:pPr>
              <w:pStyle w:val="null3"/>
            </w:pPr>
            <w:r>
              <w:rPr>
                <w:rFonts w:ascii="仿宋_GB2312" w:hAnsi="仿宋_GB2312" w:cs="仿宋_GB2312" w:eastAsia="仿宋_GB2312"/>
              </w:rPr>
              <w:t>（2）技术依据</w:t>
            </w:r>
          </w:p>
          <w:p>
            <w:pPr>
              <w:pStyle w:val="null3"/>
            </w:pPr>
            <w:r>
              <w:rPr>
                <w:rFonts w:ascii="仿宋_GB2312" w:hAnsi="仿宋_GB2312" w:cs="仿宋_GB2312" w:eastAsia="仿宋_GB2312"/>
              </w:rPr>
              <w:t>1）基础地理信息更新引用及参考标准</w:t>
            </w:r>
          </w:p>
          <w:p>
            <w:pPr>
              <w:pStyle w:val="null3"/>
            </w:pPr>
            <w:r>
              <w:rPr>
                <w:rFonts w:ascii="仿宋_GB2312" w:hAnsi="仿宋_GB2312" w:cs="仿宋_GB2312" w:eastAsia="仿宋_GB2312"/>
              </w:rPr>
              <w:t>1.GB/T 5271.17-2010《信息技术 词汇 第17部分：数据库》；</w:t>
            </w:r>
          </w:p>
          <w:p>
            <w:pPr>
              <w:pStyle w:val="null3"/>
            </w:pPr>
            <w:r>
              <w:rPr>
                <w:rFonts w:ascii="仿宋_GB2312" w:hAnsi="仿宋_GB2312" w:cs="仿宋_GB2312" w:eastAsia="仿宋_GB2312"/>
              </w:rPr>
              <w:t>2.GB/T 13923-2022《基础地理信息要素分类与代码》；</w:t>
            </w:r>
          </w:p>
          <w:p>
            <w:pPr>
              <w:pStyle w:val="null3"/>
            </w:pPr>
            <w:r>
              <w:rPr>
                <w:rFonts w:ascii="仿宋_GB2312" w:hAnsi="仿宋_GB2312" w:cs="仿宋_GB2312" w:eastAsia="仿宋_GB2312"/>
              </w:rPr>
              <w:t>3.GB/T 13977-2012《1:5000 1:10000地形图航空摄影测量外业规范》（以下简称《航外规范》）；</w:t>
            </w:r>
          </w:p>
          <w:p>
            <w:pPr>
              <w:pStyle w:val="null3"/>
            </w:pPr>
            <w:r>
              <w:rPr>
                <w:rFonts w:ascii="仿宋_GB2312" w:hAnsi="仿宋_GB2312" w:cs="仿宋_GB2312" w:eastAsia="仿宋_GB2312"/>
              </w:rPr>
              <w:t>4.GB/T 13989-2012《国家基本比例尺地形图分幅和编号》；</w:t>
            </w:r>
          </w:p>
          <w:p>
            <w:pPr>
              <w:pStyle w:val="null3"/>
            </w:pPr>
            <w:r>
              <w:rPr>
                <w:rFonts w:ascii="仿宋_GB2312" w:hAnsi="仿宋_GB2312" w:cs="仿宋_GB2312" w:eastAsia="仿宋_GB2312"/>
              </w:rPr>
              <w:t>5.GB/T 13990-2012《1:5000 1:10000地形图航空摄影测量内业规范》（以下简称《航内规范》）；</w:t>
            </w:r>
          </w:p>
          <w:p>
            <w:pPr>
              <w:pStyle w:val="null3"/>
            </w:pPr>
            <w:r>
              <w:rPr>
                <w:rFonts w:ascii="仿宋_GB2312" w:hAnsi="仿宋_GB2312" w:cs="仿宋_GB2312" w:eastAsia="仿宋_GB2312"/>
              </w:rPr>
              <w:t>6.GB/T 14268-2008《国家基本比例尺地形图更新规范》；</w:t>
            </w:r>
          </w:p>
          <w:p>
            <w:pPr>
              <w:pStyle w:val="null3"/>
            </w:pPr>
            <w:r>
              <w:rPr>
                <w:rFonts w:ascii="仿宋_GB2312" w:hAnsi="仿宋_GB2312" w:cs="仿宋_GB2312" w:eastAsia="仿宋_GB2312"/>
              </w:rPr>
              <w:t>7.GB/T 17278-2009《数字地形图产品基本要求》；</w:t>
            </w:r>
          </w:p>
          <w:p>
            <w:pPr>
              <w:pStyle w:val="null3"/>
            </w:pPr>
            <w:r>
              <w:rPr>
                <w:rFonts w:ascii="仿宋_GB2312" w:hAnsi="仿宋_GB2312" w:cs="仿宋_GB2312" w:eastAsia="仿宋_GB2312"/>
              </w:rPr>
              <w:t>8.GB/T 17941-2008《数字测绘成果质量要求》；</w:t>
            </w:r>
          </w:p>
          <w:p>
            <w:pPr>
              <w:pStyle w:val="null3"/>
            </w:pPr>
            <w:r>
              <w:rPr>
                <w:rFonts w:ascii="仿宋_GB2312" w:hAnsi="仿宋_GB2312" w:cs="仿宋_GB2312" w:eastAsia="仿宋_GB2312"/>
              </w:rPr>
              <w:t>9.GB/T 18316-2008《数字测绘成果质量检查与验收》；</w:t>
            </w:r>
          </w:p>
          <w:p>
            <w:pPr>
              <w:pStyle w:val="null3"/>
            </w:pPr>
            <w:r>
              <w:rPr>
                <w:rFonts w:ascii="仿宋_GB2312" w:hAnsi="仿宋_GB2312" w:cs="仿宋_GB2312" w:eastAsia="仿宋_GB2312"/>
              </w:rPr>
              <w:t>10.GB/T 18391《信息技术 元数据注册系统（MDR）》系列；</w:t>
            </w:r>
          </w:p>
          <w:p>
            <w:pPr>
              <w:pStyle w:val="null3"/>
            </w:pPr>
            <w:r>
              <w:rPr>
                <w:rFonts w:ascii="仿宋_GB2312" w:hAnsi="仿宋_GB2312" w:cs="仿宋_GB2312" w:eastAsia="仿宋_GB2312"/>
              </w:rPr>
              <w:t>11.GB/T 19710《地理信息 元数据》系列；</w:t>
            </w:r>
          </w:p>
          <w:p>
            <w:pPr>
              <w:pStyle w:val="null3"/>
            </w:pPr>
            <w:r>
              <w:rPr>
                <w:rFonts w:ascii="仿宋_GB2312" w:hAnsi="仿宋_GB2312" w:cs="仿宋_GB2312" w:eastAsia="仿宋_GB2312"/>
              </w:rPr>
              <w:t>12.GB/T 20257.2-2017《国家基本比例尺地图图式第2部分：1:5000、1:10000地形图图式》（以下简称《图式》）；</w:t>
            </w:r>
          </w:p>
          <w:p>
            <w:pPr>
              <w:pStyle w:val="null3"/>
            </w:pPr>
            <w:r>
              <w:rPr>
                <w:rFonts w:ascii="仿宋_GB2312" w:hAnsi="仿宋_GB2312" w:cs="仿宋_GB2312" w:eastAsia="仿宋_GB2312"/>
              </w:rPr>
              <w:t>13.GB/T 20258.2-2019《基础地理信息要素数据字典 第2部分：1:5000 1:10000比例尺》；</w:t>
            </w:r>
          </w:p>
          <w:p>
            <w:pPr>
              <w:pStyle w:val="null3"/>
            </w:pPr>
            <w:r>
              <w:rPr>
                <w:rFonts w:ascii="仿宋_GB2312" w:hAnsi="仿宋_GB2312" w:cs="仿宋_GB2312" w:eastAsia="仿宋_GB2312"/>
              </w:rPr>
              <w:t>14.GB/T 23236-2024《数字航空摄影测量 空中三角测量规范》；</w:t>
            </w:r>
          </w:p>
          <w:p>
            <w:pPr>
              <w:pStyle w:val="null3"/>
            </w:pPr>
            <w:r>
              <w:rPr>
                <w:rFonts w:ascii="仿宋_GB2312" w:hAnsi="仿宋_GB2312" w:cs="仿宋_GB2312" w:eastAsia="仿宋_GB2312"/>
              </w:rPr>
              <w:t>15.GB/T 24356-2023《测绘成果质量检查与验收》；</w:t>
            </w:r>
          </w:p>
          <w:p>
            <w:pPr>
              <w:pStyle w:val="null3"/>
            </w:pPr>
            <w:r>
              <w:rPr>
                <w:rFonts w:ascii="仿宋_GB2312" w:hAnsi="仿宋_GB2312" w:cs="仿宋_GB2312" w:eastAsia="仿宋_GB2312"/>
              </w:rPr>
              <w:t>16.GB/T 33187《地理信息 简单要素访问》系列；</w:t>
            </w:r>
          </w:p>
          <w:p>
            <w:pPr>
              <w:pStyle w:val="null3"/>
            </w:pPr>
            <w:r>
              <w:rPr>
                <w:rFonts w:ascii="仿宋_GB2312" w:hAnsi="仿宋_GB2312" w:cs="仿宋_GB2312" w:eastAsia="仿宋_GB2312"/>
              </w:rPr>
              <w:t>17.GB/T 33462-2016《基础地理信息1:10000地形要素数据规范》；</w:t>
            </w:r>
          </w:p>
          <w:p>
            <w:pPr>
              <w:pStyle w:val="null3"/>
            </w:pPr>
            <w:r>
              <w:rPr>
                <w:rFonts w:ascii="仿宋_GB2312" w:hAnsi="仿宋_GB2312" w:cs="仿宋_GB2312" w:eastAsia="仿宋_GB2312"/>
              </w:rPr>
              <w:t>18.CH/T 1015.1-2007《基础地理信息数字产品1:10000 1:50000生产技术规定第1部分:数字线划图（DLG）》；</w:t>
            </w:r>
          </w:p>
          <w:p>
            <w:pPr>
              <w:pStyle w:val="null3"/>
            </w:pPr>
            <w:r>
              <w:rPr>
                <w:rFonts w:ascii="仿宋_GB2312" w:hAnsi="仿宋_GB2312" w:cs="仿宋_GB2312" w:eastAsia="仿宋_GB2312"/>
              </w:rPr>
              <w:t>19.CH/T 1015.3-2007《基础地理信息数字产品1:10000 1:50000生产技术规程第3部分：数字正射影像图（数字正射影像）》；</w:t>
            </w:r>
          </w:p>
          <w:p>
            <w:pPr>
              <w:pStyle w:val="null3"/>
            </w:pPr>
            <w:r>
              <w:rPr>
                <w:rFonts w:ascii="仿宋_GB2312" w:hAnsi="仿宋_GB2312" w:cs="仿宋_GB2312" w:eastAsia="仿宋_GB2312"/>
              </w:rPr>
              <w:t>20.CH/T 9006-2010《1:5000 1:10000基础地理信息数字产品更新规范》；</w:t>
            </w:r>
          </w:p>
          <w:p>
            <w:pPr>
              <w:pStyle w:val="null3"/>
            </w:pPr>
            <w:r>
              <w:rPr>
                <w:rFonts w:ascii="仿宋_GB2312" w:hAnsi="仿宋_GB2312" w:cs="仿宋_GB2312" w:eastAsia="仿宋_GB2312"/>
              </w:rPr>
              <w:t>21.CH/T 9009.1-2013《基础地理信息数字成果1:5000 1:10000 1∶25000 1∶50000 1:100000 第一部分：数字线划图》；</w:t>
            </w:r>
          </w:p>
          <w:p>
            <w:pPr>
              <w:pStyle w:val="null3"/>
            </w:pPr>
            <w:r>
              <w:rPr>
                <w:rFonts w:ascii="仿宋_GB2312" w:hAnsi="仿宋_GB2312" w:cs="仿宋_GB2312" w:eastAsia="仿宋_GB2312"/>
              </w:rPr>
              <w:t>22.CH/T 9009.3-2010《基础地理信息数字成果1:5000 1:10000 1:25000 1∶50000 1:100000数字正射影像图》；</w:t>
            </w:r>
          </w:p>
          <w:p>
            <w:pPr>
              <w:pStyle w:val="null3"/>
            </w:pPr>
            <w:r>
              <w:rPr>
                <w:rFonts w:ascii="仿宋_GB2312" w:hAnsi="仿宋_GB2312" w:cs="仿宋_GB2312" w:eastAsia="仿宋_GB2312"/>
              </w:rPr>
              <w:t>23.CH/T 9012-2011《基础地理信息数字成果数据组织及文件命名规则》；</w:t>
            </w:r>
          </w:p>
          <w:p>
            <w:pPr>
              <w:pStyle w:val="null3"/>
            </w:pPr>
            <w:r>
              <w:rPr>
                <w:rFonts w:ascii="仿宋_GB2312" w:hAnsi="仿宋_GB2312" w:cs="仿宋_GB2312" w:eastAsia="仿宋_GB2312"/>
              </w:rPr>
              <w:t>24.中华人民共和国民政部编写的《中华人民共和国行政区划简册》；</w:t>
            </w:r>
          </w:p>
          <w:p>
            <w:pPr>
              <w:pStyle w:val="null3"/>
            </w:pPr>
            <w:r>
              <w:rPr>
                <w:rFonts w:ascii="仿宋_GB2312" w:hAnsi="仿宋_GB2312" w:cs="仿宋_GB2312" w:eastAsia="仿宋_GB2312"/>
              </w:rPr>
              <w:t>25.由自然资源部第二地形测量队编写的《陕西省县级以下行政区划代码编制统计表》；</w:t>
            </w:r>
          </w:p>
          <w:p>
            <w:pPr>
              <w:pStyle w:val="null3"/>
            </w:pPr>
            <w:r>
              <w:rPr>
                <w:rFonts w:ascii="仿宋_GB2312" w:hAnsi="仿宋_GB2312" w:cs="仿宋_GB2312" w:eastAsia="仿宋_GB2312"/>
              </w:rPr>
              <w:t>26.《陕西省1:10000基础地理信息更新数字正射影像数据规定》陕西省测绘地理信息局（以下简称《DOM数据规定》）；</w:t>
            </w:r>
          </w:p>
          <w:p>
            <w:pPr>
              <w:pStyle w:val="null3"/>
            </w:pPr>
            <w:r>
              <w:rPr>
                <w:rFonts w:ascii="仿宋_GB2312" w:hAnsi="仿宋_GB2312" w:cs="仿宋_GB2312" w:eastAsia="仿宋_GB2312"/>
              </w:rPr>
              <w:t>27.《陕西省1:10000基础地理信息更新地形要素数据规定》陕西省测绘地理信息局（以下简称《DLG数据规定》）。</w:t>
            </w:r>
          </w:p>
          <w:p>
            <w:pPr>
              <w:pStyle w:val="null3"/>
            </w:pPr>
            <w:r>
              <w:rPr>
                <w:rFonts w:ascii="仿宋_GB2312" w:hAnsi="仿宋_GB2312" w:cs="仿宋_GB2312" w:eastAsia="仿宋_GB2312"/>
              </w:rPr>
              <w:t>2）重点要素专题性监测生产引用及参考标准</w:t>
            </w:r>
          </w:p>
          <w:p>
            <w:pPr>
              <w:pStyle w:val="null3"/>
            </w:pPr>
            <w:r>
              <w:rPr>
                <w:rFonts w:ascii="仿宋_GB2312" w:hAnsi="仿宋_GB2312" w:cs="仿宋_GB2312" w:eastAsia="仿宋_GB2312"/>
              </w:rPr>
              <w:t>1.《自然资源部办公厅关于开展2025年自然资源监测工作的通知》自然资办函【2025】1922号，自然资源部；</w:t>
            </w:r>
          </w:p>
          <w:p>
            <w:pPr>
              <w:pStyle w:val="null3"/>
            </w:pPr>
            <w:r>
              <w:rPr>
                <w:rFonts w:ascii="仿宋_GB2312" w:hAnsi="仿宋_GB2312" w:cs="仿宋_GB2312" w:eastAsia="仿宋_GB2312"/>
              </w:rPr>
              <w:t>2.《2025年自然资源监测实施方案》，自然资源部，2025年8月；</w:t>
            </w:r>
          </w:p>
          <w:p>
            <w:pPr>
              <w:pStyle w:val="null3"/>
            </w:pPr>
            <w:r>
              <w:rPr>
                <w:rFonts w:ascii="仿宋_GB2312" w:hAnsi="仿宋_GB2312" w:cs="仿宋_GB2312" w:eastAsia="仿宋_GB2312"/>
              </w:rPr>
              <w:t>3.自然资源部自然资源调查监测司关于印发《2025年自然资源监测技术方案》的通知，自然资源调查函【2025】12号，自然资源部自然资源调查监测司；</w:t>
            </w:r>
          </w:p>
          <w:p>
            <w:pPr>
              <w:pStyle w:val="null3"/>
            </w:pPr>
            <w:r>
              <w:rPr>
                <w:rFonts w:ascii="仿宋_GB2312" w:hAnsi="仿宋_GB2312" w:cs="仿宋_GB2312" w:eastAsia="仿宋_GB2312"/>
              </w:rPr>
              <w:t>4.TD/T 1055-2019《第三次全国国土调查技术规程》；</w:t>
            </w:r>
          </w:p>
          <w:p>
            <w:pPr>
              <w:pStyle w:val="null3"/>
            </w:pPr>
            <w:r>
              <w:rPr>
                <w:rFonts w:ascii="仿宋_GB2312" w:hAnsi="仿宋_GB2312" w:cs="仿宋_GB2312" w:eastAsia="仿宋_GB2312"/>
              </w:rPr>
              <w:t>5.TD/T 1064-2021《城区范围确定规程》；</w:t>
            </w:r>
          </w:p>
          <w:p>
            <w:pPr>
              <w:pStyle w:val="null3"/>
            </w:pPr>
            <w:r>
              <w:rPr>
                <w:rFonts w:ascii="仿宋_GB2312" w:hAnsi="仿宋_GB2312" w:cs="仿宋_GB2312" w:eastAsia="仿宋_GB2312"/>
              </w:rPr>
              <w:t>6.DB33/T 2151-2018《城镇建成区调查技术规范》；</w:t>
            </w:r>
          </w:p>
          <w:p>
            <w:pPr>
              <w:pStyle w:val="null3"/>
            </w:pPr>
            <w:r>
              <w:rPr>
                <w:rFonts w:ascii="仿宋_GB2312" w:hAnsi="仿宋_GB2312" w:cs="仿宋_GB2312" w:eastAsia="仿宋_GB2312"/>
              </w:rPr>
              <w:t>7.GB/T 13923-2022《基础地理信息要素分类与代码》；</w:t>
            </w:r>
          </w:p>
          <w:p>
            <w:pPr>
              <w:pStyle w:val="null3"/>
            </w:pPr>
            <w:r>
              <w:rPr>
                <w:rFonts w:ascii="仿宋_GB2312" w:hAnsi="仿宋_GB2312" w:cs="仿宋_GB2312" w:eastAsia="仿宋_GB2312"/>
              </w:rPr>
              <w:t>8.GB/T 21010-2017《土地利用现状分类》；</w:t>
            </w:r>
          </w:p>
          <w:p>
            <w:pPr>
              <w:pStyle w:val="null3"/>
            </w:pPr>
            <w:r>
              <w:rPr>
                <w:rFonts w:ascii="仿宋_GB2312" w:hAnsi="仿宋_GB2312" w:cs="仿宋_GB2312" w:eastAsia="仿宋_GB2312"/>
              </w:rPr>
              <w:t>9.GB 50137-2011《城市用地分类与规划建设用地标准》；</w:t>
            </w:r>
          </w:p>
          <w:p>
            <w:pPr>
              <w:pStyle w:val="null3"/>
            </w:pPr>
            <w:r>
              <w:rPr>
                <w:rFonts w:ascii="仿宋_GB2312" w:hAnsi="仿宋_GB2312" w:cs="仿宋_GB2312" w:eastAsia="仿宋_GB2312"/>
              </w:rPr>
              <w:t>10.GB/T 50280-1998《城市规划基本术语标准》。</w:t>
            </w:r>
          </w:p>
          <w:p>
            <w:pPr>
              <w:pStyle w:val="null3"/>
            </w:pPr>
            <w:r>
              <w:rPr>
                <w:rFonts w:ascii="仿宋_GB2312" w:hAnsi="仿宋_GB2312" w:cs="仿宋_GB2312" w:eastAsia="仿宋_GB2312"/>
              </w:rPr>
              <w:t>2、数学基础</w:t>
            </w:r>
          </w:p>
          <w:p>
            <w:pPr>
              <w:pStyle w:val="null3"/>
            </w:pPr>
            <w:r>
              <w:rPr>
                <w:rFonts w:ascii="仿宋_GB2312" w:hAnsi="仿宋_GB2312" w:cs="仿宋_GB2312" w:eastAsia="仿宋_GB2312"/>
              </w:rPr>
              <w:t>大地基准:2000国家大地坐标系。</w:t>
            </w:r>
          </w:p>
          <w:p>
            <w:pPr>
              <w:pStyle w:val="null3"/>
            </w:pPr>
            <w:r>
              <w:rPr>
                <w:rFonts w:ascii="仿宋_GB2312" w:hAnsi="仿宋_GB2312" w:cs="仿宋_GB2312" w:eastAsia="仿宋_GB2312"/>
              </w:rPr>
              <w:t>高程基准:1985国家高程基准。</w:t>
            </w:r>
          </w:p>
          <w:p>
            <w:pPr>
              <w:pStyle w:val="null3"/>
            </w:pPr>
            <w:r>
              <w:rPr>
                <w:rFonts w:ascii="仿宋_GB2312" w:hAnsi="仿宋_GB2312" w:cs="仿宋_GB2312" w:eastAsia="仿宋_GB2312"/>
              </w:rPr>
              <w:t>地图投影：采用高斯-克吕格投影，按3°分带，中央经线为105°、108°、111°。成果不加投影带号。</w:t>
            </w:r>
          </w:p>
          <w:p>
            <w:pPr>
              <w:pStyle w:val="null3"/>
            </w:pPr>
            <w:r>
              <w:rPr>
                <w:rFonts w:ascii="仿宋_GB2312" w:hAnsi="仿宋_GB2312" w:cs="仿宋_GB2312" w:eastAsia="仿宋_GB2312"/>
              </w:rPr>
              <w:t>数字正射影像成果和矢量地形要素数据成果：坐标单位为米。</w:t>
            </w:r>
          </w:p>
          <w:p>
            <w:pPr>
              <w:pStyle w:val="null3"/>
            </w:pPr>
            <w:r>
              <w:rPr>
                <w:rFonts w:ascii="仿宋_GB2312" w:hAnsi="仿宋_GB2312" w:cs="仿宋_GB2312" w:eastAsia="仿宋_GB2312"/>
              </w:rPr>
              <w:t>专题性监测数据成果：坐标单位为度。</w:t>
            </w:r>
          </w:p>
          <w:p>
            <w:pPr>
              <w:pStyle w:val="null3"/>
            </w:pPr>
            <w:r>
              <w:rPr>
                <w:rFonts w:ascii="仿宋_GB2312" w:hAnsi="仿宋_GB2312" w:cs="仿宋_GB2312" w:eastAsia="仿宋_GB2312"/>
              </w:rPr>
              <w:t>3、产品类型及规格</w:t>
            </w:r>
          </w:p>
          <w:p>
            <w:pPr>
              <w:pStyle w:val="null3"/>
            </w:pPr>
            <w:r>
              <w:rPr>
                <w:rFonts w:ascii="仿宋_GB2312" w:hAnsi="仿宋_GB2312" w:cs="仿宋_GB2312" w:eastAsia="仿宋_GB2312"/>
              </w:rPr>
              <w:t>（1）分幅数字正射影像</w:t>
            </w:r>
          </w:p>
          <w:p>
            <w:pPr>
              <w:pStyle w:val="null3"/>
            </w:pPr>
            <w:r>
              <w:rPr>
                <w:rFonts w:ascii="仿宋_GB2312" w:hAnsi="仿宋_GB2312" w:cs="仿宋_GB2312" w:eastAsia="仿宋_GB2312"/>
              </w:rPr>
              <w:t>1）分幅编号与存储单元</w:t>
            </w:r>
          </w:p>
          <w:p>
            <w:pPr>
              <w:pStyle w:val="null3"/>
            </w:pPr>
            <w:r>
              <w:rPr>
                <w:rFonts w:ascii="仿宋_GB2312" w:hAnsi="仿宋_GB2312" w:cs="仿宋_GB2312" w:eastAsia="仿宋_GB2312"/>
              </w:rPr>
              <w:t>按照GB/T 13989-2012《国家基本比例尺地形图分幅和编号》执行。空间存储单元为3′45″（经差）×2′30″（纬差），按1:10000图幅满幅生产。</w:t>
            </w:r>
          </w:p>
          <w:p>
            <w:pPr>
              <w:pStyle w:val="null3"/>
            </w:pPr>
            <w:r>
              <w:rPr>
                <w:rFonts w:ascii="仿宋_GB2312" w:hAnsi="仿宋_GB2312" w:cs="仿宋_GB2312" w:eastAsia="仿宋_GB2312"/>
              </w:rPr>
              <w:t>2）数据组成与存储格式</w:t>
            </w:r>
          </w:p>
          <w:p>
            <w:pPr>
              <w:pStyle w:val="null3"/>
            </w:pPr>
            <w:r>
              <w:rPr>
                <w:rFonts w:ascii="仿宋_GB2312" w:hAnsi="仿宋_GB2312" w:cs="仿宋_GB2312" w:eastAsia="仿宋_GB2312"/>
              </w:rPr>
              <w:t>数据内容包括数字正射影像数据文件、记录影像坐标信息的文件和元数据文件三个部分。</w:t>
            </w:r>
          </w:p>
          <w:p>
            <w:pPr>
              <w:pStyle w:val="null3"/>
            </w:pPr>
            <w:r>
              <w:rPr>
                <w:rFonts w:ascii="仿宋_GB2312" w:hAnsi="仿宋_GB2312" w:cs="仿宋_GB2312" w:eastAsia="仿宋_GB2312"/>
              </w:rPr>
              <w:t>色彩与像素位：采用RGB真彩色，像素位数为通道数×8bit。</w:t>
            </w:r>
          </w:p>
          <w:p>
            <w:pPr>
              <w:pStyle w:val="null3"/>
            </w:pPr>
            <w:r>
              <w:rPr>
                <w:rFonts w:ascii="仿宋_GB2312" w:hAnsi="仿宋_GB2312" w:cs="仿宋_GB2312" w:eastAsia="仿宋_GB2312"/>
              </w:rPr>
              <w:t>色彩模式：黑白、真彩色。</w:t>
            </w:r>
          </w:p>
          <w:p>
            <w:pPr>
              <w:pStyle w:val="null3"/>
            </w:pPr>
            <w:r>
              <w:rPr>
                <w:rFonts w:ascii="仿宋_GB2312" w:hAnsi="仿宋_GB2312" w:cs="仿宋_GB2312" w:eastAsia="仿宋_GB2312"/>
              </w:rPr>
              <w:t>3）裁切范围要求</w:t>
            </w:r>
          </w:p>
          <w:p>
            <w:pPr>
              <w:pStyle w:val="null3"/>
            </w:pPr>
            <w:r>
              <w:rPr>
                <w:rFonts w:ascii="仿宋_GB2312" w:hAnsi="仿宋_GB2312" w:cs="仿宋_GB2312" w:eastAsia="仿宋_GB2312"/>
              </w:rPr>
              <w:t>以标准图幅存储单元最小外接矩形为基准，向外扩100米裁切，统一采用规范公式计算影像起止点坐标，坐标精确到三位小数（单位：米）。</w:t>
            </w:r>
          </w:p>
          <w:p>
            <w:pPr>
              <w:pStyle w:val="null3"/>
            </w:pPr>
            <w:r>
              <w:rPr>
                <w:rFonts w:ascii="仿宋_GB2312" w:hAnsi="仿宋_GB2312" w:cs="仿宋_GB2312" w:eastAsia="仿宋_GB2312"/>
              </w:rPr>
              <w:t>4)文件命名规则</w:t>
            </w:r>
          </w:p>
          <w:p>
            <w:pPr>
              <w:pStyle w:val="null3"/>
            </w:pPr>
            <w:r>
              <w:rPr>
                <w:rFonts w:ascii="仿宋_GB2312" w:hAnsi="仿宋_GB2312" w:cs="仿宋_GB2312" w:eastAsia="仿宋_GB2312"/>
              </w:rPr>
              <w:t>文件名由1:10000图号和13位字符（数据源标识符2位、分辨率标识码2位、色彩标识符1位、影像数据获取年份4位、分隔符1位和扩展名3位）组成。</w:t>
            </w:r>
          </w:p>
          <w:p>
            <w:pPr>
              <w:pStyle w:val="null3"/>
            </w:pPr>
            <w:r>
              <w:rPr>
                <w:rFonts w:ascii="仿宋_GB2312" w:hAnsi="仿宋_GB2312" w:cs="仿宋_GB2312" w:eastAsia="仿宋_GB2312"/>
              </w:rPr>
              <w:t>5)精度指标</w:t>
            </w:r>
          </w:p>
          <w:p>
            <w:pPr>
              <w:pStyle w:val="null3"/>
            </w:pPr>
            <w:r>
              <w:rPr>
                <w:rFonts w:ascii="仿宋_GB2312" w:hAnsi="仿宋_GB2312" w:cs="仿宋_GB2312" w:eastAsia="仿宋_GB2312"/>
              </w:rPr>
              <w:t>1:10000分幅数字正射影像明显地物点平面位置相对于附近野外控制点或已有正射影像同名点的点位中误差及接边限差不得大于表3-1的规定。</w:t>
            </w:r>
          </w:p>
          <w:p>
            <w:pPr>
              <w:pStyle w:val="null3"/>
            </w:pPr>
            <w:r>
              <w:rPr>
                <w:rFonts w:ascii="仿宋_GB2312" w:hAnsi="仿宋_GB2312" w:cs="仿宋_GB2312" w:eastAsia="仿宋_GB2312"/>
              </w:rPr>
              <w:t>表3-1 数字正射影像平面精度及接边限差</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地形类别</w:t>
                  </w:r>
                </w:p>
              </w:tc>
              <w:tc>
                <w:tcPr>
                  <w:tcW w:type="dxa" w:w="851"/>
                </w:tcPr>
                <w:p>
                  <w:pPr>
                    <w:pStyle w:val="null3"/>
                  </w:pPr>
                  <w:r>
                    <w:rPr>
                      <w:rFonts w:ascii="仿宋_GB2312" w:hAnsi="仿宋_GB2312" w:cs="仿宋_GB2312" w:eastAsia="仿宋_GB2312"/>
                    </w:rPr>
                    <w:t>中误差（米）</w:t>
                  </w:r>
                </w:p>
              </w:tc>
              <w:tc>
                <w:tcPr>
                  <w:tcW w:type="dxa" w:w="851"/>
                </w:tcPr>
                <w:p>
                  <w:pPr>
                    <w:pStyle w:val="null3"/>
                  </w:pPr>
                  <w:r>
                    <w:rPr>
                      <w:rFonts w:ascii="仿宋_GB2312" w:hAnsi="仿宋_GB2312" w:cs="仿宋_GB2312" w:eastAsia="仿宋_GB2312"/>
                    </w:rPr>
                    <w:t>接边限差（米）</w:t>
                  </w:r>
                </w:p>
              </w:tc>
            </w:tr>
            <w:tr>
              <w:tc>
                <w:tcPr>
                  <w:tcW w:type="dxa" w:w="851"/>
                </w:tcPr>
                <w:p>
                  <w:pPr>
                    <w:pStyle w:val="null3"/>
                  </w:pPr>
                  <w:r>
                    <w:rPr>
                      <w:rFonts w:ascii="仿宋_GB2312" w:hAnsi="仿宋_GB2312" w:cs="仿宋_GB2312" w:eastAsia="仿宋_GB2312"/>
                    </w:rPr>
                    <w:t>平地、丘陵地</w:t>
                  </w:r>
                </w:p>
              </w:tc>
              <w:tc>
                <w:tcPr>
                  <w:tcW w:type="dxa" w:w="851"/>
                </w:tcPr>
                <w:p>
                  <w:pPr>
                    <w:pStyle w:val="null3"/>
                  </w:pPr>
                  <w:r>
                    <w:rPr>
                      <w:rFonts w:ascii="仿宋_GB2312" w:hAnsi="仿宋_GB2312" w:cs="仿宋_GB2312" w:eastAsia="仿宋_GB2312"/>
                    </w:rPr>
                    <w:t>5.0</w:t>
                  </w:r>
                </w:p>
              </w:tc>
              <w:tc>
                <w:tcPr>
                  <w:tcW w:type="dxa" w:w="851"/>
                </w:tcPr>
                <w:p>
                  <w:pPr>
                    <w:pStyle w:val="null3"/>
                  </w:pPr>
                  <w:r>
                    <w:rPr>
                      <w:rFonts w:ascii="仿宋_GB2312" w:hAnsi="仿宋_GB2312" w:cs="仿宋_GB2312" w:eastAsia="仿宋_GB2312"/>
                    </w:rPr>
                    <w:t>5.0</w:t>
                  </w:r>
                </w:p>
              </w:tc>
            </w:tr>
            <w:tr>
              <w:tc>
                <w:tcPr>
                  <w:tcW w:type="dxa" w:w="851"/>
                </w:tcPr>
                <w:p>
                  <w:pPr>
                    <w:pStyle w:val="null3"/>
                  </w:pPr>
                  <w:r>
                    <w:rPr>
                      <w:rFonts w:ascii="仿宋_GB2312" w:hAnsi="仿宋_GB2312" w:cs="仿宋_GB2312" w:eastAsia="仿宋_GB2312"/>
                    </w:rPr>
                    <w:t>山地、高山地</w:t>
                  </w:r>
                </w:p>
              </w:tc>
              <w:tc>
                <w:tcPr>
                  <w:tcW w:type="dxa" w:w="851"/>
                </w:tcPr>
                <w:p>
                  <w:pPr>
                    <w:pStyle w:val="null3"/>
                  </w:pPr>
                  <w:r>
                    <w:rPr>
                      <w:rFonts w:ascii="仿宋_GB2312" w:hAnsi="仿宋_GB2312" w:cs="仿宋_GB2312" w:eastAsia="仿宋_GB2312"/>
                    </w:rPr>
                    <w:t>7.5</w:t>
                  </w:r>
                </w:p>
              </w:tc>
              <w:tc>
                <w:tcPr>
                  <w:tcW w:type="dxa" w:w="851"/>
                </w:tcPr>
                <w:p>
                  <w:pPr>
                    <w:pStyle w:val="null3"/>
                  </w:pPr>
                  <w:r>
                    <w:rPr>
                      <w:rFonts w:ascii="仿宋_GB2312" w:hAnsi="仿宋_GB2312" w:cs="仿宋_GB2312" w:eastAsia="仿宋_GB2312"/>
                    </w:rPr>
                    <w:t>7.5</w:t>
                  </w:r>
                </w:p>
              </w:tc>
            </w:tr>
            <w:tr>
              <w:tc>
                <w:tcPr>
                  <w:tcW w:type="dxa" w:w="2553"/>
                  <w:gridSpan w:val="3"/>
                </w:tcPr>
                <w:p>
                  <w:pPr>
                    <w:pStyle w:val="null3"/>
                  </w:pPr>
                  <w:r>
                    <w:rPr>
                      <w:rFonts w:ascii="仿宋_GB2312" w:hAnsi="仿宋_GB2312" w:cs="仿宋_GB2312" w:eastAsia="仿宋_GB2312"/>
                    </w:rPr>
                    <w:t>注：</w:t>
                  </w:r>
                </w:p>
                <w:p>
                  <w:pPr>
                    <w:pStyle w:val="null3"/>
                  </w:pPr>
                  <w:r>
                    <w:rPr>
                      <w:rFonts w:ascii="仿宋_GB2312" w:hAnsi="仿宋_GB2312" w:cs="仿宋_GB2312" w:eastAsia="仿宋_GB2312"/>
                    </w:rPr>
                    <w:t>特殊困难地区(大面积森林、草原、戈壁、沼泽以及陡峭的山地、冲沟等)，中误差和接边限差可以适当放宽0.5倍，最大误差不超过中误差2倍。</w:t>
                  </w:r>
                </w:p>
              </w:tc>
            </w:tr>
          </w:tbl>
          <w:p>
            <w:pPr>
              <w:pStyle w:val="null3"/>
            </w:pPr>
            <w:r>
              <w:rPr>
                <w:rFonts w:ascii="仿宋_GB2312" w:hAnsi="仿宋_GB2312" w:cs="仿宋_GB2312" w:eastAsia="仿宋_GB2312"/>
              </w:rPr>
              <w:t>不同地形类别影像之间接边时，按最大误差要求执行。</w:t>
            </w:r>
          </w:p>
          <w:p>
            <w:pPr>
              <w:pStyle w:val="null3"/>
            </w:pPr>
            <w:r>
              <w:rPr>
                <w:rFonts w:ascii="仿宋_GB2312" w:hAnsi="仿宋_GB2312" w:cs="仿宋_GB2312" w:eastAsia="仿宋_GB2312"/>
              </w:rPr>
              <w:t>（2）矢量地形要素数据</w:t>
            </w:r>
          </w:p>
          <w:p>
            <w:pPr>
              <w:pStyle w:val="null3"/>
            </w:pPr>
            <w:r>
              <w:rPr>
                <w:rFonts w:ascii="仿宋_GB2312" w:hAnsi="仿宋_GB2312" w:cs="仿宋_GB2312" w:eastAsia="仿宋_GB2312"/>
              </w:rPr>
              <w:t>1）生产单元及范围</w:t>
            </w:r>
          </w:p>
          <w:p>
            <w:pPr>
              <w:pStyle w:val="null3"/>
            </w:pPr>
            <w:r>
              <w:rPr>
                <w:rFonts w:ascii="仿宋_GB2312" w:hAnsi="仿宋_GB2312" w:cs="仿宋_GB2312" w:eastAsia="仿宋_GB2312"/>
              </w:rPr>
              <w:t>生产单元按单块面积约400平方千米划分。一般应按生产单元范围生产，跨省界的生产单元以省界为更新边界，并处理好与省界两侧要素的拓扑关系。</w:t>
            </w:r>
          </w:p>
          <w:p>
            <w:pPr>
              <w:pStyle w:val="null3"/>
            </w:pPr>
            <w:r>
              <w:rPr>
                <w:rFonts w:ascii="仿宋_GB2312" w:hAnsi="仿宋_GB2312" w:cs="仿宋_GB2312" w:eastAsia="仿宋_GB2312"/>
              </w:rPr>
              <w:t>2）数据内容</w:t>
            </w:r>
          </w:p>
          <w:p>
            <w:pPr>
              <w:pStyle w:val="null3"/>
            </w:pPr>
            <w:r>
              <w:rPr>
                <w:rFonts w:ascii="仿宋_GB2312" w:hAnsi="仿宋_GB2312" w:cs="仿宋_GB2312" w:eastAsia="仿宋_GB2312"/>
              </w:rPr>
              <w:t>矢量要素数据库成果包含增量数据、元数据、工作任务区。</w:t>
            </w:r>
          </w:p>
          <w:p>
            <w:pPr>
              <w:pStyle w:val="null3"/>
            </w:pPr>
            <w:r>
              <w:rPr>
                <w:rFonts w:ascii="仿宋_GB2312" w:hAnsi="仿宋_GB2312" w:cs="仿宋_GB2312" w:eastAsia="仿宋_GB2312"/>
              </w:rPr>
              <w:t>3）文件命名</w:t>
            </w:r>
          </w:p>
          <w:p>
            <w:pPr>
              <w:pStyle w:val="null3"/>
            </w:pPr>
            <w:r>
              <w:rPr>
                <w:rFonts w:ascii="仿宋_GB2312" w:hAnsi="仿宋_GB2312" w:cs="仿宋_GB2312" w:eastAsia="仿宋_GB2312"/>
              </w:rPr>
              <w:t>生产单元文件名由“T”+“带号”+“_”+“生产单元编号”+“文件扩展名”组成，如“T35_509.gdb”。生产单元由甲方统一编号。增量更新成果数据文件名与生产单元文件名称保持一致。</w:t>
            </w:r>
          </w:p>
          <w:p>
            <w:pPr>
              <w:pStyle w:val="null3"/>
            </w:pPr>
            <w:r>
              <w:rPr>
                <w:rFonts w:ascii="仿宋_GB2312" w:hAnsi="仿宋_GB2312" w:cs="仿宋_GB2312" w:eastAsia="仿宋_GB2312"/>
              </w:rPr>
              <w:t>4）精度指标</w:t>
            </w:r>
          </w:p>
          <w:p>
            <w:pPr>
              <w:pStyle w:val="null3"/>
            </w:pPr>
            <w:r>
              <w:rPr>
                <w:rFonts w:ascii="仿宋_GB2312" w:hAnsi="仿宋_GB2312" w:cs="仿宋_GB2312" w:eastAsia="仿宋_GB2312"/>
              </w:rPr>
              <w:t>生产单元内数据精度与原始数据的精度保持一致。地物点相对附近野外控制点的平面位置中误差和高程中误差不大于表3-2的规定。</w:t>
            </w:r>
          </w:p>
          <w:p>
            <w:pPr>
              <w:pStyle w:val="null3"/>
            </w:pPr>
            <w:r>
              <w:rPr>
                <w:rFonts w:ascii="仿宋_GB2312" w:hAnsi="仿宋_GB2312" w:cs="仿宋_GB2312" w:eastAsia="仿宋_GB2312"/>
              </w:rPr>
              <w:t>表3-2 平面位置中误差和高程中误差</w:t>
            </w:r>
          </w:p>
          <w:tbl>
            <w:tblPr>
              <w:tblBorders>
                <w:top w:val="single"/>
                <w:left w:val="single"/>
                <w:bottom w:val="single"/>
                <w:right w:val="single"/>
                <w:insideH w:val="single"/>
                <w:insideV w:val="single"/>
              </w:tblBorders>
            </w:tblPr>
            <w:tblGrid>
              <w:gridCol w:w="638"/>
              <w:gridCol w:w="638"/>
              <w:gridCol w:w="638"/>
              <w:gridCol w:w="638"/>
            </w:tblGrid>
            <w:tr>
              <w:tc>
                <w:tcPr>
                  <w:tcW w:type="dxa" w:w="638"/>
                  <w:vMerge w:val="restart"/>
                </w:tcPr>
                <w:p>
                  <w:pPr>
                    <w:pStyle w:val="null3"/>
                  </w:pPr>
                  <w:r>
                    <w:rPr>
                      <w:rFonts w:ascii="仿宋_GB2312" w:hAnsi="仿宋_GB2312" w:cs="仿宋_GB2312" w:eastAsia="仿宋_GB2312"/>
                    </w:rPr>
                    <w:t>地形类别</w:t>
                  </w:r>
                </w:p>
              </w:tc>
              <w:tc>
                <w:tcPr>
                  <w:tcW w:type="dxa" w:w="638"/>
                  <w:vMerge w:val="restart"/>
                </w:tcPr>
                <w:p>
                  <w:pPr>
                    <w:pStyle w:val="null3"/>
                  </w:pPr>
                  <w:r>
                    <w:rPr>
                      <w:rFonts w:ascii="仿宋_GB2312" w:hAnsi="仿宋_GB2312" w:cs="仿宋_GB2312" w:eastAsia="仿宋_GB2312"/>
                    </w:rPr>
                    <w:t>地物点</w:t>
                  </w:r>
                </w:p>
                <w:p>
                  <w:pPr>
                    <w:pStyle w:val="null3"/>
                  </w:pPr>
                  <w:r>
                    <w:rPr>
                      <w:rFonts w:ascii="仿宋_GB2312" w:hAnsi="仿宋_GB2312" w:cs="仿宋_GB2312" w:eastAsia="仿宋_GB2312"/>
                    </w:rPr>
                    <w:t>平面位置中误差（m）</w:t>
                  </w:r>
                </w:p>
              </w:tc>
              <w:tc>
                <w:tcPr>
                  <w:tcW w:type="dxa" w:w="1276"/>
                  <w:gridSpan w:val="2"/>
                </w:tcPr>
                <w:p>
                  <w:pPr>
                    <w:pStyle w:val="null3"/>
                  </w:pPr>
                  <w:r>
                    <w:rPr>
                      <w:rFonts w:ascii="仿宋_GB2312" w:hAnsi="仿宋_GB2312" w:cs="仿宋_GB2312" w:eastAsia="仿宋_GB2312"/>
                    </w:rPr>
                    <w:t>高程中误差（m）</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高程注记点</w:t>
                  </w:r>
                </w:p>
              </w:tc>
              <w:tc>
                <w:tcPr>
                  <w:tcW w:type="dxa" w:w="638"/>
                </w:tcPr>
                <w:p>
                  <w:pPr>
                    <w:pStyle w:val="null3"/>
                  </w:pPr>
                  <w:r>
                    <w:rPr>
                      <w:rFonts w:ascii="仿宋_GB2312" w:hAnsi="仿宋_GB2312" w:cs="仿宋_GB2312" w:eastAsia="仿宋_GB2312"/>
                    </w:rPr>
                    <w:t>等高线</w:t>
                  </w:r>
                </w:p>
              </w:tc>
            </w:tr>
            <w:tr>
              <w:tc>
                <w:tcPr>
                  <w:tcW w:type="dxa" w:w="638"/>
                </w:tcPr>
                <w:p>
                  <w:pPr>
                    <w:pStyle w:val="null3"/>
                  </w:pPr>
                  <w:r>
                    <w:rPr>
                      <w:rFonts w:ascii="仿宋_GB2312" w:hAnsi="仿宋_GB2312" w:cs="仿宋_GB2312" w:eastAsia="仿宋_GB2312"/>
                    </w:rPr>
                    <w:t>平地</w:t>
                  </w:r>
                </w:p>
              </w:tc>
              <w:tc>
                <w:tcPr>
                  <w:tcW w:type="dxa" w:w="638"/>
                </w:tcPr>
                <w:p>
                  <w:pPr>
                    <w:pStyle w:val="null3"/>
                  </w:pPr>
                  <w:r>
                    <w:rPr>
                      <w:rFonts w:ascii="仿宋_GB2312" w:hAnsi="仿宋_GB2312" w:cs="仿宋_GB2312" w:eastAsia="仿宋_GB2312"/>
                    </w:rPr>
                    <w:t>5.0</w:t>
                  </w:r>
                </w:p>
              </w:tc>
              <w:tc>
                <w:tcPr>
                  <w:tcW w:type="dxa" w:w="638"/>
                </w:tcPr>
                <w:p>
                  <w:pPr>
                    <w:pStyle w:val="null3"/>
                  </w:pPr>
                  <w:r>
                    <w:rPr>
                      <w:rFonts w:ascii="仿宋_GB2312" w:hAnsi="仿宋_GB2312" w:cs="仿宋_GB2312" w:eastAsia="仿宋_GB2312"/>
                    </w:rPr>
                    <w:t>0.35</w:t>
                  </w:r>
                </w:p>
              </w:tc>
              <w:tc>
                <w:tcPr>
                  <w:tcW w:type="dxa" w:w="638"/>
                </w:tcPr>
                <w:p>
                  <w:pPr>
                    <w:pStyle w:val="null3"/>
                  </w:pPr>
                  <w:r>
                    <w:rPr>
                      <w:rFonts w:ascii="仿宋_GB2312" w:hAnsi="仿宋_GB2312" w:cs="仿宋_GB2312" w:eastAsia="仿宋_GB2312"/>
                    </w:rPr>
                    <w:t>0.5</w:t>
                  </w:r>
                </w:p>
              </w:tc>
            </w:tr>
            <w:tr>
              <w:tc>
                <w:tcPr>
                  <w:tcW w:type="dxa" w:w="638"/>
                </w:tcPr>
                <w:p>
                  <w:pPr>
                    <w:pStyle w:val="null3"/>
                  </w:pPr>
                  <w:r>
                    <w:rPr>
                      <w:rFonts w:ascii="仿宋_GB2312" w:hAnsi="仿宋_GB2312" w:cs="仿宋_GB2312" w:eastAsia="仿宋_GB2312"/>
                    </w:rPr>
                    <w:t>丘陵地</w:t>
                  </w:r>
                </w:p>
              </w:tc>
              <w:tc>
                <w:tcPr>
                  <w:tcW w:type="dxa" w:w="638"/>
                </w:tcPr>
                <w:p>
                  <w:pPr>
                    <w:pStyle w:val="null3"/>
                  </w:pPr>
                  <w:r>
                    <w:rPr>
                      <w:rFonts w:ascii="仿宋_GB2312" w:hAnsi="仿宋_GB2312" w:cs="仿宋_GB2312" w:eastAsia="仿宋_GB2312"/>
                    </w:rPr>
                    <w:t>5.0</w:t>
                  </w:r>
                </w:p>
              </w:tc>
              <w:tc>
                <w:tcPr>
                  <w:tcW w:type="dxa" w:w="638"/>
                </w:tcPr>
                <w:p>
                  <w:pPr>
                    <w:pStyle w:val="null3"/>
                  </w:pPr>
                  <w:r>
                    <w:rPr>
                      <w:rFonts w:ascii="仿宋_GB2312" w:hAnsi="仿宋_GB2312" w:cs="仿宋_GB2312" w:eastAsia="仿宋_GB2312"/>
                    </w:rPr>
                    <w:t>1.2</w:t>
                  </w:r>
                </w:p>
              </w:tc>
              <w:tc>
                <w:tcPr>
                  <w:tcW w:type="dxa" w:w="638"/>
                </w:tcPr>
                <w:p>
                  <w:pPr>
                    <w:pStyle w:val="null3"/>
                  </w:pPr>
                  <w:r>
                    <w:rPr>
                      <w:rFonts w:ascii="仿宋_GB2312" w:hAnsi="仿宋_GB2312" w:cs="仿宋_GB2312" w:eastAsia="仿宋_GB2312"/>
                    </w:rPr>
                    <w:t>1.5</w:t>
                  </w:r>
                </w:p>
              </w:tc>
            </w:tr>
            <w:tr>
              <w:tc>
                <w:tcPr>
                  <w:tcW w:type="dxa" w:w="638"/>
                </w:tcPr>
                <w:p>
                  <w:pPr>
                    <w:pStyle w:val="null3"/>
                  </w:pPr>
                  <w:r>
                    <w:rPr>
                      <w:rFonts w:ascii="仿宋_GB2312" w:hAnsi="仿宋_GB2312" w:cs="仿宋_GB2312" w:eastAsia="仿宋_GB2312"/>
                    </w:rPr>
                    <w:t>山地</w:t>
                  </w:r>
                </w:p>
              </w:tc>
              <w:tc>
                <w:tcPr>
                  <w:tcW w:type="dxa" w:w="638"/>
                </w:tcPr>
                <w:p>
                  <w:pPr>
                    <w:pStyle w:val="null3"/>
                  </w:pPr>
                  <w:r>
                    <w:rPr>
                      <w:rFonts w:ascii="仿宋_GB2312" w:hAnsi="仿宋_GB2312" w:cs="仿宋_GB2312" w:eastAsia="仿宋_GB2312"/>
                    </w:rPr>
                    <w:t>7.5</w:t>
                  </w:r>
                </w:p>
              </w:tc>
              <w:tc>
                <w:tcPr>
                  <w:tcW w:type="dxa" w:w="638"/>
                </w:tcPr>
                <w:p>
                  <w:pPr>
                    <w:pStyle w:val="null3"/>
                  </w:pPr>
                  <w:r>
                    <w:rPr>
                      <w:rFonts w:ascii="仿宋_GB2312" w:hAnsi="仿宋_GB2312" w:cs="仿宋_GB2312" w:eastAsia="仿宋_GB2312"/>
                    </w:rPr>
                    <w:t>2.5</w:t>
                  </w:r>
                </w:p>
              </w:tc>
              <w:tc>
                <w:tcPr>
                  <w:tcW w:type="dxa" w:w="638"/>
                </w:tcPr>
                <w:p>
                  <w:pPr>
                    <w:pStyle w:val="null3"/>
                  </w:pPr>
                  <w:r>
                    <w:rPr>
                      <w:rFonts w:ascii="仿宋_GB2312" w:hAnsi="仿宋_GB2312" w:cs="仿宋_GB2312" w:eastAsia="仿宋_GB2312"/>
                    </w:rPr>
                    <w:t>3.0</w:t>
                  </w:r>
                </w:p>
                <w:p>
                  <w:pPr>
                    <w:pStyle w:val="null3"/>
                  </w:pPr>
                  <w:r>
                    <w:rPr>
                      <w:rFonts w:ascii="仿宋_GB2312" w:hAnsi="仿宋_GB2312" w:cs="仿宋_GB2312" w:eastAsia="仿宋_GB2312"/>
                    </w:rPr>
                    <w:t>（地形变换点）</w:t>
                  </w:r>
                </w:p>
              </w:tc>
            </w:tr>
            <w:tr>
              <w:tc>
                <w:tcPr>
                  <w:tcW w:type="dxa" w:w="638"/>
                </w:tcPr>
                <w:p>
                  <w:pPr>
                    <w:pStyle w:val="null3"/>
                  </w:pPr>
                  <w:r>
                    <w:rPr>
                      <w:rFonts w:ascii="仿宋_GB2312" w:hAnsi="仿宋_GB2312" w:cs="仿宋_GB2312" w:eastAsia="仿宋_GB2312"/>
                    </w:rPr>
                    <w:t>高山地</w:t>
                  </w:r>
                </w:p>
              </w:tc>
              <w:tc>
                <w:tcPr>
                  <w:tcW w:type="dxa" w:w="638"/>
                </w:tcPr>
                <w:p>
                  <w:pPr>
                    <w:pStyle w:val="null3"/>
                  </w:pPr>
                  <w:r>
                    <w:rPr>
                      <w:rFonts w:ascii="仿宋_GB2312" w:hAnsi="仿宋_GB2312" w:cs="仿宋_GB2312" w:eastAsia="仿宋_GB2312"/>
                    </w:rPr>
                    <w:t>7.5</w:t>
                  </w:r>
                </w:p>
              </w:tc>
              <w:tc>
                <w:tcPr>
                  <w:tcW w:type="dxa" w:w="638"/>
                </w:tcPr>
                <w:p>
                  <w:pPr>
                    <w:pStyle w:val="null3"/>
                  </w:pPr>
                  <w:r>
                    <w:rPr>
                      <w:rFonts w:ascii="仿宋_GB2312" w:hAnsi="仿宋_GB2312" w:cs="仿宋_GB2312" w:eastAsia="仿宋_GB2312"/>
                    </w:rPr>
                    <w:t>4.0</w:t>
                  </w:r>
                </w:p>
              </w:tc>
              <w:tc>
                <w:tcPr>
                  <w:tcW w:type="dxa" w:w="638"/>
                </w:tcPr>
                <w:p>
                  <w:pPr>
                    <w:pStyle w:val="null3"/>
                  </w:pPr>
                  <w:r>
                    <w:rPr>
                      <w:rFonts w:ascii="仿宋_GB2312" w:hAnsi="仿宋_GB2312" w:cs="仿宋_GB2312" w:eastAsia="仿宋_GB2312"/>
                    </w:rPr>
                    <w:t>6.0</w:t>
                  </w:r>
                </w:p>
                <w:p>
                  <w:pPr>
                    <w:pStyle w:val="null3"/>
                  </w:pPr>
                  <w:r>
                    <w:rPr>
                      <w:rFonts w:ascii="仿宋_GB2312" w:hAnsi="仿宋_GB2312" w:cs="仿宋_GB2312" w:eastAsia="仿宋_GB2312"/>
                    </w:rPr>
                    <w:t>（地形变换点）</w:t>
                  </w:r>
                </w:p>
              </w:tc>
            </w:tr>
            <w:tr>
              <w:tc>
                <w:tcPr>
                  <w:tcW w:type="dxa" w:w="2552"/>
                  <w:gridSpan w:val="4"/>
                </w:tcPr>
                <w:p>
                  <w:pPr>
                    <w:pStyle w:val="null3"/>
                  </w:pPr>
                  <w:r>
                    <w:rPr>
                      <w:rFonts w:ascii="仿宋_GB2312" w:hAnsi="仿宋_GB2312" w:cs="仿宋_GB2312" w:eastAsia="仿宋_GB2312"/>
                    </w:rPr>
                    <w:t>注：</w:t>
                  </w:r>
                </w:p>
                <w:p>
                  <w:pPr>
                    <w:pStyle w:val="null3"/>
                  </w:pPr>
                  <w:r>
                    <w:rPr>
                      <w:rFonts w:ascii="仿宋_GB2312" w:hAnsi="仿宋_GB2312" w:cs="仿宋_GB2312" w:eastAsia="仿宋_GB2312"/>
                    </w:rPr>
                    <w:t>特殊困难地区（大面积的森林、沙漠、戈壁、沼泽等）地物点的平面位置中误差按上表相应地形类别放宽0.5倍，高程中误差相应放宽0.5倍。以两倍中误差为最大误差。</w:t>
                  </w:r>
                </w:p>
              </w:tc>
            </w:tr>
          </w:tbl>
          <w:p>
            <w:pPr>
              <w:pStyle w:val="null3"/>
            </w:pPr>
            <w:r>
              <w:rPr>
                <w:rFonts w:ascii="仿宋_GB2312" w:hAnsi="仿宋_GB2312" w:cs="仿宋_GB2312" w:eastAsia="仿宋_GB2312"/>
              </w:rPr>
              <w:t>5）数据现势性</w:t>
            </w:r>
          </w:p>
          <w:p>
            <w:pPr>
              <w:pStyle w:val="null3"/>
            </w:pPr>
            <w:r>
              <w:rPr>
                <w:rFonts w:ascii="仿宋_GB2312" w:hAnsi="仿宋_GB2312" w:cs="仿宋_GB2312" w:eastAsia="仿宋_GB2312"/>
              </w:rPr>
              <w:t>更新要素的现势性应达到2026年。</w:t>
            </w:r>
          </w:p>
          <w:p>
            <w:pPr>
              <w:pStyle w:val="null3"/>
            </w:pPr>
            <w:r>
              <w:rPr>
                <w:rFonts w:ascii="仿宋_GB2312" w:hAnsi="仿宋_GB2312" w:cs="仿宋_GB2312" w:eastAsia="仿宋_GB2312"/>
              </w:rPr>
              <w:t>6）要素的选取与更新</w:t>
            </w:r>
          </w:p>
          <w:p>
            <w:pPr>
              <w:pStyle w:val="null3"/>
            </w:pPr>
            <w:r>
              <w:rPr>
                <w:rFonts w:ascii="仿宋_GB2312" w:hAnsi="仿宋_GB2312" w:cs="仿宋_GB2312" w:eastAsia="仿宋_GB2312"/>
              </w:rPr>
              <w:t>要素的选取与更新原则按《DLG数据规定》执行。</w:t>
            </w:r>
          </w:p>
          <w:p>
            <w:pPr>
              <w:pStyle w:val="null3"/>
            </w:pPr>
            <w:r>
              <w:rPr>
                <w:rFonts w:ascii="仿宋_GB2312" w:hAnsi="仿宋_GB2312" w:cs="仿宋_GB2312" w:eastAsia="仿宋_GB2312"/>
              </w:rPr>
              <w:t>（3）重点要素专题性监测成果</w:t>
            </w:r>
          </w:p>
          <w:p>
            <w:pPr>
              <w:pStyle w:val="null3"/>
            </w:pPr>
            <w:r>
              <w:rPr>
                <w:rFonts w:ascii="仿宋_GB2312" w:hAnsi="仿宋_GB2312" w:cs="仿宋_GB2312" w:eastAsia="仿宋_GB2312"/>
              </w:rPr>
              <w:t>1）重点要素专题性监测数据成果</w:t>
            </w:r>
          </w:p>
          <w:p>
            <w:pPr>
              <w:pStyle w:val="null3"/>
            </w:pPr>
            <w:r>
              <w:rPr>
                <w:rFonts w:ascii="仿宋_GB2312" w:hAnsi="仿宋_GB2312" w:cs="仿宋_GB2312" w:eastAsia="仿宋_GB2312"/>
              </w:rPr>
              <w:t>重点要素专题性监测数据成果中每一项监测内容为一个数据集，共4个数据集，数据集内容和命名见表3-3。</w:t>
            </w:r>
          </w:p>
          <w:p>
            <w:pPr>
              <w:pStyle w:val="null3"/>
            </w:pPr>
            <w:r>
              <w:rPr>
                <w:rFonts w:ascii="仿宋_GB2312" w:hAnsi="仿宋_GB2312" w:cs="仿宋_GB2312" w:eastAsia="仿宋_GB2312"/>
              </w:rPr>
              <w:t>表3-3 陕西省重点要素专题性监测成果数据集内容和命名</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监测内容</w:t>
                  </w:r>
                </w:p>
              </w:tc>
              <w:tc>
                <w:tcPr>
                  <w:tcW w:type="dxa" w:w="851"/>
                </w:tcPr>
                <w:p>
                  <w:pPr>
                    <w:pStyle w:val="null3"/>
                  </w:pPr>
                  <w:r>
                    <w:rPr>
                      <w:rFonts w:ascii="仿宋_GB2312" w:hAnsi="仿宋_GB2312" w:cs="仿宋_GB2312" w:eastAsia="仿宋_GB2312"/>
                    </w:rPr>
                    <w:t>数据集名称</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交通</w:t>
                  </w:r>
                </w:p>
              </w:tc>
              <w:tc>
                <w:tcPr>
                  <w:tcW w:type="dxa" w:w="851"/>
                </w:tcPr>
                <w:p>
                  <w:pPr>
                    <w:pStyle w:val="null3"/>
                  </w:pPr>
                  <w:r>
                    <w:rPr>
                      <w:rFonts w:ascii="仿宋_GB2312" w:hAnsi="仿宋_GB2312" w:cs="仿宋_GB2312" w:eastAsia="仿宋_GB2312"/>
                    </w:rPr>
                    <w:t>TraDataset</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水系</w:t>
                  </w:r>
                </w:p>
              </w:tc>
              <w:tc>
                <w:tcPr>
                  <w:tcW w:type="dxa" w:w="851"/>
                </w:tcPr>
                <w:p>
                  <w:pPr>
                    <w:pStyle w:val="null3"/>
                  </w:pPr>
                  <w:r>
                    <w:rPr>
                      <w:rFonts w:ascii="仿宋_GB2312" w:hAnsi="仿宋_GB2312" w:cs="仿宋_GB2312" w:eastAsia="仿宋_GB2312"/>
                    </w:rPr>
                    <w:t>CHydDataset</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居民地及设施</w:t>
                  </w:r>
                </w:p>
              </w:tc>
              <w:tc>
                <w:tcPr>
                  <w:tcW w:type="dxa" w:w="851"/>
                </w:tcPr>
                <w:p>
                  <w:pPr>
                    <w:pStyle w:val="null3"/>
                  </w:pPr>
                  <w:r>
                    <w:rPr>
                      <w:rFonts w:ascii="仿宋_GB2312" w:hAnsi="仿宋_GB2312" w:cs="仿宋_GB2312" w:eastAsia="仿宋_GB2312"/>
                    </w:rPr>
                    <w:t>ResDataset</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辅助分析数据</w:t>
                  </w:r>
                </w:p>
              </w:tc>
              <w:tc>
                <w:tcPr>
                  <w:tcW w:type="dxa" w:w="851"/>
                </w:tcPr>
                <w:p>
                  <w:pPr>
                    <w:pStyle w:val="null3"/>
                  </w:pPr>
                  <w:r>
                    <w:rPr>
                      <w:rFonts w:ascii="仿宋_GB2312" w:hAnsi="仿宋_GB2312" w:cs="仿宋_GB2312" w:eastAsia="仿宋_GB2312"/>
                    </w:rPr>
                    <w:t>FztDataset</w:t>
                  </w:r>
                </w:p>
              </w:tc>
            </w:tr>
          </w:tbl>
          <w:p>
            <w:pPr>
              <w:pStyle w:val="null3"/>
            </w:pPr>
            <w:r>
              <w:rPr>
                <w:rFonts w:ascii="仿宋_GB2312" w:hAnsi="仿宋_GB2312" w:cs="仿宋_GB2312" w:eastAsia="仿宋_GB2312"/>
              </w:rPr>
              <w:t>交通数据集包括LRRL、LRDL、LFCA、LFCL、LFCP层；水系数据集包括HYDA和HYDL层；居民地及设施数据集包括RESA、RESL、RESP、RFCA、RFCL和RFCP层；辅助分析数据集包括分析过程参与辅助分析的数据，主要为经济发展数据（公开发布的GDP相关数据）、交通数据和居民地数据。所有要素属性结构均基于1:10000标准数据图层属性结构表规范设计。</w:t>
            </w:r>
          </w:p>
          <w:p>
            <w:pPr>
              <w:pStyle w:val="null3"/>
            </w:pPr>
            <w:r>
              <w:rPr>
                <w:rFonts w:ascii="仿宋_GB2312" w:hAnsi="仿宋_GB2312" w:cs="仿宋_GB2312" w:eastAsia="仿宋_GB2312"/>
              </w:rPr>
              <w:t>2）重点要素专题性监测报告成果</w:t>
            </w:r>
          </w:p>
          <w:p>
            <w:pPr>
              <w:pStyle w:val="null3"/>
            </w:pPr>
            <w:r>
              <w:rPr>
                <w:rFonts w:ascii="仿宋_GB2312" w:hAnsi="仿宋_GB2312" w:cs="仿宋_GB2312" w:eastAsia="仿宋_GB2312"/>
              </w:rPr>
              <w:t>本次重点要素专题性监测报告共4份，分别为陕西省交通监测分析报告、陕西省水系监测分析报告、陕西省居民地及设施监测分析报告，以及陕西省交通、水系、居民地及设施监测分析报告。</w:t>
            </w:r>
          </w:p>
          <w:p>
            <w:pPr>
              <w:pStyle w:val="null3"/>
            </w:pPr>
            <w:r>
              <w:rPr>
                <w:rFonts w:ascii="仿宋_GB2312" w:hAnsi="仿宋_GB2312" w:cs="仿宋_GB2312" w:eastAsia="仿宋_GB2312"/>
              </w:rPr>
              <w:t>4、成果要求</w:t>
            </w:r>
          </w:p>
          <w:p>
            <w:pPr>
              <w:pStyle w:val="null3"/>
            </w:pPr>
            <w:r>
              <w:rPr>
                <w:rFonts w:ascii="仿宋_GB2312" w:hAnsi="仿宋_GB2312" w:cs="仿宋_GB2312" w:eastAsia="仿宋_GB2312"/>
              </w:rPr>
              <w:t>（1）分幅数字正射影像</w:t>
            </w:r>
          </w:p>
          <w:p>
            <w:pPr>
              <w:pStyle w:val="null3"/>
            </w:pPr>
            <w:r>
              <w:rPr>
                <w:rFonts w:ascii="仿宋_GB2312" w:hAnsi="仿宋_GB2312" w:cs="仿宋_GB2312" w:eastAsia="仿宋_GB2312"/>
              </w:rPr>
              <w:t>1)分幅数字正射影像数据，采用*.tiff、*.tfw格式；</w:t>
            </w:r>
          </w:p>
          <w:p>
            <w:pPr>
              <w:pStyle w:val="null3"/>
            </w:pPr>
            <w:r>
              <w:rPr>
                <w:rFonts w:ascii="仿宋_GB2312" w:hAnsi="仿宋_GB2312" w:cs="仿宋_GB2312" w:eastAsia="仿宋_GB2312"/>
              </w:rPr>
              <w:t>2）元数据，采用*.mdb格式。</w:t>
            </w:r>
          </w:p>
          <w:p>
            <w:pPr>
              <w:pStyle w:val="null3"/>
            </w:pPr>
            <w:r>
              <w:rPr>
                <w:rFonts w:ascii="仿宋_GB2312" w:hAnsi="仿宋_GB2312" w:cs="仿宋_GB2312" w:eastAsia="仿宋_GB2312"/>
              </w:rPr>
              <w:t>（2）矢量地形要素数据</w:t>
            </w:r>
          </w:p>
          <w:p>
            <w:pPr>
              <w:pStyle w:val="null3"/>
            </w:pPr>
            <w:r>
              <w:rPr>
                <w:rFonts w:ascii="仿宋_GB2312" w:hAnsi="仿宋_GB2312" w:cs="仿宋_GB2312" w:eastAsia="仿宋_GB2312"/>
              </w:rPr>
              <w:t>1)矢量地形要素数据更新成果，采用*.gdb格式；</w:t>
            </w:r>
          </w:p>
          <w:p>
            <w:pPr>
              <w:pStyle w:val="null3"/>
            </w:pPr>
            <w:r>
              <w:rPr>
                <w:rFonts w:ascii="仿宋_GB2312" w:hAnsi="仿宋_GB2312" w:cs="仿宋_GB2312" w:eastAsia="仿宋_GB2312"/>
              </w:rPr>
              <w:t>2）元数据，采用*.gdb格式。</w:t>
            </w:r>
          </w:p>
          <w:p>
            <w:pPr>
              <w:pStyle w:val="null3"/>
            </w:pPr>
            <w:r>
              <w:rPr>
                <w:rFonts w:ascii="仿宋_GB2312" w:hAnsi="仿宋_GB2312" w:cs="仿宋_GB2312" w:eastAsia="仿宋_GB2312"/>
              </w:rPr>
              <w:t>（3）重点要素专题性监测成果</w:t>
            </w:r>
          </w:p>
          <w:p>
            <w:pPr>
              <w:pStyle w:val="null3"/>
            </w:pPr>
            <w:r>
              <w:rPr>
                <w:rFonts w:ascii="仿宋_GB2312" w:hAnsi="仿宋_GB2312" w:cs="仿宋_GB2312" w:eastAsia="仿宋_GB2312"/>
              </w:rPr>
              <w:t>重点要素专题性监测数据成果包括①陕西省交通监测数据集、②陕西省水系监测数据集、③陕西省居民地及设施监测数据集、④陕西省交通、水系、居民地及设施监测数据集，均采用*.gdb格式。</w:t>
            </w:r>
          </w:p>
          <w:p>
            <w:pPr>
              <w:pStyle w:val="null3"/>
            </w:pPr>
            <w:r>
              <w:rPr>
                <w:rFonts w:ascii="仿宋_GB2312" w:hAnsi="仿宋_GB2312" w:cs="仿宋_GB2312" w:eastAsia="仿宋_GB2312"/>
              </w:rPr>
              <w:t>（4）文档资料</w:t>
            </w:r>
          </w:p>
          <w:p>
            <w:pPr>
              <w:pStyle w:val="null3"/>
            </w:pPr>
            <w:r>
              <w:rPr>
                <w:rFonts w:ascii="仿宋_GB2312" w:hAnsi="仿宋_GB2312" w:cs="仿宋_GB2312" w:eastAsia="仿宋_GB2312"/>
              </w:rPr>
              <w:t>文档资料采用*.doc格式，电子版一套，主要包括：项目实施方案、项目专业技术设计书、监测分析报告、项目验收报告、项目技术总结、项目工作总结、其他技术文档资料。</w:t>
            </w:r>
          </w:p>
          <w:p>
            <w:pPr>
              <w:pStyle w:val="null3"/>
            </w:pPr>
            <w:r>
              <w:rPr>
                <w:rFonts w:ascii="仿宋_GB2312" w:hAnsi="仿宋_GB2312" w:cs="仿宋_GB2312" w:eastAsia="仿宋_GB2312"/>
              </w:rPr>
              <w:t>5、质量要求</w:t>
            </w:r>
          </w:p>
          <w:p>
            <w:pPr>
              <w:pStyle w:val="null3"/>
            </w:pPr>
            <w:r>
              <w:rPr>
                <w:rFonts w:ascii="仿宋_GB2312" w:hAnsi="仿宋_GB2312" w:cs="仿宋_GB2312" w:eastAsia="仿宋_GB2312"/>
              </w:rPr>
              <w:t>项目严格执行“两级检查、一级验收”制度。同时为加强项目管理，项目管理单位不定期对项目开展过程监督检查，及时发现项目实施过程中存在的问题，并提出相应的整改措施，确保项目按时、保质、保量完成。</w:t>
            </w:r>
          </w:p>
          <w:p>
            <w:pPr>
              <w:pStyle w:val="null3"/>
            </w:pPr>
            <w:r>
              <w:rPr>
                <w:rFonts w:ascii="仿宋_GB2312" w:hAnsi="仿宋_GB2312" w:cs="仿宋_GB2312" w:eastAsia="仿宋_GB2312"/>
              </w:rPr>
              <w:t>“两级检查”即对成果质量实行单位作业部门的过程检查、质量管理部门的最终检查，两级检查必须独立进行，不得相互代替，检查人员要认真做好两级检查记录，并将检查记录随成果一起提交验收。</w:t>
            </w:r>
          </w:p>
          <w:p>
            <w:pPr>
              <w:pStyle w:val="null3"/>
            </w:pPr>
            <w:r>
              <w:rPr>
                <w:rFonts w:ascii="仿宋_GB2312" w:hAnsi="仿宋_GB2312" w:cs="仿宋_GB2312" w:eastAsia="仿宋_GB2312"/>
              </w:rPr>
              <w:t>“一级验收”由中标人委托具备相应资质的第三方质检单位对项目数据成果进行最终质检。质检可根据生产实际开展。</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项目配备服务人员规模匹配项目实际工作需求，人员配置均衡合理、组织架构设置科学完善，团队配齐各相关专业技术人员，专业技术人员总数量不低于150名。</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中标人应在合同签订后，于2026年11月30日前分批完成全部生产任务并提交成果，具体分批要求以采购人最终确定为准；2026年12月15日前完成履约验收工作。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成果质量验收由中标人委托具备资质的第三方质检单位实施，验收依据现行国家、行业、地方法规及采购人相关要求，第三方出具合格质检报告；验收相关费用纳入中标总价，由中标人自行承担，收费按国家标准核算。</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由甲方按进度统一支付给联合体牵头单位，联合体牵头单位根据合同约定向联合体成员单位支付。合同签订后，采购人在收到中标人提供的有效发票之日起，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由甲方按进度统一支付给联合体牵头单位，联合体牵头单位根据合同约定向联合体成员单位支付。项目工作量完成60%后，采购人在收到中标人提供的有效发票之日起，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由甲方按进度统一支付给联合体牵头单位，联合体牵头单位根据合同约定向联合体成员单位支付。项目通过验收并经采购方确认后，采购人在收到中标人提供的有效发票之日起，达到付款条件起10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投标保证金注意事项：（1）投标保证金须在投标文件递交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并将保函原件单独递交至代理机构财务；投标人应在投标文件中附保函复印件。保函必须由具有开具投标保函资格的单位开具；若投标人违约，开具保函单位承担连带责任。（2）投标保证金的提交金额、时间不满足招标文件要求的，投标无效。（3）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投标人自身原因导致无法及时退还的除外。 3.4.2投标人需要在线提交所有通过电子化交易平台实施的政府采购项目的投标文件，同时，线下提交纸质投标文件正本壹份并密封，纸质文件双面打印，接受邮寄。若电子投标文件与纸质投标文件不一致的，以电子投标文件为准。线下递交文件时间：详见本项目采购公告投标文件递交截止时间；线下递交文件地点：西安市莲湖区环城西路南段元晟合中心6层。 3.4.3本项目联合体主体及联合体成员总数不得超过4家，否则按无效文件处理。 3.4.4本项目属于采用联合体形式预留的方式，落实政府采购相关政策。非企业主体或大型企业可以与中小微企业组成联合体，且联合体中中小微企业承担的部分不得低于预算金额的40%，联合体协议中须注明中小企业承担的份额。非企业主体或大型企业未预留预算金额的40%给中小微企业的，按无效文件处理。 3.4.5联合体投标注意事项 （1）联合体投标，投标保证金需通过牵头单位账户缴纳。 （2）联合体各方成员应当共同盖章签署《联合体协议》（明确约定各方拟承担的工作和职责），其他投标文件中需要签字盖章的内容由联合体的牵头单位执行。 （3）联合体各方不得再单独或与其他投标人组成新的联合体参加同一项目的采购活动。 （4）联合体成员存在不良信用记录的，视同联合体存在不良信用记录。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注：投标人需在项目电子化交易系统中按要求上传相应证明文件并进行电子签章。上述资格要求若为联合体投标，联合体各方均须提供。</w:t>
            </w:r>
          </w:p>
        </w:tc>
        <w:tc>
          <w:tcPr>
            <w:tcW w:type="dxa" w:w="1661"/>
          </w:tcPr>
          <w:p>
            <w:pPr>
              <w:pStyle w:val="null3"/>
            </w:pPr>
            <w:r>
              <w:rPr>
                <w:rFonts w:ascii="仿宋_GB2312" w:hAnsi="仿宋_GB2312" w:cs="仿宋_GB2312" w:eastAsia="仿宋_GB2312"/>
              </w:rPr>
              <w:t>投标函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或2025年度审计报告（审计报告须具有注册会计师行业统一监管平台https://acc.mof.gov.cn赋予的验证码）（成立时间至提交投标文件截止时间不足一年的可提供成立后任意时段的资产负债表），或提交自2026年1月1日以来银行出具的资信证明（以上两种形式的资料提供任何一种即可）；其他组织和自然人提供银行出具的资信证明或财务报表。投标人需在项目电子化交易系统中按要求上传相应证明文件并进行电子签章。 注：投标人需在项目电子化交易系统中按要求上传相应证明文件并进行电子签章。上述资格要求若为联合体投标，联合体各方均须提供。</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注：本项资格要求若为联合体投标，联合体各方均须提供。</w:t>
            </w:r>
          </w:p>
        </w:tc>
        <w:tc>
          <w:tcPr>
            <w:tcW w:type="dxa" w:w="1661"/>
          </w:tcPr>
          <w:p>
            <w:pPr>
              <w:pStyle w:val="null3"/>
            </w:pPr>
            <w:r>
              <w:rPr>
                <w:rFonts w:ascii="仿宋_GB2312" w:hAnsi="仿宋_GB2312" w:cs="仿宋_GB2312" w:eastAsia="仿宋_GB2312"/>
              </w:rPr>
              <w:t>投标函 3资格证明文件.docx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测绘资质</w:t>
            </w:r>
          </w:p>
        </w:tc>
        <w:tc>
          <w:tcPr>
            <w:tcW w:type="dxa" w:w="3322"/>
          </w:tcPr>
          <w:p>
            <w:pPr>
              <w:pStyle w:val="null3"/>
            </w:pPr>
            <w:r>
              <w:rPr>
                <w:rFonts w:ascii="仿宋_GB2312" w:hAnsi="仿宋_GB2312" w:cs="仿宋_GB2312" w:eastAsia="仿宋_GB2312"/>
              </w:rPr>
              <w:t>投标人具有有效的甲级测绘资质（专业类别须同时包含：摄影测量与遥感、地理信息系统工程、地图编制）。本项资格要求若为联合体投标，联合体各方均须提供。</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本项目接受联合体投标，不允许分包</w:t>
            </w:r>
          </w:p>
        </w:tc>
        <w:tc>
          <w:tcPr>
            <w:tcW w:type="dxa" w:w="3322"/>
          </w:tcPr>
          <w:p>
            <w:pPr>
              <w:pStyle w:val="null3"/>
            </w:pPr>
            <w:r>
              <w:rPr>
                <w:rFonts w:ascii="仿宋_GB2312" w:hAnsi="仿宋_GB2312" w:cs="仿宋_GB2312" w:eastAsia="仿宋_GB2312"/>
              </w:rPr>
              <w:t>本项目接受联合体投标，不允许分包。投标人若为联合体投标，应提供《不分包投标声明》及联合体协议，联合体中中小企业承担的部分不低于预算金额的40%。投标人若为非联合体投标，应提供《不分包投标声明》。</w:t>
            </w:r>
          </w:p>
        </w:tc>
        <w:tc>
          <w:tcPr>
            <w:tcW w:type="dxa" w:w="1661"/>
          </w:tcPr>
          <w:p>
            <w:pPr>
              <w:pStyle w:val="null3"/>
            </w:pPr>
            <w:r>
              <w:rPr>
                <w:rFonts w:ascii="仿宋_GB2312" w:hAnsi="仿宋_GB2312" w:cs="仿宋_GB2312" w:eastAsia="仿宋_GB2312"/>
              </w:rPr>
              <w:t>3资格证明文件.docx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本项目属于预留采购份额面向中小企业采购，预留比例为40%。投标人以联合体形式参加本项目的，联合体中中小企业承担的部分不低于预算金额的40%。（未组成联合体的，投标人应当为中小企业） 监狱企业、残疾人福利性单位视同为小微企业。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有下列情形之一的，应在符合性审查时按照无效投标处理：（1）投标文件未按照招标文件规定要求签署、盖章的；（2）不满足本招标文件中“服务期限、服务地点、支付约定”实质性条款要求的； （3）投标文件有效期不足的或无有效期的； （4）报价超过招标文件中规定的预算金额或最高限价的；（5）法律、法规和招标文件规定的其他无效情形。</w:t>
            </w:r>
          </w:p>
        </w:tc>
        <w:tc>
          <w:tcPr>
            <w:tcW w:type="dxa" w:w="1661"/>
          </w:tcPr>
          <w:p>
            <w:pPr>
              <w:pStyle w:val="null3"/>
            </w:pPr>
            <w:r>
              <w:rPr>
                <w:rFonts w:ascii="仿宋_GB2312" w:hAnsi="仿宋_GB2312" w:cs="仿宋_GB2312" w:eastAsia="仿宋_GB2312"/>
              </w:rPr>
              <w:t>开标一览表 投标函 4承诺书.docx 标的清单 2商务部分偏离表.docx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投标人根据本项目采购需求提供“对项目的理解和重点、难点分析”，至少包括:①工作目标;②工作重点;③工作难点。包含但不限于上述全部内容，且内容详细，清晰有利于项目的得满分。(如有缺陷或不足、瑕疵的，在此分数基础上进行扣分)，以上3项中: （1）每有1项缺失或完全无法满足项目需求的扣2分; （2）每有1项内容存在缺陷或不足扣1分; （3）每有1项总体内容完备但存在部分瑕疵之处扣0.5分。 备注：1.内容存在缺陷或不足是指内容缺少关键点或有与项目无关的或与项目不匹配之处或项目内容、实施时间地点、涉及的规范、服务标准要求与本项目有不一致之处的情形；2.内容存在部分瑕疵是指内容存在细节错误之处或对同一问题前后表述矛盾等。下述评分标准中，针对“缺陷或不足”、“瑕疵”的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6项目理解.docx</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投标人根据本项目采购需求提供“技术服务方案”，至少包括:①成果规格和主要技术指标;②技术路线及工艺流程;③数字正射影像产品生产技术方法;④矢量地形要素数据产品生产技术方法;⑤专题性监测报告生产技术方法。包含但不限于上述全部内容，且方案详细，清晰有利于项目的得满分。(如有缺陷或不足、瑕疵的，在此分数基础上进行扣分)，以上5项中: （1）每有1项缺失或完全无法满足项目需求的扣5分; （2）每有1项内容存在缺陷或不足扣4分; （3）每有1项总体内容完备但存在部分瑕疵之处扣2分。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7技术服务方案.docx</w:t>
            </w:r>
          </w:p>
          <w:p>
            <w:pPr>
              <w:pStyle w:val="null3"/>
            </w:pPr>
            <w:r>
              <w:rPr>
                <w:rFonts w:ascii="仿宋_GB2312" w:hAnsi="仿宋_GB2312" w:cs="仿宋_GB2312" w:eastAsia="仿宋_GB2312"/>
              </w:rPr>
              <w:t>5服务响应偏离表.docx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根据本项目采购需求提供“质量保障方案”，至少包括:①成果质量检查内容、方法;②成果质量控制措施。包含但不限于上述全部内容，且方案详细，清晰有利于项目的得满分。(如有缺陷或不足、瑕疵的，在此分数基础上进行扣分)，以上2项中: （1）每有1项缺失或完全无法满足项目需求的扣2.5分; （2）每有1项内容存在缺陷或不足扣2分; （3）每有1项总体内容完备但存在部分瑕疵之处扣1分。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8质量保障方案.docx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投标人根据项目采购需求提供“进度保障方案”，至少包括:①项目进度计划;②进度保障措施。包含但不限于上述全部内容，且方案详细，清晰有利于项目的得满分。(如有缺陷或不足、瑕疵的，在此分数基础上进行扣分)，以上2项中: （1）每有1项缺失或完全无法满足项目需求的扣2.5分; （2）每有1项内容存在缺陷或不足扣2分; （3）每有1项总体内容完备但存在部分瑕疵之处扣1分。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9进度保障方案.docx</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投标人根据项目采购需求提供“安全保密方案”，至少包括:①安全保密管理制度:②安全保密保障措施。包含但不限于上述全部内容，且方案详细，清晰有利于项目的得满分。(如有缺陷或不足、瑕疵的，在此分数基础上进行扣分)，以上2项中: （1）每有1项缺失或完全无法满足项目需求的扣2.5分; （2）每有1项内容存在缺陷或不足扣2分; （3）每有1项总体内容完备但存在部分瑕疵之处扣1分。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10安全保密方案.docx</w:t>
            </w:r>
          </w:p>
        </w:tc>
      </w:tr>
      <w:tr>
        <w:tc>
          <w:tcPr>
            <w:tcW w:type="dxa" w:w="831"/>
            <w:vMerge/>
          </w:tcPr>
          <w:p/>
        </w:tc>
        <w:tc>
          <w:tcPr>
            <w:tcW w:type="dxa" w:w="1661"/>
          </w:tcPr>
          <w:p>
            <w:pPr>
              <w:pStyle w:val="null3"/>
            </w:pPr>
            <w:r>
              <w:rPr>
                <w:rFonts w:ascii="仿宋_GB2312" w:hAnsi="仿宋_GB2312" w:cs="仿宋_GB2312" w:eastAsia="仿宋_GB2312"/>
              </w:rPr>
              <w:t>设备保障</w:t>
            </w:r>
          </w:p>
        </w:tc>
        <w:tc>
          <w:tcPr>
            <w:tcW w:type="dxa" w:w="2492"/>
          </w:tcPr>
          <w:p>
            <w:pPr>
              <w:pStyle w:val="null3"/>
            </w:pPr>
            <w:r>
              <w:rPr>
                <w:rFonts w:ascii="仿宋_GB2312" w:hAnsi="仿宋_GB2312" w:cs="仿宋_GB2312" w:eastAsia="仿宋_GB2312"/>
              </w:rPr>
              <w:t>根据投标人拟投入本项目的软硬件配备情况进行评审： 1、影像或数据处理软件：具备相关影像或数据处理软件20套得3分，每增加5套加0.5分，最高得5分，不足20套得0分； 2、图形工作站：具备图形工作站150台得3分，每增加25台加1分，最高得5分，不足150台得0分。 需提供购买发票或资产调拨单扫描件。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11设备保障.docx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投标人拟派本项目的技术服务人员情况： 1、项目负责人：投入本项目的项目负责人（1人）具备测绘类教授级高级工程师或正高级工程师职称的，得3分；具备测绘类高级工程师职称的，得2分；具备测绘类工程师职称的，得1分。同时具备注册测绘师资格的，加2分。其他情况不得分，本项最高得5分。 2、技术负责人：投入本项目的技术负责人（1人）具备测绘类教授级高级工程师或正高级工程师职称的，得3分；具备测绘类高级工程师职称的，得2分；具备测绘类工程师职称的，得1分。其他情况不得分，本项最高得3分。 3、质量负责人：投入本项目的质量负责人（1人）具备测绘类教授级高级或正高级工程师职称的，得3分；具备测绘类高级工程师职称的，得2分；具备测绘类工程师职称的，得1分；其他情况不得分，本项最高得3分。 4、技术人员：除项目负责人、技术负责人、质量负责人外，拟投入本项目技术人员具备测绘类工程师（或以上）职称的，150人得5分，每增加25人加1分，最高得7分，不足150人得0分。 5、涉密测绘成果管理人员：拟投入本项目的人员具有地理信息安全保密培训证书，每提供10个得0.5分，最高得2分。不足10个得0分 注：1.投标人提供的项目负责人、技术负责人、质量负责人不得兼任，除第5项外所有项目参与人员不重复计分； 2.上述第1-3项及第5项投标人需提供人员相应的证书（或证明材料）扫描件及投标截止日前六个月内任意1个月投标单位为其缴纳社保证明并加盖公章，否则不得分； 3.上述第4项投标人可提供符合要求的承诺，无承诺不得分。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12服务团队.docx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提供自2023年1月1日以来（以合同签订日期或任务书下达时间为准）投标人承担过同类项目业绩，每提供1个得2分，最高得10分。 备注：须提供完整合同或任务书（至少包含封面页、服务内容关键页、双方签署盖章页），并加盖投标人公章。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根据项目采购需求提供“售后服务方案”，至少包括：①售后服务内容;②服务响应时间。包含但不限于上述全部内容，且方案详细，清晰有利于项目的得满分。(如有缺陷或不足、瑕疵的，在此分数基础上进行扣分)，以上2项中: （1）每有1项缺失或完全无法满足项目需求的扣2分; （2）每有1项内容存在缺陷或不足扣1分; （3）每有1项总体内容完备但存在部分瑕疵之处扣0.5分。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14售后服务方案.docx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价格分值（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详见附件：6项目理解.docx</w:t>
      </w:r>
    </w:p>
    <w:p>
      <w:pPr>
        <w:pStyle w:val="null3"/>
        <w:ind w:firstLine="960"/>
      </w:pPr>
      <w:r>
        <w:rPr>
          <w:rFonts w:ascii="仿宋_GB2312" w:hAnsi="仿宋_GB2312" w:cs="仿宋_GB2312" w:eastAsia="仿宋_GB2312"/>
        </w:rPr>
        <w:t>详见附件：7技术服务方案.docx</w:t>
      </w:r>
    </w:p>
    <w:p>
      <w:pPr>
        <w:pStyle w:val="null3"/>
        <w:ind w:firstLine="960"/>
      </w:pPr>
      <w:r>
        <w:rPr>
          <w:rFonts w:ascii="仿宋_GB2312" w:hAnsi="仿宋_GB2312" w:cs="仿宋_GB2312" w:eastAsia="仿宋_GB2312"/>
        </w:rPr>
        <w:t>详见附件：8质量保障方案.docx</w:t>
      </w:r>
    </w:p>
    <w:p>
      <w:pPr>
        <w:pStyle w:val="null3"/>
        <w:ind w:firstLine="960"/>
      </w:pPr>
      <w:r>
        <w:rPr>
          <w:rFonts w:ascii="仿宋_GB2312" w:hAnsi="仿宋_GB2312" w:cs="仿宋_GB2312" w:eastAsia="仿宋_GB2312"/>
        </w:rPr>
        <w:t>详见附件：9进度保障方案.docx</w:t>
      </w:r>
    </w:p>
    <w:p>
      <w:pPr>
        <w:pStyle w:val="null3"/>
        <w:ind w:firstLine="960"/>
      </w:pPr>
      <w:r>
        <w:rPr>
          <w:rFonts w:ascii="仿宋_GB2312" w:hAnsi="仿宋_GB2312" w:cs="仿宋_GB2312" w:eastAsia="仿宋_GB2312"/>
        </w:rPr>
        <w:t>详见附件：10安全保密方案.docx</w:t>
      </w:r>
    </w:p>
    <w:p>
      <w:pPr>
        <w:pStyle w:val="null3"/>
        <w:ind w:firstLine="960"/>
      </w:pPr>
      <w:r>
        <w:rPr>
          <w:rFonts w:ascii="仿宋_GB2312" w:hAnsi="仿宋_GB2312" w:cs="仿宋_GB2312" w:eastAsia="仿宋_GB2312"/>
        </w:rPr>
        <w:t>详见附件：11设备保障.docx</w:t>
      </w:r>
    </w:p>
    <w:p>
      <w:pPr>
        <w:pStyle w:val="null3"/>
        <w:ind w:firstLine="960"/>
      </w:pPr>
      <w:r>
        <w:rPr>
          <w:rFonts w:ascii="仿宋_GB2312" w:hAnsi="仿宋_GB2312" w:cs="仿宋_GB2312" w:eastAsia="仿宋_GB2312"/>
        </w:rPr>
        <w:t>详见附件：12服务团队.docx</w:t>
      </w:r>
    </w:p>
    <w:p>
      <w:pPr>
        <w:pStyle w:val="null3"/>
        <w:ind w:firstLine="960"/>
      </w:pPr>
      <w:r>
        <w:rPr>
          <w:rFonts w:ascii="仿宋_GB2312" w:hAnsi="仿宋_GB2312" w:cs="仿宋_GB2312" w:eastAsia="仿宋_GB2312"/>
        </w:rPr>
        <w:t>详见附件：13业绩.docx</w:t>
      </w:r>
    </w:p>
    <w:p>
      <w:pPr>
        <w:pStyle w:val="null3"/>
        <w:ind w:firstLine="960"/>
      </w:pPr>
      <w:r>
        <w:rPr>
          <w:rFonts w:ascii="仿宋_GB2312" w:hAnsi="仿宋_GB2312" w:cs="仿宋_GB2312" w:eastAsia="仿宋_GB2312"/>
        </w:rPr>
        <w:t>详见附件：14售后服务方案.docx</w:t>
      </w:r>
    </w:p>
    <w:p>
      <w:pPr>
        <w:pStyle w:val="null3"/>
        <w:ind w:firstLine="960"/>
      </w:pPr>
      <w:r>
        <w:rPr>
          <w:rFonts w:ascii="仿宋_GB2312" w:hAnsi="仿宋_GB2312" w:cs="仿宋_GB2312" w:eastAsia="仿宋_GB2312"/>
        </w:rPr>
        <w:t>详见附件：3资格证明文件.docx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