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版本号：RTZB-2026-201720260602001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2027届春秋季大型招聘会布展服务项目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RTZB-2026-2017</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2027届春秋季大型招聘会布展服务项目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2027届春秋季大型招聘会布展服务项目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针对2027届毕业生春秋季综合类大型就业洽谈会（2场）布展服务进行招标。每场就业洽谈会拟设立约700个展位。每个展位需要帐篷，桌子，椅子及宣传品等组成（具体要求详见采购需求）。为保证现场安全，要求此类物品必须是优质产品，同时符合室外布展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采购包1（2027届春秋季大型招聘会布展服务）：属于专门面向中小企业采购。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注册证照：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p>
      <w:pPr>
        <w:pStyle w:val="null3"/>
      </w:pPr>
      <w:r>
        <w:rPr>
          <w:rFonts w:ascii="仿宋_GB2312" w:hAnsi="仿宋_GB2312" w:cs="仿宋_GB2312" w:eastAsia="仿宋_GB2312"/>
        </w:rPr>
        <w:t>3、财务状况：提供2024或2025年度经第三方会计事务所审计过的财务报告，或磋商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6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6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7、代表人授权：参加磋商的供应商代表需提供提法定代表人证明书和法定代表人授权书。</w:t>
      </w:r>
    </w:p>
    <w:p>
      <w:pPr>
        <w:pStyle w:val="null3"/>
      </w:pPr>
      <w:r>
        <w:rPr>
          <w:rFonts w:ascii="仿宋_GB2312" w:hAnsi="仿宋_GB2312" w:cs="仿宋_GB2312" w:eastAsia="仿宋_GB2312"/>
        </w:rPr>
        <w:t>8、联合体形式：本项目不接受联合体，提供非联合体声明。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说明：供应商凭成交通知书向采购人缴纳成交金额的5%作为履约保证金。 2.缴纳信息： 户名：西北大学 开户银行：交通银行西安学府大街支行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（1）合同签订后不能按合同时限要求提供服务的；（2）项目与合同不符或验收不合格的；（3）不能按合同履约的。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中标价为基础按服务类标准下浮20%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针对2027届毕业生春秋季综合类大型就业洽谈会（2场）布展服务进行招标。每场就业洽谈会拟设立约700个展位。每个展位需要帐篷，桌子，椅子及宣传品等组成（具体要求详见采购需求）。为保证现场安全，要求此类物品必须是优质产品，同时符合室外布展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2027届春秋季大型招聘会布展服务项目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标的名称：2027届春秋季大型招聘会布展服务项目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FF"/>
              </w:rPr>
              <w:t>一、最高限价</w:t>
            </w:r>
          </w:p>
          <w:p>
            <w:pPr>
              <w:pStyle w:val="null3"/>
            </w:pPr>
            <w:r>
              <w:rPr>
                <w:rFonts w:ascii="仿宋_GB2312" w:hAnsi="仿宋_GB2312" w:cs="仿宋_GB2312" w:eastAsia="仿宋_GB2312"/>
                <w:sz w:val="24"/>
                <w:color w:val="0000FF"/>
              </w:rPr>
              <w:t>2027届秋季大型招聘会布展服务：210000.00元</w:t>
            </w:r>
          </w:p>
          <w:p>
            <w:pPr>
              <w:pStyle w:val="null3"/>
            </w:pPr>
            <w:r>
              <w:rPr>
                <w:rFonts w:ascii="仿宋_GB2312" w:hAnsi="仿宋_GB2312" w:cs="仿宋_GB2312" w:eastAsia="仿宋_GB2312"/>
                <w:sz w:val="24"/>
                <w:color w:val="0000FF"/>
              </w:rPr>
              <w:t>2027届春季大型招聘会布展服务：210000.00元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FF"/>
              </w:rPr>
              <w:t>二、项目概况</w:t>
            </w:r>
          </w:p>
          <w:p>
            <w:pPr>
              <w:pStyle w:val="null3"/>
              <w:ind w:firstLine="480"/>
            </w:pPr>
            <w:r>
              <w:rPr>
                <w:rFonts w:ascii="仿宋_GB2312" w:hAnsi="仿宋_GB2312" w:cs="仿宋_GB2312" w:eastAsia="仿宋_GB2312"/>
                <w:sz w:val="24"/>
                <w:color w:val="0000FF"/>
              </w:rPr>
              <w:t>2027届春秋季综合类大型就业洽谈会每场拟设立700个展位，举办地点为西北大学长安校区中心广场，每个展位需要帐篷，桌子，椅子及宣传品等组成（具体要求见单场招聘会布展明细）。为保证现场安全，要求此类物品必须是9成新产品，同时符合室外布展标准。</w:t>
            </w:r>
          </w:p>
          <w:tbl>
            <w:tblPr>
              <w:tblInd w:type="dxa" w:w="120"/>
              <w:tblBorders>
                <w:top w:val="none" w:color="000000" w:sz="4"/>
                <w:left w:val="none" w:color="000000" w:sz="4"/>
                <w:bottom w:val="none" w:color="000000" w:sz="4"/>
                <w:right w:val="none" w:color="000000" w:sz="4"/>
                <w:insideH w:val="none"/>
                <w:insideV w:val="none"/>
              </w:tblBorders>
            </w:tblPr>
            <w:tblGrid>
              <w:gridCol w:w="185"/>
              <w:gridCol w:w="275"/>
              <w:gridCol w:w="598"/>
              <w:gridCol w:w="185"/>
              <w:gridCol w:w="185"/>
              <w:gridCol w:w="1125"/>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单场招聘会布展明细</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项目</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w:t>
                  </w:r>
                  <w:r>
                    <w:rPr>
                      <w:rFonts w:ascii="仿宋_GB2312" w:hAnsi="仿宋_GB2312" w:cs="仿宋_GB2312" w:eastAsia="仿宋_GB2312"/>
                      <w:sz w:val="24"/>
                      <w:b/>
                      <w:color w:val="0000FF"/>
                    </w:rPr>
                    <w:t>称</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规</w:t>
                  </w:r>
                  <w:r>
                    <w:rPr>
                      <w:rFonts w:ascii="仿宋_GB2312" w:hAnsi="仿宋_GB2312" w:cs="仿宋_GB2312" w:eastAsia="仿宋_GB2312"/>
                      <w:sz w:val="24"/>
                      <w:b/>
                      <w:color w:val="0000FF"/>
                    </w:rPr>
                    <w:t>格</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w:t>
                  </w:r>
                  <w:r>
                    <w:rPr>
                      <w:rFonts w:ascii="仿宋_GB2312" w:hAnsi="仿宋_GB2312" w:cs="仿宋_GB2312" w:eastAsia="仿宋_GB2312"/>
                      <w:sz w:val="24"/>
                      <w:b/>
                      <w:color w:val="0000FF"/>
                    </w:rPr>
                    <w:t>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单位</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备注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帐篷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3*3m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350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白色</w:t>
                  </w:r>
                  <w:r>
                    <w:rPr>
                      <w:rFonts w:ascii="仿宋_GB2312" w:hAnsi="仿宋_GB2312" w:cs="仿宋_GB2312" w:eastAsia="仿宋_GB2312"/>
                      <w:sz w:val="24"/>
                      <w:color w:val="0000FF"/>
                    </w:rPr>
                    <w:t>3米x3米 帐篷,成色≥9成新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展桌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1.2*0.6m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带白色桌布桌纬</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展椅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折叠椅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把</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白色折叠椅子</w:t>
                  </w:r>
                  <w:r>
                    <w:rPr>
                      <w:rFonts w:ascii="仿宋_GB2312" w:hAnsi="仿宋_GB2312" w:cs="仿宋_GB2312" w:eastAsia="仿宋_GB2312"/>
                      <w:sz w:val="24"/>
                      <w:color w:val="0000FF"/>
                    </w:rPr>
                    <w:t>,成色≥9成新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门楣</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1.5*0.25m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含设计，排版</w:t>
                  </w:r>
                  <w:r>
                    <w:rPr>
                      <w:rFonts w:ascii="仿宋_GB2312" w:hAnsi="仿宋_GB2312" w:cs="仿宋_GB2312" w:eastAsia="仿宋_GB2312"/>
                      <w:sz w:val="24"/>
                      <w:color w:val="0000FF"/>
                    </w:rPr>
                    <w:t>,校对,kt板制作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海报</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1.2*0.9m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含设计，排版</w:t>
                  </w:r>
                  <w:r>
                    <w:rPr>
                      <w:rFonts w:ascii="仿宋_GB2312" w:hAnsi="仿宋_GB2312" w:cs="仿宋_GB2312" w:eastAsia="仿宋_GB2312"/>
                      <w:sz w:val="24"/>
                      <w:color w:val="0000FF"/>
                    </w:rPr>
                    <w:t>,校对,kt板制作</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指示牌</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2m*0.8m</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80</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镀锌钢管焊接定做</w:t>
                  </w:r>
                  <w:r>
                    <w:rPr>
                      <w:rFonts w:ascii="仿宋_GB2312" w:hAnsi="仿宋_GB2312" w:cs="仿宋_GB2312" w:eastAsia="仿宋_GB2312"/>
                      <w:sz w:val="24"/>
                      <w:color w:val="0000FF"/>
                    </w:rPr>
                    <w:t>,烤汽车漆,2m x 0.8m,含底座,</w:t>
                  </w:r>
                </w:p>
              </w:tc>
            </w:tr>
            <w:tr>
              <w:tc>
                <w:tcPr>
                  <w:tcW w:type="dxa" w:w="185"/>
                  <w:vMerge/>
                  <w:tcBorders>
                    <w:top w:val="none" w:color="000000" w:sz="4"/>
                    <w:left w:val="singl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配重含双面画面</w:t>
                  </w:r>
                  <w:r>
                    <w:rPr>
                      <w:rFonts w:ascii="仿宋_GB2312" w:hAnsi="仿宋_GB2312" w:cs="仿宋_GB2312" w:eastAsia="仿宋_GB2312"/>
                      <w:sz w:val="24"/>
                      <w:color w:val="0000FF"/>
                    </w:rPr>
                    <w:t>60*80cm</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铁马</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铝合金铁马，成色</w:t>
                  </w:r>
                  <w:r>
                    <w:rPr>
                      <w:rFonts w:ascii="仿宋_GB2312" w:hAnsi="仿宋_GB2312" w:cs="仿宋_GB2312" w:eastAsia="仿宋_GB2312"/>
                      <w:sz w:val="24"/>
                      <w:color w:val="0000FF"/>
                    </w:rPr>
                    <w:t>≥9成新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软隔离</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黑色抽拉式软隔离，成色</w:t>
                  </w:r>
                  <w:r>
                    <w:rPr>
                      <w:rFonts w:ascii="仿宋_GB2312" w:hAnsi="仿宋_GB2312" w:cs="仿宋_GB2312" w:eastAsia="仿宋_GB2312"/>
                      <w:sz w:val="24"/>
                      <w:color w:val="0000FF"/>
                    </w:rPr>
                    <w:t>≥9成新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快展</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2*1.2m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含设计，制作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拉网展架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5*3m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含设计，制作</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手册</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210*285mm</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800</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本</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封面</w:t>
                  </w:r>
                  <w:r>
                    <w:rPr>
                      <w:rFonts w:ascii="仿宋_GB2312" w:hAnsi="仿宋_GB2312" w:cs="仿宋_GB2312" w:eastAsia="仿宋_GB2312"/>
                      <w:sz w:val="24"/>
                      <w:color w:val="0000FF"/>
                    </w:rPr>
                    <w:t>≥200g特种纸，内页≥157g铜版纸</w:t>
                  </w:r>
                </w:p>
              </w:tc>
            </w:tr>
            <w:tr>
              <w:tc>
                <w:tcPr>
                  <w:tcW w:type="dxa" w:w="185"/>
                  <w:vMerge/>
                  <w:tcBorders>
                    <w:top w:val="none" w:color="000000" w:sz="4"/>
                    <w:left w:val="singl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印刷，</w:t>
                  </w:r>
                  <w:r>
                    <w:rPr>
                      <w:rFonts w:ascii="仿宋_GB2312" w:hAnsi="仿宋_GB2312" w:cs="仿宋_GB2312" w:eastAsia="仿宋_GB2312"/>
                      <w:sz w:val="24"/>
                      <w:color w:val="0000FF"/>
                    </w:rPr>
                    <w:t>20p以内，含设计，制作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工作证</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B4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≥200g铜版纸彩打，含设计，制作</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安检门</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通过式金属探测安检门</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防雨型安检门</w:t>
                  </w:r>
                  <w:r>
                    <w:rPr>
                      <w:rFonts w:ascii="仿宋_GB2312" w:hAnsi="仿宋_GB2312" w:cs="仿宋_GB2312" w:eastAsia="仿宋_GB2312"/>
                      <w:sz w:val="24"/>
                      <w:color w:val="0000FF"/>
                    </w:rPr>
                    <w:t>2000 mm（高）*700mm（宽）</w:t>
                  </w:r>
                </w:p>
              </w:tc>
            </w:tr>
            <w:tr>
              <w:tc>
                <w:tcPr>
                  <w:tcW w:type="dxa" w:w="185"/>
                  <w:vMerge/>
                  <w:tcBorders>
                    <w:top w:val="none" w:color="000000" w:sz="4"/>
                    <w:left w:val="singl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AC220V，50/60Hz</w:t>
                  </w:r>
                </w:p>
              </w:tc>
            </w:tr>
            <w:tr>
              <w:tc>
                <w:tcPr>
                  <w:tcW w:type="dxa" w:w="185"/>
                  <w:vMerge/>
                  <w:tcBorders>
                    <w:top w:val="none" w:color="000000" w:sz="4"/>
                    <w:left w:val="singl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功率：</w:t>
                  </w:r>
                  <w:r>
                    <w:rPr>
                      <w:rFonts w:ascii="仿宋_GB2312" w:hAnsi="仿宋_GB2312" w:cs="仿宋_GB2312" w:eastAsia="仿宋_GB2312"/>
                      <w:sz w:val="24"/>
                      <w:color w:val="0000FF"/>
                    </w:rPr>
                    <w:t>≤35W</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备注：本清单为一场大型招聘会所需最少物料。</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FF"/>
              </w:rPr>
              <w:t>其他要求：</w:t>
            </w:r>
          </w:p>
          <w:p>
            <w:pPr>
              <w:pStyle w:val="null3"/>
            </w:pPr>
            <w:r>
              <w:rPr>
                <w:rFonts w:ascii="仿宋_GB2312" w:hAnsi="仿宋_GB2312" w:cs="仿宋_GB2312" w:eastAsia="仿宋_GB2312"/>
                <w:sz w:val="24"/>
                <w:color w:val="0000FF"/>
              </w:rPr>
              <w:t>1.以上物料明细均为包干价，包含但不限于服务产生的设计费、租赁费、安装调试费用、税费等所有费用，如在服务过程中所需物料增多，不增加费用。</w:t>
            </w:r>
          </w:p>
          <w:p>
            <w:pPr>
              <w:pStyle w:val="null3"/>
            </w:pPr>
            <w:r>
              <w:rPr>
                <w:rFonts w:ascii="仿宋_GB2312" w:hAnsi="仿宋_GB2312" w:cs="仿宋_GB2312" w:eastAsia="仿宋_GB2312"/>
                <w:sz w:val="24"/>
                <w:color w:val="0000FF"/>
              </w:rPr>
              <w:t>2.招聘会主背景设计及其大会延展设计需提前四个工作日内设计完成，需提前三天布展搭建，一天彩排，会后一天内撤场完毕。</w:t>
            </w:r>
          </w:p>
          <w:p>
            <w:pPr>
              <w:pStyle w:val="null3"/>
            </w:pPr>
            <w:r>
              <w:rPr>
                <w:rFonts w:ascii="仿宋_GB2312" w:hAnsi="仿宋_GB2312" w:cs="仿宋_GB2312" w:eastAsia="仿宋_GB2312"/>
                <w:sz w:val="24"/>
                <w:color w:val="0000FF"/>
              </w:rPr>
              <w:t>3.在布展搭建前要有具体的组织实施方案和服务方案，根据我方的场地规模大小设计出相应的招聘会展位分布图，区域划分妥当，满足我方需求，方案完善，科学合理、针对性强。</w:t>
            </w:r>
          </w:p>
          <w:p>
            <w:pPr>
              <w:pStyle w:val="null3"/>
            </w:pPr>
            <w:r>
              <w:rPr>
                <w:rFonts w:ascii="仿宋_GB2312" w:hAnsi="仿宋_GB2312" w:cs="仿宋_GB2312" w:eastAsia="仿宋_GB2312"/>
                <w:sz w:val="24"/>
                <w:color w:val="0000FF"/>
              </w:rPr>
              <w:t>4.供应商应具备足够人力、物力和技术能力以确保布展工作的顺利完成并应对处理服务过程中发生的突发状况。</w:t>
            </w:r>
          </w:p>
          <w:p>
            <w:pPr>
              <w:pStyle w:val="null3"/>
            </w:pPr>
            <w:r>
              <w:rPr>
                <w:rFonts w:ascii="仿宋_GB2312" w:hAnsi="仿宋_GB2312" w:cs="仿宋_GB2312" w:eastAsia="仿宋_GB2312"/>
                <w:sz w:val="24"/>
                <w:color w:val="0000FF"/>
              </w:rPr>
              <w:t>5.供应商应全面履行项目实施过程中的相关安全管理职责，因供应商未尽到管理职责发生安全事故的，由供应商承担相应的法律责任。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合同签订之日起270日，具体时间另行确定。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（1）质量标准。乙方保证提供的服务质量应符合中华人民共和国相关标准及相应的技术规范、本次采购相关文件中的全部相关要求及乙方相关服务标准及相应的技术规范中之较高者。 （2）验收组织。甲方负责按规定组织验收工作并出具验收书，涉及向学校师生提供的公共服务项目，验收时须邀请服务对象参与并出具意见。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进度款，首次招聘会结束经甲方验收合格后，达到付款条件起30个工作日内，支付合同总金额的50.0%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服务全部结束经甲方验收合格后，达到付款条件起30个工作日内，支付合同总金额的50.0%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壹份（胶装，封袋标注供应商名称和项目名称）。代理机构对递交的文件签收，由监标人查验密封情况并记录，开标后交磋商小组，作为评审的辅助资料。递交方式：现场递交，或快递邮寄。 2.供应商请仔细阅读采购文件《第一章 竞争性磋商邀请》第六条“电子化采购相关事项”，提前做好线上开标准备。 3.本项目磋商在采购系统线上进行，供应商需自行了解系统磋商的要求和操作流程。未按流程操作或无法联系以及供应商自身原因错过磋商的视为自动放弃磋商。 4.中小企业： ①是否属于中小企业，供应商按《政府采购促进中小企业发展管理办法》（财库〔2020〕46号）、《统计上大中小微型企业划分办法（2017）》（国统字﹝2017﹞213号）租赁和商务服务业划型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5.补充说明：本项目采用两轮报价，响应文件中的报价为首次报价，磋商后的报价为最终报价。 6.采用线下纸质保函（银行或担保公司出具的)形式交纳磋商保证金的，供应商需在磋商截止时间前将保函递交代理机构并换取收据，并将收据作为保证金的交纳凭证上传至交易系统，在开标时查验。 7.支付：合同生效后，项目分为两次执行，每次执行完毕并经甲方验收合格后，付清当次服务费用。与第三章3.3.5支付约定不一致的，以此处为准。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注册证照</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磋商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6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6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的，磋商小组应当将其作为无效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1.总价未超过采购预算且无选择性报价 2.秋季招聘会布展服务、春季招聘会布展服务报价均未超过各自限价。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合同签订之日起270日，具体时间另行确定。</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合同生效后，项目分为两次执行，每次执行完毕并经甲方验收合格后，付清当次服务费用。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供应商应提供针对本项目的整体服务方案。包括①服务内容②服务标准③总体设计思路④进度计划⑤应急预案 二、评审标准 1.完整性：内容全面，对评审内容中的各项要求描述详细； 2.可实施性：切合本项目实际情况，实施步骤清晰、合理； 3.针对性：能够紧扣项目实际情况，内容科学合理。 三、赋分依据（满分15分） ①服务内容：每完全满足一个评审标准得1分，满分3分；未提供不得分； ②服务标准：每完全满足一个评审标准得1分，满分3分；未提供不得分； ③总体设计思路：每完全满足一个评审标准得1分，满分3分；未提供不得分； ④进度计划：每完全满足一个评审标准得1分，满分3分；未提供不得分； ⑤应急预案：每完全满足一个评审标准得1分，满分3分；未提供不得分。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物料采购/租用方案</w:t>
            </w:r>
          </w:p>
        </w:tc>
        <w:tc>
          <w:tcPr>
            <w:tcW w:type="dxa" w:w="2492"/>
          </w:tcPr>
          <w:p>
            <w:pPr>
              <w:pStyle w:val="null3"/>
            </w:pPr>
            <w:r>
              <w:rPr>
                <w:rFonts w:ascii="仿宋_GB2312" w:hAnsi="仿宋_GB2312" w:cs="仿宋_GB2312" w:eastAsia="仿宋_GB2312"/>
              </w:rPr>
              <w:t>供应商需提供布展所需物料采购/租用方案。 1.物料清单完整，详细，能满足招聘会布展需要。计2分。 2.来源渠道清晰可靠，能保证本项目物料的质量和供应计2分。 3.提供所有布展物料至少为9成新的书面承诺，得1分。注：承诺书格式自拟，未提供承诺不得分。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物料采购租用方案.docx</w:t>
            </w:r>
          </w:p>
        </w:tc>
      </w:tr>
      <w:tr>
        <w:tc>
          <w:tcPr>
            <w:tcW w:type="dxa" w:w="831"/>
            <w:vMerge/>
          </w:tcPr>
          <w:p/>
        </w:tc>
        <w:tc>
          <w:tcPr>
            <w:tcW w:type="dxa" w:w="1661"/>
          </w:tcPr>
          <w:p>
            <w:pPr>
              <w:pStyle w:val="null3"/>
            </w:pPr>
            <w:r>
              <w:rPr>
                <w:rFonts w:ascii="仿宋_GB2312" w:hAnsi="仿宋_GB2312" w:cs="仿宋_GB2312" w:eastAsia="仿宋_GB2312"/>
              </w:rPr>
              <w:t>初步设计方案</w:t>
            </w:r>
          </w:p>
        </w:tc>
        <w:tc>
          <w:tcPr>
            <w:tcW w:type="dxa" w:w="2492"/>
          </w:tcPr>
          <w:p>
            <w:pPr>
              <w:pStyle w:val="null3"/>
            </w:pPr>
            <w:r>
              <w:rPr>
                <w:rFonts w:ascii="仿宋_GB2312" w:hAnsi="仿宋_GB2312" w:cs="仿宋_GB2312" w:eastAsia="仿宋_GB2312"/>
              </w:rPr>
              <w:t>一、评审内容 供应商应提供针对本项目的初步设计方案（需提供设计图纸及设计方案说明），包括①展位分布设计及单个展位效果图②招聘会主背景设计③大会延展设计 二、评审标准 1.完整性：内容全面，对评审内容中的各项要求描述详细； 2.可实施性：切合本项目实际情况，实施步骤清晰、合理； 3.针对性：能够紧扣项目实际情况，内容科学合理。 三、赋分依据（满分9分） ①展位分布设计及单个展位效果图：每完全满足一个评审标准得1分，满分3分；未提供不得分； ②招聘会主背景设计：每完全满足一个评审标准得1分，满分3分；未提供不得分； ③大会延展设计：每完全满足一个评审标准得1分，满分3分；未提供不得分。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初步设计方案.docx</w:t>
            </w:r>
          </w:p>
        </w:tc>
      </w:tr>
      <w:tr>
        <w:tc>
          <w:tcPr>
            <w:tcW w:type="dxa" w:w="831"/>
            <w:vMerge/>
          </w:tcPr>
          <w:p/>
        </w:tc>
        <w:tc>
          <w:tcPr>
            <w:tcW w:type="dxa" w:w="1661"/>
          </w:tcPr>
          <w:p>
            <w:pPr>
              <w:pStyle w:val="null3"/>
            </w:pPr>
            <w:r>
              <w:rPr>
                <w:rFonts w:ascii="仿宋_GB2312" w:hAnsi="仿宋_GB2312" w:cs="仿宋_GB2312" w:eastAsia="仿宋_GB2312"/>
              </w:rPr>
              <w:t>会场搭建布置方案</w:t>
            </w:r>
          </w:p>
        </w:tc>
        <w:tc>
          <w:tcPr>
            <w:tcW w:type="dxa" w:w="2492"/>
          </w:tcPr>
          <w:p>
            <w:pPr>
              <w:pStyle w:val="null3"/>
            </w:pPr>
            <w:r>
              <w:rPr>
                <w:rFonts w:ascii="仿宋_GB2312" w:hAnsi="仿宋_GB2312" w:cs="仿宋_GB2312" w:eastAsia="仿宋_GB2312"/>
              </w:rPr>
              <w:t>一、评审内容 供应商应提供针对本项目的会场搭建布置方案。包括①搭建布置流程及方法②人员投入③安全保障措施④质量保证措施 二、评审标准 1.完整性：内容全面，对评审内容中的各项要求描述详细； 2.可实施性：切合本项目实际情况，实施步骤清晰、合理； 3.针对性：能够紧扣项目实际情况，内容科学合理。 三、赋分依据（满分12分） ①搭建布置流程及方法：每完全满足一个评审标准得1分，满分3分；未提供不得分； ②人员投入：每完全满足一个评审标准得1分，满分3分；未提供不得分； ③安全保障措施：每完全满足一个评审标准得1分，满分3分；未提供不得分； ④质量保证措施：每完全满足一个评审标准得1分，满分3分；未提供不得分；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会场搭建布置方案.docx</w:t>
            </w:r>
          </w:p>
        </w:tc>
      </w:tr>
      <w:tr>
        <w:tc>
          <w:tcPr>
            <w:tcW w:type="dxa" w:w="831"/>
            <w:vMerge/>
          </w:tcPr>
          <w:p/>
        </w:tc>
        <w:tc>
          <w:tcPr>
            <w:tcW w:type="dxa" w:w="1661"/>
          </w:tcPr>
          <w:p>
            <w:pPr>
              <w:pStyle w:val="null3"/>
            </w:pPr>
            <w:r>
              <w:rPr>
                <w:rFonts w:ascii="仿宋_GB2312" w:hAnsi="仿宋_GB2312" w:cs="仿宋_GB2312" w:eastAsia="仿宋_GB2312"/>
              </w:rPr>
              <w:t>撤场方案</w:t>
            </w:r>
          </w:p>
        </w:tc>
        <w:tc>
          <w:tcPr>
            <w:tcW w:type="dxa" w:w="2492"/>
          </w:tcPr>
          <w:p>
            <w:pPr>
              <w:pStyle w:val="null3"/>
            </w:pPr>
            <w:r>
              <w:rPr>
                <w:rFonts w:ascii="仿宋_GB2312" w:hAnsi="仿宋_GB2312" w:cs="仿宋_GB2312" w:eastAsia="仿宋_GB2312"/>
              </w:rPr>
              <w:t>一、评审内容 供应商应提供针对本项目的撤场方案。包括①会场拆除清运②人员投入③撤场时效 二、评审标准 1.完整性：内容全面，对评审内容中的各项要求描述详细； 2.可实施性：切合本项目实际情况，实施步骤清晰、合理； 3.针对性：能够紧扣项目实际情况，内容科学合理。 三、赋分依据（满分9分） ①会场拆除清运：每完全满足一个评审标准得1分，满分3分；未提供不得分； ②人员投入：每完全满足一个评审标准得1分，满分3分；未提供不得分； ③撤场时效：每完全满足一个评审标准得1分，满分3分；未提供不得分。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撤场方案.docx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一、评审内容 供应商应提供针对本项目的团队人员投入方案。包括①团队架构说明②人员责任分工。（注：需提供团队人员名单、身份证及供应商近6个月内任意一个月为其缴纳社保的证明。） 二、评审标准 1.完整性：内容全面，对评审内容中的各项要求描述详细； 2.可实施性：切合本项目实际情况，实施步骤清晰、合理； 3.针对性：能够紧扣项目实际情况，内容科学合理。 三、赋分依据（满分6分） ①团队架构说明：每完全满足一个评审标准得1分，满分3分；未提供不得分； ②人员责任分工：每完全满足一个评审标准得1分，满分3分；未提供不得分；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会场保障方案</w:t>
            </w:r>
          </w:p>
        </w:tc>
        <w:tc>
          <w:tcPr>
            <w:tcW w:type="dxa" w:w="2492"/>
          </w:tcPr>
          <w:p>
            <w:pPr>
              <w:pStyle w:val="null3"/>
            </w:pPr>
            <w:r>
              <w:rPr>
                <w:rFonts w:ascii="仿宋_GB2312" w:hAnsi="仿宋_GB2312" w:cs="仿宋_GB2312" w:eastAsia="仿宋_GB2312"/>
              </w:rPr>
              <w:t>一、评审内容 供应商应提供针对本项目的会场保障方案。包括①保障内容②保障目标③保障服务措施 二、评审标准 1.完整性：内容全面，对评审内容中的各项要求描述详细； 2.可实施性：切合本项目实际情况，实施步骤清晰、合理； 3.针对性：能够紧扣项目实际情况，内容科学合理。 三、赋分依据（满分9分） ①保障内容：每完全满足一个评审标准得1分，满分3分；未提供不得分；②保障目标：每完全满足一个评审标准得1分，满分3分；未提供不得分； ③保障服务措施：每完全满足一个评审标准得1分，满分3分；未提供不得分。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会场保障方案.docx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供应商提供2023年6月1日至今同类项目（校园群体活动/展会场地布置、搭建类）业绩，每提供1个得1分，本项最高得5分。（业绩以合同为准，时间以合同签订时间为准、须提供完整合同复印件并加盖公章）。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价格分采用低价优先法，即实质性满足磋商文件要求且最终磋商报价最低的为磋商基准价，其价格分为满分30分。其他供应商的价格分按照下列公式计算：磋商报价得分=（磋商基准价/磋商报价）×30。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详见附件：初步设计方案.docx</w:t>
      </w:r>
    </w:p>
    <w:p>
      <w:pPr>
        <w:pStyle w:val="null3"/>
        <w:ind w:firstLine="960"/>
      </w:pPr>
      <w:r>
        <w:rPr>
          <w:rFonts w:ascii="仿宋_GB2312" w:hAnsi="仿宋_GB2312" w:cs="仿宋_GB2312" w:eastAsia="仿宋_GB2312"/>
        </w:rPr>
        <w:t>详见附件：会场保障方案.docx</w:t>
      </w:r>
    </w:p>
    <w:p>
      <w:pPr>
        <w:pStyle w:val="null3"/>
        <w:ind w:firstLine="960"/>
      </w:pPr>
      <w:r>
        <w:rPr>
          <w:rFonts w:ascii="仿宋_GB2312" w:hAnsi="仿宋_GB2312" w:cs="仿宋_GB2312" w:eastAsia="仿宋_GB2312"/>
        </w:rPr>
        <w:t>详见附件：会场搭建布置方案.docx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详见附件：物料采购租用方案.docx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详见附件：主要商务条款响应偏离表.docx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详见附件：撤场方案.docx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详见附件：注册证照.docx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