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D218F">
      <w:pPr>
        <w:pStyle w:val="6"/>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采购需求</w:t>
      </w:r>
    </w:p>
    <w:p w14:paraId="7C2A36E0">
      <w:pPr>
        <w:pStyle w:val="6"/>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eastAsia="仿宋_GB2312"/>
          <w:sz w:val="28"/>
          <w:szCs w:val="28"/>
          <w:highlight w:val="none"/>
        </w:rPr>
      </w:pPr>
      <w:bookmarkStart w:id="0" w:name="_GoBack"/>
      <w:bookmarkEnd w:id="0"/>
      <w:r>
        <w:rPr>
          <w:rFonts w:hint="eastAsia" w:ascii="仿宋_GB2312" w:eastAsia="仿宋_GB2312"/>
          <w:sz w:val="28"/>
          <w:szCs w:val="28"/>
          <w:highlight w:val="none"/>
        </w:rPr>
        <w:t>（一）工作依据：</w:t>
      </w:r>
    </w:p>
    <w:p w14:paraId="386643F9">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b/>
          <w:sz w:val="28"/>
          <w:szCs w:val="28"/>
          <w:highlight w:val="none"/>
        </w:rPr>
      </w:pPr>
      <w:r>
        <w:rPr>
          <w:rFonts w:hint="eastAsia" w:ascii="仿宋_GB2312" w:eastAsia="仿宋_GB2312"/>
          <w:sz w:val="28"/>
          <w:szCs w:val="28"/>
          <w:highlight w:val="none"/>
        </w:rPr>
        <w:t>1、《中华人民共和国黄河保护法》</w:t>
      </w:r>
      <w:r>
        <w:rPr>
          <w:rFonts w:hint="eastAsia" w:ascii="仿宋_GB2312" w:hAnsi="黑体" w:eastAsia="仿宋_GB2312"/>
          <w:color w:val="000000"/>
          <w:sz w:val="28"/>
          <w:szCs w:val="28"/>
          <w:highlight w:val="none"/>
          <w:shd w:val="clear" w:color="auto" w:fill="FFFFFF"/>
        </w:rPr>
        <w:t>第五十二条</w:t>
      </w:r>
      <w:r>
        <w:rPr>
          <w:rFonts w:hint="eastAsia" w:ascii="仿宋_GB2312" w:eastAsia="仿宋_GB2312"/>
          <w:color w:val="000000"/>
          <w:sz w:val="28"/>
          <w:szCs w:val="28"/>
          <w:highlight w:val="none"/>
          <w:shd w:val="clear" w:color="auto" w:fill="FFFFFF"/>
        </w:rPr>
        <w:t xml:space="preserve"> 国家在黄河流域实行强制性用水定额管理制度。黄河流域以及黄河流经省、自治区其他黄河供水区相关县级行政区域的用水单位，应当严格执行强制性用水定额；</w:t>
      </w:r>
      <w:r>
        <w:rPr>
          <w:rFonts w:hint="eastAsia" w:ascii="仿宋_GB2312" w:eastAsia="仿宋_GB2312"/>
          <w:b/>
          <w:color w:val="000000"/>
          <w:sz w:val="28"/>
          <w:szCs w:val="28"/>
          <w:highlight w:val="none"/>
          <w:shd w:val="clear" w:color="auto" w:fill="FFFFFF"/>
        </w:rPr>
        <w:t>超过强制性用水定额的，应当限期实施节水技术改造。</w:t>
      </w:r>
    </w:p>
    <w:p w14:paraId="71229E91">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cs="Times New Roman"/>
          <w:bCs/>
          <w:sz w:val="28"/>
          <w:szCs w:val="28"/>
          <w:highlight w:val="none"/>
        </w:rPr>
      </w:pPr>
      <w:r>
        <w:rPr>
          <w:rFonts w:hint="eastAsia" w:ascii="仿宋_GB2312" w:eastAsia="仿宋_GB2312" w:cs="Times New Roman"/>
          <w:bCs/>
          <w:sz w:val="28"/>
          <w:szCs w:val="28"/>
          <w:highlight w:val="none"/>
        </w:rPr>
        <w:t>2、《水利部市场监管总局关于在黄河流域实行强制性用水定额管理的意见》（</w:t>
      </w:r>
      <w:r>
        <w:rPr>
          <w:rFonts w:hint="eastAsia" w:ascii="仿宋_GB2312" w:eastAsia="仿宋_GB2312" w:cs="Times New Roman"/>
          <w:sz w:val="28"/>
          <w:szCs w:val="28"/>
          <w:highlight w:val="none"/>
        </w:rPr>
        <w:t>水节约〔2024〕208号</w:t>
      </w:r>
      <w:r>
        <w:rPr>
          <w:rFonts w:hint="eastAsia" w:ascii="仿宋_GB2312" w:eastAsia="仿宋_GB2312" w:cs="Times New Roman"/>
          <w:bCs/>
          <w:sz w:val="28"/>
          <w:szCs w:val="28"/>
          <w:highlight w:val="none"/>
        </w:rPr>
        <w:t xml:space="preserve">） </w:t>
      </w:r>
      <w:r>
        <w:rPr>
          <w:rFonts w:hint="eastAsia" w:ascii="仿宋_GB2312" w:eastAsia="仿宋_GB2312" w:cs="Times New Roman"/>
          <w:sz w:val="28"/>
          <w:szCs w:val="28"/>
          <w:highlight w:val="none"/>
        </w:rPr>
        <w:t>确定范围：根据国民经济行业分类、国家高耗水工业和服务业相关政策规定，黄河流域以及黄河流经省、自治区其他黄河供水区相关县级行政区的下列高耗水工业和服务业实行强制性用水定额管理。高耗水工业：火力发电、选煤、煤化工（煤制烯烃、煤制甲醇）、建材（水泥）、钢铁、石化和化工（石油炼制、合成氨、尿素、硫酸、烧碱、纯碱）、铝（电解铝、氧化铝）。高耗水服务业：宾</w:t>
      </w:r>
      <w:r>
        <w:rPr>
          <w:rFonts w:hint="eastAsia" w:ascii="仿宋_GB2312" w:eastAsia="仿宋_GB2312" w:cs="Times New Roman"/>
          <w:b/>
          <w:sz w:val="28"/>
          <w:szCs w:val="28"/>
          <w:highlight w:val="none"/>
        </w:rPr>
        <w:t>馆、游泳场馆、洗车场所、洗浴场所、高校、室外人工滑雪场</w:t>
      </w:r>
      <w:r>
        <w:rPr>
          <w:rFonts w:hint="eastAsia" w:ascii="仿宋_GB2312" w:eastAsia="仿宋_GB2312" w:cs="Times New Roman"/>
          <w:sz w:val="28"/>
          <w:szCs w:val="28"/>
          <w:highlight w:val="none"/>
        </w:rPr>
        <w:t>。</w:t>
      </w:r>
    </w:p>
    <w:p w14:paraId="3DD70AE2">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r>
        <w:rPr>
          <w:rFonts w:hint="eastAsia" w:ascii="仿宋_GB2312" w:eastAsia="仿宋_GB2312"/>
          <w:sz w:val="28"/>
          <w:szCs w:val="28"/>
          <w:highlight w:val="none"/>
        </w:rPr>
        <w:t>3、《陕西省黄河流域强制性用水定额实施办法》 第六条县级以上水行政主管部门负责指导并组织实施强制性用水定额管理制度。 第十三条</w:t>
      </w:r>
      <w:r>
        <w:rPr>
          <w:rFonts w:ascii="仿宋_GB2312" w:eastAsia="仿宋_GB2312"/>
          <w:sz w:val="28"/>
          <w:szCs w:val="28"/>
          <w:highlight w:val="none"/>
        </w:rPr>
        <w:t> </w:t>
      </w:r>
      <w:r>
        <w:rPr>
          <w:rFonts w:ascii="仿宋_GB2312" w:eastAsia="仿宋_GB2312"/>
          <w:b/>
          <w:sz w:val="28"/>
          <w:szCs w:val="28"/>
          <w:highlight w:val="none"/>
        </w:rPr>
        <w:t>用水效率不符合强制性用水定额限定值的用水单位，可采用水平衡测试、用水审计、节水诊断等手段，全面查找分析用水效率不达标主要原因，明确节水技术改造需求和用水效率提升措施并加以实施。</w:t>
      </w:r>
      <w:r>
        <w:rPr>
          <w:rFonts w:hint="eastAsia" w:ascii="仿宋_GB2312" w:eastAsia="仿宋_GB2312"/>
          <w:b/>
          <w:sz w:val="28"/>
          <w:szCs w:val="28"/>
          <w:highlight w:val="none"/>
        </w:rPr>
        <w:t xml:space="preserve"> </w:t>
      </w:r>
      <w:r>
        <w:rPr>
          <w:rFonts w:hint="eastAsia" w:ascii="仿宋_GB2312" w:eastAsia="仿宋_GB2312"/>
          <w:sz w:val="28"/>
          <w:szCs w:val="28"/>
          <w:highlight w:val="none"/>
        </w:rPr>
        <w:t>第二十一条</w:t>
      </w:r>
      <w:r>
        <w:rPr>
          <w:rFonts w:ascii="仿宋_GB2312" w:eastAsia="仿宋_GB2312"/>
          <w:sz w:val="28"/>
          <w:szCs w:val="28"/>
          <w:highlight w:val="none"/>
        </w:rPr>
        <w:t> 各级水行政主管部门要加强对高耗水工业和服务业</w:t>
      </w:r>
      <w:r>
        <w:rPr>
          <w:rFonts w:ascii="仿宋_GB2312" w:eastAsia="仿宋_GB2312"/>
          <w:b/>
          <w:sz w:val="28"/>
          <w:szCs w:val="28"/>
          <w:highlight w:val="none"/>
        </w:rPr>
        <w:t>强制性用水定额对标工作</w:t>
      </w:r>
      <w:r>
        <w:rPr>
          <w:rFonts w:ascii="仿宋_GB2312" w:eastAsia="仿宋_GB2312"/>
          <w:sz w:val="28"/>
          <w:szCs w:val="28"/>
          <w:highlight w:val="none"/>
        </w:rPr>
        <w:t>的指导和监督。建立执法协作机制，适时开展联合执法，对用水单位用水效率超过强制性用水定额限定值，未按照规定期限实施节水技术改造的，依法依规处理。</w:t>
      </w:r>
    </w:p>
    <w:p w14:paraId="3D782E4B">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r>
        <w:rPr>
          <w:rFonts w:hint="eastAsia" w:ascii="仿宋_GB2312" w:eastAsia="仿宋_GB2312"/>
          <w:sz w:val="28"/>
          <w:szCs w:val="28"/>
          <w:highlight w:val="none"/>
        </w:rPr>
        <w:t>4、黄河流域服务业用水定额:宾馆部分</w:t>
      </w:r>
    </w:p>
    <w:p w14:paraId="16F7B9EE">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p>
    <w:p w14:paraId="074328AF">
      <w:pPr>
        <w:pStyle w:val="6"/>
        <w:keepNext w:val="0"/>
        <w:keepLines w:val="0"/>
        <w:pageBreakBefore w:val="0"/>
        <w:kinsoku/>
        <w:wordWrap/>
        <w:overflowPunct/>
        <w:topLinePunct w:val="0"/>
        <w:autoSpaceDE/>
        <w:autoSpaceDN/>
        <w:bidi w:val="0"/>
        <w:adjustRightInd w:val="0"/>
        <w:snapToGrid w:val="0"/>
        <w:spacing w:line="360" w:lineRule="auto"/>
        <w:ind w:firstLine="440" w:firstLineChars="200"/>
        <w:textAlignment w:val="auto"/>
        <w:rPr>
          <w:rFonts w:hint="eastAsia" w:ascii="仿宋_GB2312" w:eastAsia="仿宋_GB2312"/>
          <w:sz w:val="28"/>
          <w:szCs w:val="28"/>
          <w:highlight w:val="none"/>
        </w:rPr>
      </w:pPr>
      <w:r>
        <w:rPr>
          <w:highlight w:val="none"/>
        </w:rPr>
        <w:drawing>
          <wp:anchor distT="0" distB="0" distL="114300" distR="114300" simplePos="0" relativeHeight="251659264" behindDoc="0" locked="0" layoutInCell="1" allowOverlap="1">
            <wp:simplePos x="0" y="0"/>
            <wp:positionH relativeFrom="column">
              <wp:posOffset>332740</wp:posOffset>
            </wp:positionH>
            <wp:positionV relativeFrom="paragraph">
              <wp:posOffset>-50165</wp:posOffset>
            </wp:positionV>
            <wp:extent cx="4783455" cy="2667000"/>
            <wp:effectExtent l="0" t="0" r="17145" b="0"/>
            <wp:wrapNone/>
            <wp:docPr id="2" name="图片 1" descr="C:\Users\Administrator\Documents\WeChat Files\tongu002\FileStorage\Temp\17683607636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strator\Documents\WeChat Files\tongu002\FileStorage\Temp\1768360763695.png"/>
                    <pic:cNvPicPr>
                      <a:picLocks noChangeAspect="1"/>
                    </pic:cNvPicPr>
                  </pic:nvPicPr>
                  <pic:blipFill>
                    <a:blip r:embed="rId4"/>
                    <a:stretch>
                      <a:fillRect/>
                    </a:stretch>
                  </pic:blipFill>
                  <pic:spPr>
                    <a:xfrm>
                      <a:off x="0" y="0"/>
                      <a:ext cx="4783455" cy="2667000"/>
                    </a:xfrm>
                    <a:prstGeom prst="rect">
                      <a:avLst/>
                    </a:prstGeom>
                    <a:noFill/>
                    <a:ln>
                      <a:noFill/>
                    </a:ln>
                  </pic:spPr>
                </pic:pic>
              </a:graphicData>
            </a:graphic>
          </wp:anchor>
        </w:drawing>
      </w:r>
    </w:p>
    <w:p w14:paraId="41E74747">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p>
    <w:p w14:paraId="08970E68">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p>
    <w:p w14:paraId="6FD9535A">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p>
    <w:p w14:paraId="590479E7">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p>
    <w:p w14:paraId="4A19D447">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p>
    <w:p w14:paraId="21A51790">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p>
    <w:p w14:paraId="7FE79ADB">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p>
    <w:p w14:paraId="74727BD7">
      <w:pPr>
        <w:pStyle w:val="6"/>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rPr>
      </w:pPr>
      <w:r>
        <w:rPr>
          <w:rFonts w:hint="eastAsia" w:ascii="仿宋_GB2312" w:eastAsia="仿宋_GB2312"/>
          <w:sz w:val="28"/>
          <w:szCs w:val="28"/>
          <w:highlight w:val="none"/>
        </w:rPr>
        <w:t>（二）工作内容：</w:t>
      </w:r>
    </w:p>
    <w:p w14:paraId="5438C4EF">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ascii="仿宋_GB2312" w:eastAsia="仿宋_GB2312"/>
          <w:sz w:val="28"/>
          <w:szCs w:val="28"/>
          <w:highlight w:val="none"/>
        </w:rPr>
      </w:pPr>
      <w:r>
        <w:rPr>
          <w:rFonts w:hint="eastAsia" w:ascii="仿宋_GB2312" w:eastAsia="仿宋_GB2312"/>
          <w:sz w:val="28"/>
          <w:szCs w:val="28"/>
          <w:highlight w:val="none"/>
        </w:rPr>
        <w:t>根据已开展调查的的4个服务行业（</w:t>
      </w:r>
      <w:r>
        <w:rPr>
          <w:rFonts w:hint="eastAsia" w:ascii="仿宋_GB2312" w:eastAsia="仿宋_GB2312" w:cs="Times New Roman"/>
          <w:sz w:val="28"/>
          <w:szCs w:val="28"/>
          <w:highlight w:val="none"/>
        </w:rPr>
        <w:t>宾馆、游泳场馆、洗浴、人工滑雪场</w:t>
      </w:r>
      <w:r>
        <w:rPr>
          <w:rFonts w:hint="eastAsia" w:ascii="仿宋_GB2312" w:eastAsia="仿宋_GB2312"/>
          <w:sz w:val="28"/>
          <w:szCs w:val="28"/>
          <w:highlight w:val="none"/>
        </w:rPr>
        <w:t>）的1049家单位中约40%超定额标准，按照定额管理要求，需对超用水定额标准的约400家用水单位查找超定额原因，并指导单位按照强制性用水定额管理要求，建立健全内部节水管理制度，制定节水目标任务，可设置节水管理岗位，明确责任部门和责任人。完善用水计量、记录、统计、管网日常维修管护、用水效率对标、节水考核等规章制度，加强各用水车间、用水部门、用水工序等独立计量用水单元的用水效率评估、评比与考核，强化内部激励，建立规范化、常态化运行机制。已调查的1049单位不能涵盖我市所有定额管理的用水单位，需参照水利部提供的</w:t>
      </w:r>
      <w:r>
        <w:rPr>
          <w:rFonts w:ascii="仿宋_GB2312" w:eastAsia="仿宋_GB2312"/>
          <w:sz w:val="28"/>
          <w:szCs w:val="28"/>
          <w:highlight w:val="none"/>
        </w:rPr>
        <w:t>40000余个单位名录，对单位用水性质、用水情况、经营模式、水效等内容进行核查和定额对标。</w:t>
      </w:r>
    </w:p>
    <w:p w14:paraId="0C33DBC3">
      <w:pPr>
        <w:pStyle w:val="3"/>
        <w:keepNext w:val="0"/>
        <w:keepLines w:val="0"/>
        <w:pageBreakBefore w:val="0"/>
        <w:kinsoku/>
        <w:wordWrap/>
        <w:overflowPunct/>
        <w:topLinePunct w:val="0"/>
        <w:autoSpaceDE/>
        <w:autoSpaceDN/>
        <w:bidi w:val="0"/>
        <w:adjustRightInd w:val="0"/>
        <w:snapToGrid w:val="0"/>
        <w:spacing w:line="360" w:lineRule="auto"/>
        <w:ind w:left="365" w:leftChars="174" w:firstLine="560" w:firstLineChars="200"/>
        <w:textAlignment w:val="auto"/>
        <w:rPr>
          <w:highlight w:val="none"/>
        </w:rPr>
      </w:pPr>
      <w:r>
        <w:rPr>
          <w:rFonts w:hint="eastAsia" w:ascii="仿宋_GB2312" w:eastAsia="仿宋_GB2312"/>
          <w:sz w:val="28"/>
          <w:szCs w:val="28"/>
          <w:highlight w:val="none"/>
          <w:lang w:val="en-US" w:eastAsia="zh-CN"/>
        </w:rPr>
        <w:t>（三）</w:t>
      </w:r>
      <w:r>
        <w:rPr>
          <w:rFonts w:hint="eastAsia" w:ascii="仿宋_GB2312" w:hAnsi="仿宋_GB2312" w:eastAsia="仿宋_GB2312" w:cs="仿宋_GB2312"/>
          <w:sz w:val="32"/>
          <w:szCs w:val="32"/>
          <w:highlight w:val="none"/>
        </w:rPr>
        <w:t>成果提交</w:t>
      </w:r>
    </w:p>
    <w:p w14:paraId="384A7CDF">
      <w:pPr>
        <w:pStyle w:val="3"/>
        <w:keepNext w:val="0"/>
        <w:keepLines w:val="0"/>
        <w:pageBreakBefore w:val="0"/>
        <w:kinsoku/>
        <w:wordWrap/>
        <w:overflowPunct/>
        <w:topLinePunct w:val="0"/>
        <w:autoSpaceDE/>
        <w:autoSpaceDN/>
        <w:bidi w:val="0"/>
        <w:adjustRightInd w:val="0"/>
        <w:snapToGrid w:val="0"/>
        <w:spacing w:line="360" w:lineRule="auto"/>
        <w:ind w:firstLine="560" w:firstLineChars="200"/>
        <w:textAlignment w:val="auto"/>
        <w:rPr>
          <w:rFonts w:hint="eastAsia" w:ascii="仿宋_GB2312" w:eastAsia="仿宋_GB2312"/>
          <w:sz w:val="28"/>
          <w:szCs w:val="28"/>
          <w:highlight w:val="none"/>
          <w:lang w:val="en-US" w:eastAsia="zh-CN"/>
        </w:rPr>
      </w:pPr>
      <w:r>
        <w:rPr>
          <w:rFonts w:hint="eastAsia" w:ascii="仿宋_GB2312" w:eastAsia="仿宋_GB2312" w:hAnsiTheme="minorHAnsi" w:cstheme="minorBidi"/>
          <w:sz w:val="28"/>
          <w:szCs w:val="28"/>
          <w:highlight w:val="none"/>
          <w:lang w:val="en-US" w:eastAsia="zh-CN"/>
        </w:rPr>
        <w:t>编制完成西安市宾馆等四类黄河强定服务业用水单位定额分析报告，包括但不限于对于其中超定额用水单位用水现状调查、水效对标、计量管理、超定额分析、改善建议等内容；完成水利部40000余个单位的用水普查工作，提交调查分析报告。</w:t>
      </w:r>
    </w:p>
    <w:p w14:paraId="1A20DCCF">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default" w:ascii="仿宋_GB2312" w:eastAsia="仿宋_GB2312"/>
          <w:sz w:val="28"/>
          <w:szCs w:val="28"/>
          <w:highlight w:val="none"/>
          <w:lang w:val="en-US" w:eastAsia="zh-CN"/>
        </w:rPr>
      </w:pPr>
      <w:r>
        <w:rPr>
          <w:rFonts w:hint="eastAsia" w:ascii="仿宋_GB2312" w:eastAsia="仿宋_GB2312"/>
          <w:sz w:val="28"/>
          <w:szCs w:val="28"/>
          <w:highlight w:val="none"/>
          <w:lang w:val="en-US" w:eastAsia="zh-CN"/>
        </w:rPr>
        <w:t>（四）</w:t>
      </w:r>
      <w:r>
        <w:rPr>
          <w:rFonts w:hint="default" w:ascii="仿宋_GB2312" w:eastAsia="仿宋_GB2312"/>
          <w:sz w:val="28"/>
          <w:szCs w:val="28"/>
          <w:highlight w:val="none"/>
          <w:lang w:val="en-US" w:eastAsia="zh-CN"/>
        </w:rPr>
        <w:t>商务要求</w:t>
      </w:r>
      <w:r>
        <w:rPr>
          <w:rFonts w:hint="eastAsia" w:ascii="仿宋_GB2312" w:eastAsia="仿宋_GB2312"/>
          <w:sz w:val="28"/>
          <w:szCs w:val="28"/>
          <w:highlight w:val="none"/>
          <w:lang w:val="en-US" w:eastAsia="zh-CN"/>
        </w:rPr>
        <w:t>：</w:t>
      </w:r>
    </w:p>
    <w:p w14:paraId="47152D95">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default" w:ascii="仿宋_GB2312" w:eastAsia="仿宋_GB2312"/>
          <w:sz w:val="28"/>
          <w:szCs w:val="28"/>
          <w:highlight w:val="none"/>
          <w:lang w:val="en-US" w:eastAsia="zh-CN"/>
        </w:rPr>
      </w:pPr>
      <w:r>
        <w:rPr>
          <w:rFonts w:hint="default" w:ascii="仿宋_GB2312" w:eastAsia="仿宋_GB2312"/>
          <w:sz w:val="28"/>
          <w:szCs w:val="28"/>
          <w:highlight w:val="none"/>
          <w:lang w:val="en-US" w:eastAsia="zh-CN"/>
        </w:rPr>
        <w:t>1、</w:t>
      </w:r>
      <w:r>
        <w:rPr>
          <w:rFonts w:hint="eastAsia" w:ascii="仿宋_GB2312" w:eastAsia="仿宋_GB2312"/>
          <w:sz w:val="28"/>
          <w:szCs w:val="28"/>
          <w:highlight w:val="none"/>
          <w:lang w:val="en-US" w:eastAsia="zh-CN"/>
        </w:rPr>
        <w:t>服务期限</w:t>
      </w:r>
      <w:r>
        <w:rPr>
          <w:rFonts w:hint="default" w:ascii="仿宋_GB2312" w:eastAsia="仿宋_GB2312"/>
          <w:sz w:val="28"/>
          <w:szCs w:val="28"/>
          <w:highlight w:val="none"/>
          <w:lang w:val="en-US" w:eastAsia="zh-CN"/>
        </w:rPr>
        <w:t>：自合同签订之日起至2026年12月</w:t>
      </w:r>
      <w:r>
        <w:rPr>
          <w:rFonts w:hint="eastAsia" w:ascii="仿宋_GB2312" w:eastAsia="仿宋_GB2312"/>
          <w:sz w:val="28"/>
          <w:szCs w:val="28"/>
          <w:highlight w:val="none"/>
          <w:lang w:val="en-US" w:eastAsia="zh-CN"/>
        </w:rPr>
        <w:t>31</w:t>
      </w:r>
      <w:r>
        <w:rPr>
          <w:rFonts w:hint="default" w:ascii="仿宋_GB2312" w:eastAsia="仿宋_GB2312"/>
          <w:sz w:val="28"/>
          <w:szCs w:val="28"/>
          <w:highlight w:val="none"/>
          <w:lang w:val="en-US" w:eastAsia="zh-CN"/>
        </w:rPr>
        <w:t>日前完成</w:t>
      </w:r>
      <w:r>
        <w:rPr>
          <w:rFonts w:hint="eastAsia" w:ascii="仿宋_GB2312" w:eastAsia="仿宋_GB2312"/>
          <w:sz w:val="28"/>
          <w:szCs w:val="28"/>
          <w:highlight w:val="none"/>
          <w:lang w:val="en-US" w:eastAsia="zh-CN"/>
        </w:rPr>
        <w:t>。</w:t>
      </w:r>
    </w:p>
    <w:p w14:paraId="341E0275">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eastAsia" w:ascii="仿宋_GB2312" w:eastAsia="仿宋_GB2312"/>
          <w:sz w:val="28"/>
          <w:szCs w:val="28"/>
          <w:highlight w:val="none"/>
          <w:lang w:val="en-US" w:eastAsia="zh-CN"/>
        </w:rPr>
      </w:pPr>
      <w:r>
        <w:rPr>
          <w:rFonts w:hint="default" w:ascii="仿宋_GB2312" w:eastAsia="仿宋_GB2312"/>
          <w:sz w:val="28"/>
          <w:szCs w:val="28"/>
          <w:highlight w:val="none"/>
          <w:lang w:val="en-US" w:eastAsia="zh-CN"/>
        </w:rPr>
        <w:t>2、质量标准：符合国家现行有关行业标准</w:t>
      </w:r>
      <w:r>
        <w:rPr>
          <w:rFonts w:hint="eastAsia" w:ascii="仿宋_GB2312" w:eastAsia="仿宋_GB2312"/>
          <w:sz w:val="28"/>
          <w:szCs w:val="28"/>
          <w:highlight w:val="none"/>
          <w:lang w:val="en-US" w:eastAsia="zh-CN"/>
        </w:rPr>
        <w:t>。</w:t>
      </w:r>
    </w:p>
    <w:p w14:paraId="7627A619">
      <w:pPr>
        <w:pStyle w:val="7"/>
        <w:keepNext w:val="0"/>
        <w:keepLines w:val="0"/>
        <w:pageBreakBefore w:val="0"/>
        <w:kinsoku/>
        <w:wordWrap/>
        <w:overflowPunct/>
        <w:topLinePunct w:val="0"/>
        <w:autoSpaceDE/>
        <w:autoSpaceDN/>
        <w:bidi w:val="0"/>
        <w:adjustRightInd w:val="0"/>
        <w:snapToGrid w:val="0"/>
        <w:spacing w:line="360" w:lineRule="auto"/>
        <w:ind w:firstLine="560" w:firstLineChars="200"/>
        <w:jc w:val="both"/>
        <w:textAlignment w:val="auto"/>
        <w:rPr>
          <w:rFonts w:hint="eastAsia" w:eastAsiaTheme="minorEastAsia"/>
          <w:lang w:val="en-US" w:eastAsia="zh-CN"/>
        </w:rPr>
      </w:pPr>
      <w:r>
        <w:rPr>
          <w:rFonts w:hint="default" w:ascii="仿宋_GB2312" w:eastAsia="仿宋_GB2312"/>
          <w:sz w:val="28"/>
          <w:szCs w:val="28"/>
          <w:highlight w:val="none"/>
          <w:lang w:val="en-US" w:eastAsia="zh-CN"/>
        </w:rPr>
        <w:t>3、服务地点：西安市范围内，具体以采购人指定地点为准。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简体">
    <w:altName w:val="微软雅黑"/>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Angsana New">
    <w:altName w:val="Leelawadee UI"/>
    <w:panose1 w:val="02020603050405020304"/>
    <w:charset w:val="DE"/>
    <w:family w:val="roman"/>
    <w:pitch w:val="default"/>
    <w:sig w:usb0="00000000" w:usb1="00000000" w:usb2="00000000" w:usb3="00000000" w:csb0="0001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97437C"/>
    <w:rsid w:val="3E974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widowControl w:val="0"/>
      <w:spacing w:line="720" w:lineRule="exact"/>
      <w:outlineLvl w:val="1"/>
    </w:pPr>
    <w:rPr>
      <w:rFonts w:ascii="黑体" w:hAnsi="黑体" w:eastAsia="楷体_GB2312"/>
      <w:sz w:val="28"/>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6">
    <w:name w:val="No Spacing"/>
    <w:qFormat/>
    <w:uiPriority w:val="1"/>
    <w:pPr>
      <w:widowControl w:val="0"/>
    </w:pPr>
    <w:rPr>
      <w:rFonts w:ascii="等线" w:hAnsi="等线" w:eastAsia="等线" w:cs="Angsana New"/>
      <w:kern w:val="2"/>
      <w:sz w:val="22"/>
      <w:szCs w:val="30"/>
      <w:lang w:val="en-US" w:eastAsia="zh-CN" w:bidi="th-TH"/>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2026-09-16T02:59:00Z</dcterms:created>
  <dc:creator>陕西华采招标有限公司</dc:creator>
  <cp:lastModifiedBy>陕西华采招标有限公司</cp:lastModifiedBy>
  <dcterms:modified xsi:type="dcterms:W3CDTF">2026-09-16T03:01:22Z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A9B72917ECA04A5197420134AA3CAD41_11</vt:lpwstr>
  </property>
  <property fmtid="{D5CDD505-2E9C-101B-9397-08002B2CF9AE}" pid="4" name="KSOTemplateDocerSaveRecord">
    <vt:lpwstr>eyJoZGlkIjoiZWMxNWU5MTM1NDJhMzM3NzZlNjAyMmRiMjcyMmY4OWYiLCJ1c2VySWQiOiI5MzY1NjA0ODAifQ==</vt:lpwstr>
  </property>
</Properties>
</file>