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版本号：JXRC-260539.1.2B120260817001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核酸检测车升级多功能体检车改造项目(二次)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JXRC-260539.1.2B1</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核酸检测车升级多功能体检车改造项目(二次)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JXRC-260539.1.2B1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核酸检测车升级多功能体检车改造项目(二次)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采购包1：车载数字化医用X射线摄影系统，一套 采购包2：车体改造，一台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采购包1（车载数字化医用X射线摄影系统）：属于专门面向中小企业采购。</w:t>
      </w:r>
    </w:p>
    <w:p>
      <w:pPr>
        <w:pStyle w:val="null3"/>
      </w:pPr>
      <w:r>
        <w:rPr>
          <w:rFonts w:ascii="仿宋_GB2312" w:hAnsi="仿宋_GB2312" w:cs="仿宋_GB2312" w:eastAsia="仿宋_GB2312"/>
        </w:rPr>
        <w:t>采购包2（车体改造）：属于专门面向中小企业采购。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提供经审计的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供应商应有依法缴纳税收的良好记录：法人提供2025年11月1日以来至少一个月的纳税证明或完税证明，纳税证明或完税证明上应有代收机构或税务机关的公章或业务专用章；其他组织和自然人提供自2025年11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2025年11月1日以来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截止开标前最近连续三个月（不含开标当月）在本公司的社会保障资金缴纳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8、许可证：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p>
      <w:pPr>
        <w:pStyle w:val="null3"/>
      </w:pPr>
      <w:r>
        <w:rPr>
          <w:rFonts w:ascii="仿宋_GB2312" w:hAnsi="仿宋_GB2312" w:cs="仿宋_GB2312" w:eastAsia="仿宋_GB2312"/>
        </w:rPr>
        <w:t>9、医疗器械注册证：供应商所投产品属于医疗器械的须提供拟投产品有效的医疗器械注册证或备案凭证。</w:t>
      </w:r>
    </w:p>
    <w:p>
      <w:pPr>
        <w:pStyle w:val="null3"/>
      </w:pPr>
      <w:r>
        <w:rPr>
          <w:rFonts w:ascii="仿宋_GB2312" w:hAnsi="仿宋_GB2312" w:cs="仿宋_GB2312" w:eastAsia="仿宋_GB2312"/>
        </w:rPr>
        <w:t>10、安全许可证：提供供应商及生产商的辐射安全许可证。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提供经审计的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供应商应有依法缴纳税收的良好记录：法人提供2025年11月1日以来至少一个月的纳税证明或完税证明，纳税证明或完税证明上应有代收机构或税务机关的公章或业务专用章；其他组织和自然人提供自2025年11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2025年11月1日以来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截止开标前最近连续三个月（不含开标当月）在本公司的社会保障资金缴纳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8、许可证：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p>
      <w:pPr>
        <w:pStyle w:val="null3"/>
      </w:pPr>
      <w:r>
        <w:rPr>
          <w:rFonts w:ascii="仿宋_GB2312" w:hAnsi="仿宋_GB2312" w:cs="仿宋_GB2312" w:eastAsia="仿宋_GB2312"/>
        </w:rPr>
        <w:t>9、医疗器械注册证：供应商所投产品属于医疗器械的须提供拟投产品有效的医疗器械注册证或备案凭证。</w:t>
      </w:r>
    </w:p>
    <w:p>
      <w:pPr>
        <w:pStyle w:val="null3"/>
      </w:pPr>
      <w:r>
        <w:rPr>
          <w:rFonts w:ascii="仿宋_GB2312" w:hAnsi="仿宋_GB2312" w:cs="仿宋_GB2312" w:eastAsia="仿宋_GB2312"/>
        </w:rPr>
        <w:t>10、车辆改装资质：供应商可自行具备改装资质，如委托合规第三方改装企业实施改装，投标时提供改装单位合法有效的标识有统一社会信用代码的营业执照并提供相关改装资质。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p>
          <w:p>
            <w:pPr>
              <w:pStyle w:val="null3"/>
            </w:pPr>
            <w:r>
              <w:rPr>
                <w:rFonts w:ascii="仿宋_GB2312" w:hAnsi="仿宋_GB2312" w:cs="仿宋_GB2312" w:eastAsia="仿宋_GB2312"/>
              </w:rPr>
              <w:t>采购包2：230,000.00元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详见采购文件和合同文本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详见采购文件和合同文本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医院为更好满足职业健康监测和公共卫生应急需求，拟将闲置核酸检测车改造为集职业健康与常规体检功能于一体的多功能体检车，以打造移动健康服务平台、提升服务效率与竞争力，助力医院高质量发展。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车载数字化医用X射线摄影系统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车体改造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标的名称：车载数字化医用X射线摄影系统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性能及用途：本机具备数字</w:t>
            </w:r>
            <w:r>
              <w:rPr>
                <w:rFonts w:ascii="仿宋_GB2312" w:hAnsi="仿宋_GB2312" w:cs="仿宋_GB2312" w:eastAsia="仿宋_GB2312"/>
                <w:sz w:val="24"/>
                <w:color w:val="000000"/>
              </w:rPr>
              <w:t>DR</w:t>
            </w:r>
            <w:r>
              <w:rPr>
                <w:rFonts w:ascii="仿宋_GB2312" w:hAnsi="仿宋_GB2312" w:cs="仿宋_GB2312" w:eastAsia="仿宋_GB2312"/>
                <w:sz w:val="24"/>
                <w:color w:val="000000"/>
              </w:rPr>
              <w:t>摄影功能，主要对胸部做</w:t>
            </w:r>
            <w:r>
              <w:rPr>
                <w:rFonts w:ascii="仿宋_GB2312" w:hAnsi="仿宋_GB2312" w:cs="仿宋_GB2312" w:eastAsia="仿宋_GB2312"/>
                <w:sz w:val="24"/>
                <w:color w:val="000000"/>
              </w:rPr>
              <w:t>X</w:t>
            </w:r>
            <w:r>
              <w:rPr>
                <w:rFonts w:ascii="仿宋_GB2312" w:hAnsi="仿宋_GB2312" w:cs="仿宋_GB2312" w:eastAsia="仿宋_GB2312"/>
                <w:sz w:val="24"/>
                <w:color w:val="000000"/>
              </w:rPr>
              <w:t>射线数字摄影检查，也可以进行头颅、腹部和四肢等部位的</w:t>
            </w:r>
            <w:r>
              <w:rPr>
                <w:rFonts w:ascii="仿宋_GB2312" w:hAnsi="仿宋_GB2312" w:cs="仿宋_GB2312" w:eastAsia="仿宋_GB2312"/>
                <w:sz w:val="24"/>
                <w:color w:val="000000"/>
              </w:rPr>
              <w:t>DR</w:t>
            </w:r>
            <w:r>
              <w:rPr>
                <w:rFonts w:ascii="仿宋_GB2312" w:hAnsi="仿宋_GB2312" w:cs="仿宋_GB2312" w:eastAsia="仿宋_GB2312"/>
                <w:sz w:val="24"/>
                <w:color w:val="000000"/>
              </w:rPr>
              <w:t>摄影，适用于：医疗车、体检车、方舱、体检中心等。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配置：</w:t>
            </w:r>
          </w:p>
          <w:p>
            <w:pPr>
              <w:pStyle w:val="null3"/>
            </w:pPr>
            <w:r>
              <w:rPr>
                <w:rFonts w:ascii="仿宋_GB2312" w:hAnsi="仿宋_GB2312" w:cs="仿宋_GB2312" w:eastAsia="仿宋_GB2312"/>
                <w:sz w:val="24"/>
                <w:color w:val="000000"/>
              </w:rPr>
              <w:t xml:space="preserve">2.1. </w:t>
            </w:r>
            <w:r>
              <w:rPr>
                <w:rFonts w:ascii="仿宋_GB2312" w:hAnsi="仿宋_GB2312" w:cs="仿宋_GB2312" w:eastAsia="仿宋_GB2312"/>
                <w:sz w:val="24"/>
                <w:color w:val="000000"/>
              </w:rPr>
              <w:t>高压发生装置：</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2.2. X</w:t>
            </w:r>
            <w:r>
              <w:rPr>
                <w:rFonts w:ascii="仿宋_GB2312" w:hAnsi="仿宋_GB2312" w:cs="仿宋_GB2312" w:eastAsia="仿宋_GB2312"/>
                <w:sz w:val="24"/>
                <w:color w:val="000000"/>
              </w:rPr>
              <w:t>射线管组件：</w:t>
            </w:r>
            <w:r>
              <w:rPr>
                <w:rFonts w:ascii="仿宋_GB2312" w:hAnsi="仿宋_GB2312" w:cs="仿宋_GB2312" w:eastAsia="仿宋_GB2312"/>
                <w:sz w:val="24"/>
                <w:color w:val="000000"/>
              </w:rPr>
              <w:t>1</w:t>
            </w:r>
            <w:r>
              <w:rPr>
                <w:rFonts w:ascii="仿宋_GB2312" w:hAnsi="仿宋_GB2312" w:cs="仿宋_GB2312" w:eastAsia="仿宋_GB2312"/>
                <w:sz w:val="24"/>
                <w:color w:val="000000"/>
              </w:rPr>
              <w:t>只</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 xml:space="preserve">2.3. </w:t>
            </w:r>
            <w:r>
              <w:rPr>
                <w:rFonts w:ascii="仿宋_GB2312" w:hAnsi="仿宋_GB2312" w:cs="仿宋_GB2312" w:eastAsia="仿宋_GB2312"/>
                <w:sz w:val="24"/>
                <w:color w:val="000000"/>
              </w:rPr>
              <w:t>限束器：</w:t>
            </w:r>
            <w:r>
              <w:rPr>
                <w:rFonts w:ascii="仿宋_GB2312" w:hAnsi="仿宋_GB2312" w:cs="仿宋_GB2312" w:eastAsia="仿宋_GB2312"/>
                <w:sz w:val="24"/>
                <w:color w:val="000000"/>
              </w:rPr>
              <w:t>1</w:t>
            </w:r>
            <w:r>
              <w:rPr>
                <w:rFonts w:ascii="仿宋_GB2312" w:hAnsi="仿宋_GB2312" w:cs="仿宋_GB2312" w:eastAsia="仿宋_GB2312"/>
                <w:sz w:val="24"/>
                <w:color w:val="000000"/>
              </w:rPr>
              <w:t>只</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color w:val="000000"/>
              </w:rPr>
              <w:t xml:space="preserve">2.4. </w:t>
            </w:r>
            <w:r>
              <w:rPr>
                <w:rFonts w:ascii="仿宋_GB2312" w:hAnsi="仿宋_GB2312" w:cs="仿宋_GB2312" w:eastAsia="仿宋_GB2312"/>
                <w:sz w:val="24"/>
                <w:color w:val="000000"/>
              </w:rPr>
              <w:t>球管立柱：</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color w:val="000000"/>
              </w:rPr>
              <w:t xml:space="preserve">2.5. </w:t>
            </w:r>
            <w:r>
              <w:rPr>
                <w:rFonts w:ascii="仿宋_GB2312" w:hAnsi="仿宋_GB2312" w:cs="仿宋_GB2312" w:eastAsia="仿宋_GB2312"/>
                <w:sz w:val="24"/>
                <w:color w:val="000000"/>
              </w:rPr>
              <w:t>平板探测器：</w:t>
            </w:r>
            <w:r>
              <w:rPr>
                <w:rFonts w:ascii="仿宋_GB2312" w:hAnsi="仿宋_GB2312" w:cs="仿宋_GB2312" w:eastAsia="仿宋_GB2312"/>
                <w:sz w:val="24"/>
                <w:color w:val="000000"/>
              </w:rPr>
              <w:t>1</w:t>
            </w:r>
            <w:r>
              <w:rPr>
                <w:rFonts w:ascii="仿宋_GB2312" w:hAnsi="仿宋_GB2312" w:cs="仿宋_GB2312" w:eastAsia="仿宋_GB2312"/>
                <w:sz w:val="24"/>
                <w:color w:val="000000"/>
              </w:rPr>
              <w:t>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color w:val="000000"/>
              </w:rPr>
              <w:t xml:space="preserve">2.6. </w:t>
            </w:r>
            <w:r>
              <w:rPr>
                <w:rFonts w:ascii="仿宋_GB2312" w:hAnsi="仿宋_GB2312" w:cs="仿宋_GB2312" w:eastAsia="仿宋_GB2312"/>
                <w:sz w:val="24"/>
                <w:color w:val="000000"/>
              </w:rPr>
              <w:t>胸片架</w:t>
            </w:r>
            <w:r>
              <w:rPr>
                <w:rFonts w:ascii="仿宋_GB2312" w:hAnsi="仿宋_GB2312" w:cs="仿宋_GB2312" w:eastAsia="仿宋_GB2312"/>
                <w:sz w:val="24"/>
                <w:color w:val="000000"/>
              </w:rPr>
              <w:t>: 1</w:t>
            </w:r>
            <w:r>
              <w:rPr>
                <w:rFonts w:ascii="仿宋_GB2312" w:hAnsi="仿宋_GB2312" w:cs="仿宋_GB2312" w:eastAsia="仿宋_GB2312"/>
                <w:sz w:val="24"/>
                <w:color w:val="000000"/>
              </w:rPr>
              <w:t>台</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color w:val="000000"/>
              </w:rPr>
              <w:t xml:space="preserve">2.7. </w:t>
            </w:r>
            <w:r>
              <w:rPr>
                <w:rFonts w:ascii="仿宋_GB2312" w:hAnsi="仿宋_GB2312" w:cs="仿宋_GB2312" w:eastAsia="仿宋_GB2312"/>
                <w:sz w:val="24"/>
                <w:color w:val="000000"/>
              </w:rPr>
              <w:t>采集工作站</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高频高压发生器</w:t>
            </w:r>
          </w:p>
          <w:p>
            <w:pPr>
              <w:pStyle w:val="null3"/>
            </w:pPr>
            <w:r>
              <w:rPr>
                <w:rFonts w:ascii="仿宋_GB2312" w:hAnsi="仿宋_GB2312" w:cs="仿宋_GB2312" w:eastAsia="仿宋_GB2312"/>
                <w:sz w:val="24"/>
                <w:color w:val="000000"/>
              </w:rPr>
              <w:t>3.1.</w:t>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50kW</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color w:val="000000"/>
              </w:rPr>
              <w:t>3.2</w:t>
            </w:r>
            <w:r>
              <w:rPr>
                <w:rFonts w:ascii="仿宋_GB2312" w:hAnsi="仿宋_GB2312" w:cs="仿宋_GB2312" w:eastAsia="仿宋_GB2312"/>
                <w:sz w:val="24"/>
                <w:color w:val="000000"/>
              </w:rPr>
              <w:t>输入电源：单项</w:t>
            </w:r>
            <w:r>
              <w:rPr>
                <w:rFonts w:ascii="仿宋_GB2312" w:hAnsi="仿宋_GB2312" w:cs="仿宋_GB2312" w:eastAsia="仿宋_GB2312"/>
                <w:sz w:val="24"/>
                <w:color w:val="000000"/>
              </w:rPr>
              <w:t>220V</w:t>
            </w:r>
            <w:r>
              <w:rPr>
                <w:rFonts w:ascii="仿宋_GB2312" w:hAnsi="仿宋_GB2312" w:cs="仿宋_GB2312" w:eastAsia="仿宋_GB2312"/>
                <w:sz w:val="24"/>
                <w:color w:val="000000"/>
              </w:rPr>
              <w:t>，配备电容储能系统。</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color w:val="000000"/>
              </w:rPr>
              <w:t>3.3.</w:t>
            </w:r>
            <w:r>
              <w:rPr>
                <w:rFonts w:ascii="仿宋_GB2312" w:hAnsi="仿宋_GB2312" w:cs="仿宋_GB2312" w:eastAsia="仿宋_GB2312"/>
                <w:sz w:val="24"/>
                <w:color w:val="000000"/>
              </w:rPr>
              <w:t>主逆变频率：≥500kHz</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摄影</w:t>
            </w:r>
          </w:p>
          <w:p>
            <w:pPr>
              <w:pStyle w:val="null3"/>
            </w:pPr>
            <w:r>
              <w:rPr>
                <w:rFonts w:ascii="仿宋_GB2312" w:hAnsi="仿宋_GB2312" w:cs="仿宋_GB2312" w:eastAsia="仿宋_GB2312"/>
                <w:sz w:val="24"/>
                <w:color w:val="000000"/>
              </w:rPr>
              <w:t>3.4.1.</w:t>
            </w:r>
            <w:r>
              <w:rPr>
                <w:rFonts w:ascii="仿宋_GB2312" w:hAnsi="仿宋_GB2312" w:cs="仿宋_GB2312" w:eastAsia="仿宋_GB2312"/>
                <w:sz w:val="24"/>
                <w:color w:val="000000"/>
              </w:rPr>
              <w:t>最大摄影管电压：≥150kv</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 xml:space="preserve">3.4.2. </w:t>
            </w:r>
            <w:r>
              <w:rPr>
                <w:rFonts w:ascii="仿宋_GB2312" w:hAnsi="仿宋_GB2312" w:cs="仿宋_GB2312" w:eastAsia="仿宋_GB2312"/>
                <w:sz w:val="24"/>
                <w:color w:val="000000"/>
              </w:rPr>
              <w:t>最大摄影管电流：≥630mA</w:t>
            </w:r>
          </w:p>
          <w:p>
            <w:pPr>
              <w:pStyle w:val="null3"/>
            </w:pP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4.  X</w:t>
            </w:r>
            <w:r>
              <w:rPr>
                <w:rFonts w:ascii="仿宋_GB2312" w:hAnsi="仿宋_GB2312" w:cs="仿宋_GB2312" w:eastAsia="仿宋_GB2312"/>
                <w:sz w:val="24"/>
                <w:color w:val="000000"/>
              </w:rPr>
              <w:t>射线管组件</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4.1.</w:t>
            </w:r>
            <w:r>
              <w:rPr>
                <w:rFonts w:ascii="仿宋_GB2312" w:hAnsi="仿宋_GB2312" w:cs="仿宋_GB2312" w:eastAsia="仿宋_GB2312"/>
                <w:sz w:val="24"/>
                <w:color w:val="000000"/>
              </w:rPr>
              <w:t>阳极热容量：≥300KHU</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4"/>
                <w:color w:val="000000"/>
              </w:rPr>
              <w:t xml:space="preserve">4.2. </w:t>
            </w:r>
            <w:r>
              <w:rPr>
                <w:rFonts w:ascii="仿宋_GB2312" w:hAnsi="仿宋_GB2312" w:cs="仿宋_GB2312" w:eastAsia="仿宋_GB2312"/>
                <w:sz w:val="24"/>
                <w:color w:val="000000"/>
              </w:rPr>
              <w:t>旋转阳极速度：≥2700rpm</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4"/>
                <w:color w:val="000000"/>
              </w:rPr>
              <w:t xml:space="preserve">4.3. </w:t>
            </w:r>
            <w:r>
              <w:rPr>
                <w:rFonts w:ascii="仿宋_GB2312" w:hAnsi="仿宋_GB2312" w:cs="仿宋_GB2312" w:eastAsia="仿宋_GB2312"/>
                <w:sz w:val="24"/>
                <w:color w:val="000000"/>
              </w:rPr>
              <w:t>球管焦点：大焦≥1.2mm，小焦≤0.6mm</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4"/>
                <w:color w:val="000000"/>
              </w:rPr>
              <w:t>4.4.</w:t>
            </w:r>
            <w:r>
              <w:rPr>
                <w:rFonts w:ascii="仿宋_GB2312" w:hAnsi="仿宋_GB2312" w:cs="仿宋_GB2312" w:eastAsia="仿宋_GB2312"/>
                <w:sz w:val="24"/>
                <w:color w:val="000000"/>
              </w:rPr>
              <w:t>输出功率：大焦点≤50kW ，小焦点≥20kW</w:t>
            </w:r>
          </w:p>
          <w:p>
            <w:pPr>
              <w:pStyle w:val="null3"/>
            </w:pP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平板探测器</w:t>
            </w:r>
          </w:p>
          <w:p>
            <w:pPr>
              <w:pStyle w:val="null3"/>
            </w:pPr>
            <w:r>
              <w:rPr>
                <w:rFonts w:ascii="仿宋_GB2312" w:hAnsi="仿宋_GB2312" w:cs="仿宋_GB2312" w:eastAsia="仿宋_GB2312"/>
                <w:sz w:val="24"/>
              </w:rPr>
              <w:t>▲</w:t>
            </w:r>
            <w:r>
              <w:rPr>
                <w:rFonts w:ascii="仿宋_GB2312" w:hAnsi="仿宋_GB2312" w:cs="仿宋_GB2312" w:eastAsia="仿宋_GB2312"/>
                <w:sz w:val="24"/>
                <w:color w:val="000000"/>
              </w:rPr>
              <w:t xml:space="preserve">5.1. </w:t>
            </w:r>
            <w:r>
              <w:rPr>
                <w:rFonts w:ascii="仿宋_GB2312" w:hAnsi="仿宋_GB2312" w:cs="仿宋_GB2312" w:eastAsia="仿宋_GB2312"/>
                <w:sz w:val="24"/>
                <w:color w:val="000000"/>
              </w:rPr>
              <w:t>空间分辨率：≥3.7lp/mm</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4"/>
                <w:color w:val="000000"/>
              </w:rPr>
              <w:t xml:space="preserve">5.2. </w:t>
            </w:r>
            <w:r>
              <w:rPr>
                <w:rFonts w:ascii="仿宋_GB2312" w:hAnsi="仿宋_GB2312" w:cs="仿宋_GB2312" w:eastAsia="仿宋_GB2312"/>
                <w:sz w:val="24"/>
                <w:color w:val="000000"/>
              </w:rPr>
              <w:t>有效探测面积：≥425mm(H)×425mm(V)</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4"/>
                <w:color w:val="000000"/>
              </w:rPr>
              <w:t>5.3.</w:t>
            </w:r>
            <w:r>
              <w:rPr>
                <w:rFonts w:ascii="仿宋_GB2312" w:hAnsi="仿宋_GB2312" w:cs="仿宋_GB2312" w:eastAsia="仿宋_GB2312"/>
                <w:sz w:val="24"/>
                <w:color w:val="000000"/>
              </w:rPr>
              <w:t>相素矩阵：≥3040(H)×3036(V)</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4"/>
                <w:color w:val="000000"/>
              </w:rPr>
              <w:t>5.4.</w:t>
            </w:r>
            <w:r>
              <w:rPr>
                <w:rFonts w:ascii="仿宋_GB2312" w:hAnsi="仿宋_GB2312" w:cs="仿宋_GB2312" w:eastAsia="仿宋_GB2312"/>
                <w:sz w:val="24"/>
                <w:color w:val="000000"/>
              </w:rPr>
              <w:t>相素大小：≤140μm</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4"/>
                <w:color w:val="000000"/>
              </w:rPr>
              <w:t>5.5. A/D</w:t>
            </w:r>
            <w:r>
              <w:rPr>
                <w:rFonts w:ascii="仿宋_GB2312" w:hAnsi="仿宋_GB2312" w:cs="仿宋_GB2312" w:eastAsia="仿宋_GB2312"/>
                <w:sz w:val="24"/>
                <w:color w:val="000000"/>
              </w:rPr>
              <w:t>转换：≥16bit</w:t>
            </w:r>
          </w:p>
          <w:p>
            <w:pPr>
              <w:pStyle w:val="null3"/>
            </w:pP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4"/>
                <w:color w:val="000000"/>
              </w:rPr>
              <w:t xml:space="preserve">6. </w:t>
            </w:r>
            <w:r>
              <w:rPr>
                <w:rFonts w:ascii="仿宋_GB2312" w:hAnsi="仿宋_GB2312" w:cs="仿宋_GB2312" w:eastAsia="仿宋_GB2312"/>
                <w:sz w:val="24"/>
                <w:color w:val="000000"/>
              </w:rPr>
              <w:t>胸片架</w:t>
            </w:r>
          </w:p>
          <w:p>
            <w:pPr>
              <w:pStyle w:val="null3"/>
            </w:pPr>
            <w:r>
              <w:rPr>
                <w:rFonts w:ascii="仿宋_GB2312" w:hAnsi="仿宋_GB2312" w:cs="仿宋_GB2312" w:eastAsia="仿宋_GB2312"/>
                <w:sz w:val="24"/>
                <w:color w:val="000000"/>
              </w:rPr>
              <w:t xml:space="preserve">6.1. </w:t>
            </w:r>
            <w:r>
              <w:rPr>
                <w:rFonts w:ascii="仿宋_GB2312" w:hAnsi="仿宋_GB2312" w:cs="仿宋_GB2312" w:eastAsia="仿宋_GB2312"/>
                <w:sz w:val="24"/>
                <w:color w:val="000000"/>
              </w:rPr>
              <w:t>承装探测器的尺寸：17X17英寸</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4"/>
                <w:color w:val="000000"/>
              </w:rPr>
              <w:t xml:space="preserve">6.2. </w:t>
            </w:r>
            <w:r>
              <w:rPr>
                <w:rFonts w:ascii="仿宋_GB2312" w:hAnsi="仿宋_GB2312" w:cs="仿宋_GB2312" w:eastAsia="仿宋_GB2312"/>
                <w:sz w:val="24"/>
                <w:color w:val="000000"/>
              </w:rPr>
              <w:t>胸片架上下移行程：≥300mm</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 xml:space="preserve">6.3. </w:t>
            </w:r>
            <w:r>
              <w:rPr>
                <w:rFonts w:ascii="仿宋_GB2312" w:hAnsi="仿宋_GB2312" w:cs="仿宋_GB2312" w:eastAsia="仿宋_GB2312"/>
                <w:sz w:val="24"/>
                <w:color w:val="000000"/>
              </w:rPr>
              <w:t>滤线栅：栅焦距180cm，栅比≥10：1</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4"/>
                <w:color w:val="000000"/>
              </w:rPr>
              <w:t xml:space="preserve">7. </w:t>
            </w:r>
            <w:r>
              <w:rPr>
                <w:rFonts w:ascii="仿宋_GB2312" w:hAnsi="仿宋_GB2312" w:cs="仿宋_GB2312" w:eastAsia="仿宋_GB2312"/>
                <w:sz w:val="24"/>
                <w:color w:val="000000"/>
              </w:rPr>
              <w:t>球管立柱：X射线源组件上下行程：≥300mm</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数字化摄影X射线系统</w:t>
            </w:r>
          </w:p>
          <w:p>
            <w:pPr>
              <w:pStyle w:val="null3"/>
            </w:pP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4"/>
                <w:color w:val="000000"/>
              </w:rPr>
              <w:t xml:space="preserve">8.1. </w:t>
            </w:r>
            <w:r>
              <w:rPr>
                <w:rFonts w:ascii="仿宋_GB2312" w:hAnsi="仿宋_GB2312" w:cs="仿宋_GB2312" w:eastAsia="仿宋_GB2312"/>
                <w:sz w:val="24"/>
                <w:color w:val="000000"/>
              </w:rPr>
              <w:t>病历管理：待检查病人搜索；待检查列表刷新；新增患者信息；删除待检查；修改显示信息；常规登记患者；急诊登记患者；已检查病人显示与搜索；删除已检查病历；浏览图像；重新检查；图像归档和刻录；</w:t>
            </w:r>
          </w:p>
          <w:p>
            <w:pPr>
              <w:pStyle w:val="null3"/>
            </w:pPr>
            <w:r>
              <w:rPr>
                <w:rFonts w:ascii="仿宋_GB2312" w:hAnsi="仿宋_GB2312" w:cs="仿宋_GB2312" w:eastAsia="仿宋_GB2312"/>
                <w:sz w:val="24"/>
                <w:color w:val="000000"/>
              </w:rPr>
              <w:t>图像采集：曝光参数设置；曝光指示及报错复位；高压参数设置；患者体型；床台选择；焦点选择；曝光模式选择；修改检查信息；当前检查新增协议；当前检查增加检查项目；</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4"/>
                <w:color w:val="000000"/>
              </w:rPr>
              <w:t>8.2</w:t>
            </w:r>
            <w:r>
              <w:rPr>
                <w:rFonts w:ascii="仿宋_GB2312" w:hAnsi="仿宋_GB2312" w:cs="仿宋_GB2312" w:eastAsia="仿宋_GB2312"/>
                <w:sz w:val="24"/>
                <w:color w:val="000000"/>
              </w:rPr>
              <w:t>图像处理：上下翻转；左右翻转；逆时针旋转90°；顺时针旋转90°；任意角度旋转；窗宽窗位；默认窗宽窗位； ROI感兴趣区域窗宽窗位；图像反色；图像拼接；删除当前图像；缩放；高级处理；重置；作废；角度测量；距离测量；点灰度值； ROI放大镜；局部放大镜；图像信息隐藏显示；箭头标记；复制图像；图像粘贴；显示校正；全屏对比；反色对比；图像放大工具；图像缩小工具；自适应显示；实际大小显示；平移图像；左右标记；文本标注；图像裁剪；固定区域裁剪；圆形裁剪；删除标记；</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4"/>
                <w:color w:val="000000"/>
              </w:rPr>
              <w:t>8.3</w:t>
            </w:r>
            <w:r>
              <w:rPr>
                <w:rFonts w:ascii="仿宋_GB2312" w:hAnsi="仿宋_GB2312" w:cs="仿宋_GB2312" w:eastAsia="仿宋_GB2312"/>
                <w:sz w:val="24"/>
                <w:color w:val="000000"/>
              </w:rPr>
              <w:t>图像输出：报告编辑；报告打印；图像归档；图像刻录；图像导出；图像打印；自动打印；自定义打印；</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4"/>
                <w:color w:val="000000"/>
              </w:rPr>
              <w:t>8.4</w:t>
            </w:r>
            <w:r>
              <w:rPr>
                <w:rFonts w:ascii="仿宋_GB2312" w:hAnsi="仿宋_GB2312" w:cs="仿宋_GB2312" w:eastAsia="仿宋_GB2312"/>
                <w:sz w:val="24"/>
                <w:color w:val="000000"/>
              </w:rPr>
              <w:t>系统管理：系统配置；工作列表配置；存储配置；打印配置；注释信息；工具配置；检查管理；质量管理；用户管理；密码修改；</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4"/>
                <w:color w:val="000000"/>
              </w:rPr>
              <w:t>8.5</w:t>
            </w:r>
            <w:r>
              <w:rPr>
                <w:rFonts w:ascii="仿宋_GB2312" w:hAnsi="仿宋_GB2312" w:cs="仿宋_GB2312" w:eastAsia="仿宋_GB2312"/>
                <w:sz w:val="24"/>
                <w:color w:val="000000"/>
              </w:rPr>
              <w:t>配备工作站要求：</w:t>
            </w:r>
            <w:r>
              <w:rPr>
                <w:rFonts w:ascii="仿宋_GB2312" w:hAnsi="仿宋_GB2312" w:cs="仿宋_GB2312" w:eastAsia="仿宋_GB2312"/>
                <w:sz w:val="24"/>
                <w:color w:val="000000"/>
              </w:rPr>
              <w:t>CPU</w:t>
            </w:r>
            <w:r>
              <w:rPr>
                <w:rFonts w:ascii="仿宋_GB2312" w:hAnsi="仿宋_GB2312" w:cs="仿宋_GB2312" w:eastAsia="仿宋_GB2312"/>
                <w:sz w:val="24"/>
                <w:color w:val="000000"/>
              </w:rPr>
              <w:t>＞</w:t>
            </w:r>
            <w:r>
              <w:rPr>
                <w:rFonts w:ascii="仿宋_GB2312" w:hAnsi="仿宋_GB2312" w:cs="仿宋_GB2312" w:eastAsia="仿宋_GB2312"/>
                <w:sz w:val="24"/>
                <w:color w:val="000000"/>
              </w:rPr>
              <w:t>3.0G</w:t>
            </w:r>
            <w:r>
              <w:rPr>
                <w:rFonts w:ascii="仿宋_GB2312" w:hAnsi="仿宋_GB2312" w:cs="仿宋_GB2312" w:eastAsia="仿宋_GB2312"/>
                <w:sz w:val="24"/>
                <w:color w:val="000000"/>
              </w:rPr>
              <w:t>，处理器＞</w:t>
            </w:r>
            <w:r>
              <w:rPr>
                <w:rFonts w:ascii="仿宋_GB2312" w:hAnsi="仿宋_GB2312" w:cs="仿宋_GB2312" w:eastAsia="仿宋_GB2312"/>
                <w:sz w:val="24"/>
                <w:color w:val="000000"/>
              </w:rPr>
              <w:t>i5</w:t>
            </w:r>
            <w:r>
              <w:rPr>
                <w:rFonts w:ascii="仿宋_GB2312" w:hAnsi="仿宋_GB2312" w:cs="仿宋_GB2312" w:eastAsia="仿宋_GB2312"/>
                <w:sz w:val="24"/>
                <w:color w:val="000000"/>
              </w:rPr>
              <w:t>，硬盘＞</w:t>
            </w:r>
            <w:r>
              <w:rPr>
                <w:rFonts w:ascii="仿宋_GB2312" w:hAnsi="仿宋_GB2312" w:cs="仿宋_GB2312" w:eastAsia="仿宋_GB2312"/>
                <w:sz w:val="24"/>
                <w:color w:val="000000"/>
              </w:rPr>
              <w:t>1T</w:t>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16G</w:t>
            </w:r>
            <w:r>
              <w:rPr>
                <w:rFonts w:ascii="仿宋_GB2312" w:hAnsi="仿宋_GB2312" w:cs="仿宋_GB2312" w:eastAsia="仿宋_GB2312"/>
                <w:sz w:val="24"/>
                <w:color w:val="000000"/>
              </w:rPr>
              <w:t>，≥</w:t>
            </w:r>
            <w:r>
              <w:rPr>
                <w:rFonts w:ascii="仿宋_GB2312" w:hAnsi="仿宋_GB2312" w:cs="仿宋_GB2312" w:eastAsia="仿宋_GB2312"/>
                <w:sz w:val="24"/>
                <w:color w:val="000000"/>
              </w:rPr>
              <w:t>23</w:t>
            </w:r>
            <w:r>
              <w:rPr>
                <w:rFonts w:ascii="仿宋_GB2312" w:hAnsi="仿宋_GB2312" w:cs="仿宋_GB2312" w:eastAsia="仿宋_GB2312"/>
                <w:sz w:val="24"/>
                <w:color w:val="000000"/>
              </w:rPr>
              <w:t>寸液晶显示器</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台，彩色打印机</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4"/>
                <w:color w:val="000000"/>
              </w:rPr>
              <w:t>8.6</w:t>
            </w:r>
            <w:r>
              <w:rPr>
                <w:rFonts w:ascii="仿宋_GB2312" w:hAnsi="仿宋_GB2312" w:cs="仿宋_GB2312" w:eastAsia="仿宋_GB2312"/>
                <w:sz w:val="24"/>
                <w:color w:val="000000"/>
              </w:rPr>
              <w:t>标准</w:t>
            </w:r>
            <w:r>
              <w:rPr>
                <w:rFonts w:ascii="仿宋_GB2312" w:hAnsi="仿宋_GB2312" w:cs="仿宋_GB2312" w:eastAsia="仿宋_GB2312"/>
                <w:sz w:val="24"/>
                <w:color w:val="000000"/>
              </w:rPr>
              <w:t xml:space="preserve">DICOM Print </w:t>
            </w:r>
            <w:r>
              <w:rPr>
                <w:rFonts w:ascii="仿宋_GB2312" w:hAnsi="仿宋_GB2312" w:cs="仿宋_GB2312" w:eastAsia="仿宋_GB2312"/>
                <w:sz w:val="24"/>
                <w:color w:val="000000"/>
              </w:rPr>
              <w:t>接口，支持多种尺寸胶片打印。</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所投产品的平板探测器与球管为进口品牌</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防护用品（铅衣、铅帽、铅围裙）≥3套，铅衣架1个</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网络对接：实现图文工作站与我院现有影像系统对接，实现传输或通过介质传输。</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标的名称：车体改造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一、旧舱体改造</w:t>
            </w:r>
          </w:p>
          <w:p>
            <w:pPr>
              <w:pStyle w:val="null3"/>
            </w:pPr>
            <w:r>
              <w:rPr>
                <w:rFonts w:ascii="仿宋_GB2312" w:hAnsi="仿宋_GB2312" w:cs="仿宋_GB2312" w:eastAsia="仿宋_GB2312"/>
                <w:sz w:val="24"/>
                <w:color w:val="000000"/>
              </w:rPr>
              <w:t>箱体体检车车体改造（车体长度以实际测量为主）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选择其中2个舱门为整舱的入舱和出舱门，并对其余舱门进行封闭处理，内部固定，焊接锁死。</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登舱及出舱门口台阶改造。</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对舱内所有隔断，设备，操作平台，储物架等进行拆除，并重新焊接舱内部骨架预埋。</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对整车地板进行改造，重新铺设整舱环保材质地板革，材质为PVC塑胶地板革。</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对整个舱内饰墙体进行改造，内部铺设环保材质铝塑板墙体。</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对舱顶空调出风口位置进行重新布局，对响应工作区域预留通风出口，</w:t>
            </w:r>
            <w:r>
              <w:rPr>
                <w:rFonts w:ascii="仿宋_GB2312" w:hAnsi="仿宋_GB2312" w:cs="仿宋_GB2312" w:eastAsia="仿宋_GB2312"/>
                <w:sz w:val="24"/>
                <w:color w:val="000000"/>
              </w:rPr>
              <w:t>实现车内通风及空调制冷系统正常运行且达到国家要求。</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spacing w:after="120"/>
            </w:pPr>
            <w:r>
              <w:rPr>
                <w:rFonts w:ascii="仿宋_GB2312" w:hAnsi="仿宋_GB2312" w:cs="仿宋_GB2312" w:eastAsia="仿宋_GB2312"/>
                <w:sz w:val="24"/>
                <w:color w:val="000000"/>
              </w:rPr>
              <w:t>7.对车外立面进行喷涂改装，按要求喷涂相应标识。</w:t>
            </w:r>
          </w:p>
          <w:p>
            <w:pPr>
              <w:pStyle w:val="null3"/>
            </w:pP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color w:val="000000"/>
              </w:rPr>
              <w:t>二、铅防护机房改造</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）防护标准：X线防护水平符合《放射诊断放射防护要求》（GBZ130-2020）内的要求；</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）防护措施：机房六面采用高密度铅全面防护，防护当量≥3mm/pb，铅板接缝交叠固定，射线照射方向背离X线操作台；</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）推拉铅防护门（达到射线防护要求），带船舱移门锁，操作台一侧设置铅玻璃观察窗；</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）机房前、后门安装射线警示红灯和电离辐射警示标志；</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）车载专用X光操作台，安装X光操作台对防护机房对讲系统；</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）铅房内安装底置空调系统；</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）铅房内设置视频观察系统1套；</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）紫外线消毒灯1盏；</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spacing w:after="120"/>
            </w:pPr>
            <w:r>
              <w:rPr>
                <w:rFonts w:ascii="仿宋_GB2312" w:hAnsi="仿宋_GB2312" w:cs="仿宋_GB2312" w:eastAsia="仿宋_GB2312"/>
                <w:sz w:val="24"/>
                <w:color w:val="000000"/>
              </w:rPr>
              <w:t>9</w:t>
            </w:r>
            <w:r>
              <w:rPr>
                <w:rFonts w:ascii="仿宋_GB2312" w:hAnsi="仿宋_GB2312" w:cs="仿宋_GB2312" w:eastAsia="仿宋_GB2312"/>
                <w:sz w:val="24"/>
                <w:color w:val="000000"/>
              </w:rPr>
              <w:t>）DR工作台，实木多层板材结构，柜体与整体效果保持一致；</w:t>
            </w:r>
          </w:p>
          <w:p>
            <w:pPr>
              <w:pStyle w:val="null3"/>
            </w:pP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配备对讲系统。</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4"/>
                <w:b/>
                <w:color w:val="000000"/>
              </w:rPr>
              <w:t>三、超声、心电房改造</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前、后通顶半隔断墙，宽度≤1.2米，高度与内饰顶相配。隔墙内部为钢制骨架焊接，两面木板封闭，骨架空位填接泡棉，预留设备固定预埋及插座、网络接口位置。</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检查床，木质板材结构，上部为床铺软垫，下部为带平开门的储物柜，至少2张。</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操作台，木质板材结构，顶部为设备操作台面，至少2个。</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spacing w:after="120"/>
            </w:pPr>
            <w:r>
              <w:rPr>
                <w:rFonts w:ascii="仿宋_GB2312" w:hAnsi="仿宋_GB2312" w:cs="仿宋_GB2312" w:eastAsia="仿宋_GB2312"/>
                <w:sz w:val="24"/>
                <w:color w:val="000000"/>
              </w:rPr>
              <w:t>4.</w:t>
            </w:r>
            <w:r>
              <w:rPr>
                <w:rFonts w:ascii="仿宋_GB2312" w:hAnsi="仿宋_GB2312" w:cs="仿宋_GB2312" w:eastAsia="仿宋_GB2312"/>
                <w:sz w:val="24"/>
                <w:color w:val="000000"/>
              </w:rPr>
              <w:t>围帘，隔墙中间固定一套围帘，配合检查床。</w:t>
            </w:r>
          </w:p>
          <w:p>
            <w:pPr>
              <w:pStyle w:val="null3"/>
            </w:pP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设置医生工作椅2套。</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4"/>
                <w:b/>
                <w:color w:val="000000"/>
              </w:rPr>
              <w:t>四、妇科检查区</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具备独立空间，设置钢制骨架隔墙，木板封闭两面。</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隔墙上安装一套平开门。</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spacing w:after="120"/>
            </w:pPr>
            <w:r>
              <w:rPr>
                <w:rFonts w:ascii="仿宋_GB2312" w:hAnsi="仿宋_GB2312" w:cs="仿宋_GB2312" w:eastAsia="仿宋_GB2312"/>
                <w:sz w:val="24"/>
                <w:color w:val="000000"/>
              </w:rPr>
              <w:t>3.</w:t>
            </w:r>
            <w:r>
              <w:rPr>
                <w:rFonts w:ascii="仿宋_GB2312" w:hAnsi="仿宋_GB2312" w:cs="仿宋_GB2312" w:eastAsia="仿宋_GB2312"/>
                <w:sz w:val="24"/>
                <w:color w:val="000000"/>
              </w:rPr>
              <w:t>操作台，木质板材结构，顶部为设备操作台面，下部设置有储物空间。</w:t>
            </w:r>
          </w:p>
          <w:p>
            <w:pPr>
              <w:pStyle w:val="null3"/>
            </w:pP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设置医生工作椅1套，配备表面皮质软垫的妇科检查床1套（要求检查床可平放，平时变换为普通检查床使用）。</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4"/>
                <w:b/>
                <w:color w:val="000000"/>
              </w:rPr>
              <w:t>五、检查功能区</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包含主检区，采血区，眼科工作区，共三套工作台，材质为环保板材。</w:t>
            </w:r>
          </w:p>
        </w:tc>
      </w:tr>
      <w:tr>
        <w:tc>
          <w:tcPr>
            <w:tcW w:type="dxa" w:w="2769"/>
          </w:tcPr>
          <w:p>
            <w:pPr>
              <w:pStyle w:val="null3"/>
            </w:pPr>
            <w:r>
              <w:rPr>
                <w:rFonts w:ascii="仿宋_GB2312" w:hAnsi="仿宋_GB2312" w:cs="仿宋_GB2312" w:eastAsia="仿宋_GB2312"/>
              </w:rPr>
              <w:t>29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采血区包含50L医用储血冰箱1套（配备车载电源接口）。</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眼科检测区设置有电子视力表1套，配备色盲图谱1套；</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spacing w:after="120"/>
            </w:pPr>
            <w:r>
              <w:rPr>
                <w:rFonts w:ascii="仿宋_GB2312" w:hAnsi="仿宋_GB2312" w:cs="仿宋_GB2312" w:eastAsia="仿宋_GB2312"/>
                <w:sz w:val="24"/>
                <w:color w:val="000000"/>
              </w:rPr>
              <w:t>4.</w:t>
            </w:r>
            <w:r>
              <w:rPr>
                <w:rFonts w:ascii="仿宋_GB2312" w:hAnsi="仿宋_GB2312" w:cs="仿宋_GB2312" w:eastAsia="仿宋_GB2312"/>
                <w:sz w:val="24"/>
                <w:color w:val="000000"/>
              </w:rPr>
              <w:t>各功能区均包含医生工作椅2张，高度可调节。</w:t>
            </w:r>
          </w:p>
          <w:p>
            <w:pPr>
              <w:pStyle w:val="null3"/>
            </w:pPr>
          </w:p>
        </w:tc>
      </w:tr>
      <w:tr>
        <w:tc>
          <w:tcPr>
            <w:tcW w:type="dxa" w:w="2769"/>
          </w:tcPr>
          <w:p>
            <w:pPr>
              <w:pStyle w:val="null3"/>
            </w:pPr>
            <w:r>
              <w:rPr>
                <w:rFonts w:ascii="仿宋_GB2312" w:hAnsi="仿宋_GB2312" w:cs="仿宋_GB2312" w:eastAsia="仿宋_GB2312"/>
              </w:rPr>
              <w:t>32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多功能检查椅1张、眼底检查镜1台、耳镜2台、鼻部检查镜2套。</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4"/>
                <w:b/>
                <w:color w:val="000000"/>
              </w:rPr>
              <w:t>六、电测听室</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）按照车内空间大小订制，独立双隔音墙技术，多种隔声、隔震、防火材料复合构成，双磁性密封条技术声学性能；</w:t>
            </w:r>
            <w:r>
              <w:rPr>
                <w:rFonts w:ascii="仿宋_GB2312" w:hAnsi="仿宋_GB2312" w:cs="仿宋_GB2312" w:eastAsia="仿宋_GB2312"/>
                <w:sz w:val="24"/>
              </w:rPr>
              <w:t>供应范围包括：墙体、隔声窗、隔振系统、架承重系统、通风系统等。</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）配备送风换气系统一套，保证纯音测听室内的空气达到工作要求。</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spacing w:after="120"/>
            </w:pPr>
            <w:r>
              <w:rPr>
                <w:rFonts w:ascii="仿宋_GB2312" w:hAnsi="仿宋_GB2312" w:cs="仿宋_GB2312" w:eastAsia="仿宋_GB2312"/>
                <w:sz w:val="24"/>
                <w:color w:val="000000"/>
              </w:rPr>
              <w:t>3</w:t>
            </w:r>
            <w:r>
              <w:rPr>
                <w:rFonts w:ascii="仿宋_GB2312" w:hAnsi="仿宋_GB2312" w:cs="仿宋_GB2312" w:eastAsia="仿宋_GB2312"/>
                <w:sz w:val="24"/>
                <w:color w:val="000000"/>
              </w:rPr>
              <w:t>）电测听工作台一套，配备有工作站及电测听仪放置位置；</w:t>
            </w:r>
          </w:p>
          <w:p>
            <w:pPr>
              <w:pStyle w:val="null3"/>
            </w:pPr>
          </w:p>
        </w:tc>
      </w:tr>
      <w:tr>
        <w:tc>
          <w:tcPr>
            <w:tcW w:type="dxa" w:w="2769"/>
          </w:tcPr>
          <w:p>
            <w:pPr>
              <w:pStyle w:val="null3"/>
            </w:pPr>
            <w:r>
              <w:rPr>
                <w:rFonts w:ascii="仿宋_GB2312" w:hAnsi="仿宋_GB2312" w:cs="仿宋_GB2312" w:eastAsia="仿宋_GB2312"/>
              </w:rPr>
              <w:t>36</w:t>
            </w:r>
          </w:p>
        </w:tc>
        <w:tc>
          <w:tcPr>
            <w:tcW w:type="dxa" w:w="2769"/>
          </w:tcPr>
          <w:p>
            <w:pPr>
              <w:pStyle w:val="null3"/>
            </w:pPr>
            <w:r>
              <w:rPr>
                <w:rFonts w:ascii="仿宋_GB2312" w:hAnsi="仿宋_GB2312" w:cs="仿宋_GB2312" w:eastAsia="仿宋_GB2312"/>
              </w:rPr>
              <w:t>▲</w:t>
            </w:r>
          </w:p>
        </w:tc>
        <w:tc>
          <w:tcPr>
            <w:tcW w:type="dxa" w:w="2769"/>
          </w:tcPr>
          <w:p>
            <w:pPr>
              <w:pStyle w:val="null3"/>
              <w:spacing w:after="120"/>
            </w:pPr>
            <w:r>
              <w:rPr>
                <w:rFonts w:ascii="仿宋_GB2312" w:hAnsi="仿宋_GB2312" w:cs="仿宋_GB2312" w:eastAsia="仿宋_GB2312"/>
                <w:sz w:val="24"/>
                <w:color w:val="000000"/>
              </w:rPr>
              <w:t>4</w:t>
            </w:r>
            <w:r>
              <w:rPr>
                <w:rFonts w:ascii="仿宋_GB2312" w:hAnsi="仿宋_GB2312" w:cs="仿宋_GB2312" w:eastAsia="仿宋_GB2312"/>
                <w:sz w:val="24"/>
                <w:color w:val="000000"/>
              </w:rPr>
              <w:t>）车辆电机运行状态下本底噪声≤30dB（A）。</w:t>
            </w:r>
          </w:p>
          <w:p>
            <w:pPr>
              <w:pStyle w:val="null3"/>
            </w:pP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spacing w:after="120"/>
            </w:pPr>
            <w:r>
              <w:rPr>
                <w:rFonts w:ascii="仿宋_GB2312" w:hAnsi="仿宋_GB2312" w:cs="仿宋_GB2312" w:eastAsia="仿宋_GB2312"/>
                <w:sz w:val="24"/>
                <w:color w:val="000000"/>
              </w:rPr>
              <w:t>5</w:t>
            </w:r>
            <w:r>
              <w:rPr>
                <w:rFonts w:ascii="仿宋_GB2312" w:hAnsi="仿宋_GB2312" w:cs="仿宋_GB2312" w:eastAsia="仿宋_GB2312"/>
                <w:sz w:val="24"/>
                <w:color w:val="000000"/>
              </w:rPr>
              <w:t>）隔音室要求采用 100％环保材料，达到无毒、无味、无辐射要求。</w:t>
            </w:r>
          </w:p>
          <w:p>
            <w:pPr>
              <w:pStyle w:val="null3"/>
            </w:pP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spacing w:after="120"/>
            </w:pPr>
            <w:r>
              <w:rPr>
                <w:rFonts w:ascii="仿宋_GB2312" w:hAnsi="仿宋_GB2312" w:cs="仿宋_GB2312" w:eastAsia="仿宋_GB2312"/>
                <w:sz w:val="24"/>
                <w:b/>
                <w:color w:val="000000"/>
              </w:rPr>
              <w:t>七、服务设施</w:t>
            </w:r>
          </w:p>
          <w:p>
            <w:pPr>
              <w:pStyle w:val="null3"/>
              <w:spacing w:after="120"/>
            </w:pPr>
            <w:r>
              <w:rPr>
                <w:rFonts w:ascii="仿宋_GB2312" w:hAnsi="仿宋_GB2312" w:cs="仿宋_GB2312" w:eastAsia="仿宋_GB2312"/>
                <w:sz w:val="24"/>
                <w:color w:val="000000"/>
              </w:rPr>
              <w:t>1</w:t>
            </w:r>
            <w:r>
              <w:rPr>
                <w:rFonts w:ascii="仿宋_GB2312" w:hAnsi="仿宋_GB2312" w:cs="仿宋_GB2312" w:eastAsia="仿宋_GB2312"/>
                <w:sz w:val="24"/>
                <w:color w:val="000000"/>
              </w:rPr>
              <w:t>）衣帽钩；</w:t>
            </w:r>
          </w:p>
          <w:p>
            <w:pPr>
              <w:pStyle w:val="null3"/>
              <w:spacing w:after="120"/>
            </w:pPr>
            <w:r>
              <w:rPr>
                <w:rFonts w:ascii="仿宋_GB2312" w:hAnsi="仿宋_GB2312" w:cs="仿宋_GB2312" w:eastAsia="仿宋_GB2312"/>
                <w:sz w:val="24"/>
                <w:color w:val="000000"/>
              </w:rPr>
              <w:t>2</w:t>
            </w:r>
            <w:r>
              <w:rPr>
                <w:rFonts w:ascii="仿宋_GB2312" w:hAnsi="仿宋_GB2312" w:cs="仿宋_GB2312" w:eastAsia="仿宋_GB2312"/>
                <w:sz w:val="24"/>
                <w:color w:val="000000"/>
              </w:rPr>
              <w:t>）垃圾桶；</w:t>
            </w:r>
          </w:p>
          <w:p>
            <w:pPr>
              <w:pStyle w:val="null3"/>
              <w:spacing w:after="120"/>
            </w:pPr>
            <w:r>
              <w:rPr>
                <w:rFonts w:ascii="仿宋_GB2312" w:hAnsi="仿宋_GB2312" w:cs="仿宋_GB2312" w:eastAsia="仿宋_GB2312"/>
                <w:sz w:val="24"/>
                <w:color w:val="000000"/>
              </w:rPr>
              <w:t>3</w:t>
            </w:r>
            <w:r>
              <w:rPr>
                <w:rFonts w:ascii="仿宋_GB2312" w:hAnsi="仿宋_GB2312" w:cs="仿宋_GB2312" w:eastAsia="仿宋_GB2312"/>
                <w:sz w:val="24"/>
                <w:color w:val="000000"/>
              </w:rPr>
              <w:t>）身高体重称；</w:t>
            </w:r>
          </w:p>
          <w:p>
            <w:pPr>
              <w:pStyle w:val="null3"/>
              <w:spacing w:after="120"/>
            </w:pPr>
            <w:r>
              <w:rPr>
                <w:rFonts w:ascii="仿宋_GB2312" w:hAnsi="仿宋_GB2312" w:cs="仿宋_GB2312" w:eastAsia="仿宋_GB2312"/>
                <w:sz w:val="24"/>
                <w:color w:val="000000"/>
              </w:rPr>
              <w:t>4</w:t>
            </w:r>
            <w:r>
              <w:rPr>
                <w:rFonts w:ascii="仿宋_GB2312" w:hAnsi="仿宋_GB2312" w:cs="仿宋_GB2312" w:eastAsia="仿宋_GB2312"/>
                <w:sz w:val="24"/>
                <w:color w:val="000000"/>
              </w:rPr>
              <w:t>）紫外线消毒灯；</w:t>
            </w:r>
          </w:p>
          <w:p>
            <w:pPr>
              <w:pStyle w:val="null3"/>
              <w:spacing w:after="120"/>
            </w:pPr>
            <w:r>
              <w:rPr>
                <w:rFonts w:ascii="仿宋_GB2312" w:hAnsi="仿宋_GB2312" w:cs="仿宋_GB2312" w:eastAsia="仿宋_GB2312"/>
                <w:sz w:val="24"/>
                <w:color w:val="000000"/>
              </w:rPr>
              <w:t>5</w:t>
            </w:r>
            <w:r>
              <w:rPr>
                <w:rFonts w:ascii="仿宋_GB2312" w:hAnsi="仿宋_GB2312" w:cs="仿宋_GB2312" w:eastAsia="仿宋_GB2312"/>
                <w:sz w:val="24"/>
                <w:color w:val="000000"/>
              </w:rPr>
              <w:t>）饮水机；</w:t>
            </w:r>
          </w:p>
          <w:p>
            <w:pPr>
              <w:pStyle w:val="null3"/>
              <w:spacing w:after="120"/>
            </w:pPr>
            <w:r>
              <w:rPr>
                <w:rFonts w:ascii="仿宋_GB2312" w:hAnsi="仿宋_GB2312" w:cs="仿宋_GB2312" w:eastAsia="仿宋_GB2312"/>
                <w:sz w:val="24"/>
                <w:color w:val="000000"/>
              </w:rPr>
              <w:t>6</w:t>
            </w:r>
            <w:r>
              <w:rPr>
                <w:rFonts w:ascii="仿宋_GB2312" w:hAnsi="仿宋_GB2312" w:cs="仿宋_GB2312" w:eastAsia="仿宋_GB2312"/>
                <w:sz w:val="24"/>
                <w:color w:val="000000"/>
              </w:rPr>
              <w:t>）等待区座椅；</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）整车布置网线及网络端口。</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spacing w:after="120"/>
            </w:pPr>
            <w:r>
              <w:rPr>
                <w:rFonts w:ascii="仿宋_GB2312" w:hAnsi="仿宋_GB2312" w:cs="仿宋_GB2312" w:eastAsia="仿宋_GB2312"/>
                <w:sz w:val="24"/>
                <w:b/>
                <w:color w:val="000000"/>
              </w:rPr>
              <w:t>八、照明设施</w:t>
            </w:r>
          </w:p>
          <w:p>
            <w:pPr>
              <w:pStyle w:val="null3"/>
            </w:pPr>
            <w:r>
              <w:rPr>
                <w:rFonts w:ascii="仿宋_GB2312" w:hAnsi="仿宋_GB2312" w:cs="仿宋_GB2312" w:eastAsia="仿宋_GB2312"/>
                <w:sz w:val="24"/>
                <w:color w:val="000000"/>
              </w:rPr>
              <w:t>车顶各工作区域安装照明厢灯，符合相关标准。</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spacing w:after="120"/>
            </w:pPr>
            <w:r>
              <w:rPr>
                <w:rFonts w:ascii="仿宋_GB2312" w:hAnsi="仿宋_GB2312" w:cs="仿宋_GB2312" w:eastAsia="仿宋_GB2312"/>
                <w:sz w:val="24"/>
                <w:b/>
                <w:color w:val="000000"/>
              </w:rPr>
              <w:t>九、配电系统</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配电箱（包含空气开关、指示灯等）</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电源/网线重新布线，相关位置电源插座、网路接口等若干</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接地装置（接地钎子、接地线、榔头）</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电缆盘(220V)≥50米</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系统必须保障车载DR及全车用电</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spacing w:after="120"/>
            </w:pPr>
            <w:r>
              <w:rPr>
                <w:rFonts w:ascii="仿宋_GB2312" w:hAnsi="仿宋_GB2312" w:cs="仿宋_GB2312" w:eastAsia="仿宋_GB2312"/>
                <w:sz w:val="24"/>
                <w:b/>
                <w:color w:val="000000"/>
              </w:rPr>
              <w:t>十、辅料耗材</w:t>
            </w:r>
          </w:p>
          <w:p>
            <w:pPr>
              <w:pStyle w:val="null3"/>
            </w:pPr>
            <w:r>
              <w:rPr>
                <w:rFonts w:ascii="仿宋_GB2312" w:hAnsi="仿宋_GB2312" w:cs="仿宋_GB2312" w:eastAsia="仿宋_GB2312"/>
                <w:sz w:val="24"/>
                <w:color w:val="000000"/>
              </w:rPr>
              <w:t>包含柜子铰链，拉手等五金件，装饰扣，铝型材装饰条，电器压头辅材，固定泡棉，结构、美容胶，螺丝，自攻丝，补色漆料，所提供材料须需为防火材料，配置车载灭火器一个。</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spacing w:after="120"/>
            </w:pPr>
            <w:r>
              <w:rPr>
                <w:rFonts w:ascii="仿宋_GB2312" w:hAnsi="仿宋_GB2312" w:cs="仿宋_GB2312" w:eastAsia="仿宋_GB2312"/>
                <w:sz w:val="24"/>
                <w:b/>
                <w:color w:val="000000"/>
              </w:rPr>
              <w:t>十一、人工、制造费</w:t>
            </w:r>
          </w:p>
          <w:p>
            <w:pPr>
              <w:pStyle w:val="null3"/>
              <w:spacing w:after="120"/>
            </w:pPr>
            <w:r>
              <w:rPr>
                <w:rFonts w:ascii="仿宋_GB2312" w:hAnsi="仿宋_GB2312" w:cs="仿宋_GB2312" w:eastAsia="仿宋_GB2312"/>
                <w:sz w:val="24"/>
                <w:color w:val="000000"/>
              </w:rPr>
              <w:t>包含客户提供设备安装固定，电器设备（包含</w:t>
            </w:r>
            <w:r>
              <w:rPr>
                <w:rFonts w:ascii="仿宋_GB2312" w:hAnsi="仿宋_GB2312" w:cs="仿宋_GB2312" w:eastAsia="仿宋_GB2312"/>
                <w:sz w:val="24"/>
                <w:color w:val="000000"/>
              </w:rPr>
              <w:t>DR</w:t>
            </w:r>
            <w:r>
              <w:rPr>
                <w:rFonts w:ascii="仿宋_GB2312" w:hAnsi="仿宋_GB2312" w:cs="仿宋_GB2312" w:eastAsia="仿宋_GB2312"/>
                <w:sz w:val="24"/>
                <w:color w:val="000000"/>
              </w:rPr>
              <w:t>设备，检测仪器设备）人员上装、柜子上车拼接安装，人员工时及项目系统管理等。</w:t>
            </w:r>
          </w:p>
          <w:p>
            <w:pPr>
              <w:pStyle w:val="null3"/>
            </w:pPr>
            <w:r>
              <w:rPr>
                <w:rFonts w:ascii="仿宋_GB2312" w:hAnsi="仿宋_GB2312" w:cs="仿宋_GB2312" w:eastAsia="仿宋_GB2312"/>
                <w:sz w:val="24"/>
                <w:color w:val="000000"/>
              </w:rPr>
              <w:t>车辆运输费 包含车辆运输至指定位置单次费用</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spacing w:after="120"/>
            </w:pPr>
            <w:r>
              <w:rPr>
                <w:rFonts w:ascii="仿宋_GB2312" w:hAnsi="仿宋_GB2312" w:cs="仿宋_GB2312" w:eastAsia="仿宋_GB2312"/>
                <w:sz w:val="24"/>
                <w:b/>
                <w:color w:val="000000"/>
              </w:rPr>
              <w:t>十二、网络端口</w:t>
            </w:r>
          </w:p>
          <w:p>
            <w:pPr>
              <w:pStyle w:val="null3"/>
            </w:pPr>
            <w:r>
              <w:rPr>
                <w:rFonts w:ascii="仿宋_GB2312" w:hAnsi="仿宋_GB2312" w:cs="仿宋_GB2312" w:eastAsia="仿宋_GB2312"/>
                <w:sz w:val="24"/>
                <w:color w:val="000000"/>
              </w:rPr>
              <w:t>包含全车网络端口预留，确保实现与医院现有网络系统数据对接传输。</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30个日历日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甲方指定地点，运输、安装、调试、第一次验收合格后（第一次验收要求乙方按合同约定提供货物，安装调试完成，确保设备能够正常运行），付款方式以合同签订为准，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进度款，从第一次验收合格之日起满壹年后，如无质量、服务等问题，进行第二次验收，二次验收合格收到乙方发票后，付款方式以合同签订为准，达到付款条件起30个工作日内，支付合同总金额的3.0%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进度款，第一次验收合格之日起满叁年后，如无质量、服务等问题进行第三次验收，三次验收合格收到乙方发票后，付款方式以合同签订为准，达到付款条件起30个工作日内，支付合同总金额的2.0%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甲方指定地点，运输、安装、调试、第一次验收合格后（第一次验收要求乙方按合同约定提供货物，安装调试完成，确保设备能够正常运行），付款方式以合同签订为准，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进度款，从第一次验收合格之日起满壹年后，如无质量、服务等问题，进行第二次验收，二次验收合格收到乙方发票后，付款方式以合同签订为准，达到付款条件起30个工作日内，支付合同总金额的3.0%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进度款，第一次验收合格之日起满叁年后，如无质量、服务等问题进行第三次验收，三次验收合格收到乙方发票后，付款方式以合同签订为准，达到付款条件起30个工作日内，支付合同总金额的2.0%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（一）货物到达甲方指定地点后，甲方根据合同要求，进行外观验收，确认产地、规格、型号和数量。甲乙双方需在约定的时间和地点共同开箱检验。 （二）货物安装、调试并正常运行后，由乙方进行自检，合格后能够正常使用时书面通知甲方。 （三）甲方确认接收乙方的自检内容后，进行验收（必要时请有关专家，由乙方承担聘请专家的费用），验收合格后，由乙方对甲方操作人员进行培训，完成培训后，甲方填写验收单作为对货物的最终认可。 （四）乙方向甲方提交货物实施过程中的所有资料。以便甲方日后管理和维护。 （五）货物验收时必须提供海关证明，验收15日内完成商检手续办理。 （六）设备验收时需提供附带市级法定机构出具的计量检定/校准证书。 （七）验收依据： 1、本合同及合同附件。 2、国家相应的标准、规范。 3、招标文件、投标文件、中标通知书、澄清表（函）。 （八）设备验收时供应商需提供附带市级法定机构出具的计量检定/校准证书。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（一）货物到达甲方指定地点后，甲方根据合同要求，进行外观验收，确认产地、规格、型号和数量。甲乙双方需在约定的时间和地点共同开箱检验。 （二）货物安装、调试并正常运行后，由乙方进行自检，合格后能够正常使用时书面通知甲方。 （三）甲方确认接收乙方的自检内容后，进行验收（必要时请有关专家，由乙方承担聘请专家的费用），验收合格后，由乙方对甲方操作人员进行培训，完成培训后，甲方填写验收单作为对货物的最终认可。 （四）乙方向甲方提交货物实施过程中的所有资料。以便甲方日后管理和维护。 （五）货物验收时必须提供海关证明，验收15日内完成商检手续办理。 （六）设备验收时需提供附带市级法定机构出具的计量检定/校准证书。 （七）验收依据： 1、本合同及合同附件。 2、国家相应的标准、规范。 3、招标文件、投标文件、中标通知书、澄清表（函）。 （八）设备验收时供应商需提供附带市级法定机构出具的计量检定/校准证书。</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设备整机质保≥3年，中标人承诺超过招标文件要求的，按其承诺的质保期进行质保。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设备整机质保≥3年，中标人承诺超过招标文件要求的，按其承诺的质保期进行质保。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人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1. 售后服务：叁年免费保修，终身维护； 2. 保证DR软件可以与我院影像系统对接。 采购包2： 1.全车室内环境检测、消防、车辆改装符合国家标准并通过相关检测。 2.车辆整体改造安装后，预评、控评、环评等符合国家标准并通过第三方检测。 3.供应商负责车辆改装和相关检测的一切费用，此项目为交钥匙项目。 采购包1和采购包2： 款项结算(因系统编制受限，采购文件前后不一致的以此处为准） （一）货物到达甲方指定地点，运输、安装、调试、第一次验收合格后（第一次验收要求乙方按合同约定提供货物，安装调试完成，确保设备能够正常运行），支付合同总价款的 95 %； （二）从第一次验收合格之日起满壹年后，如无质量、服务等问题，进行第二次验收，二次验收合格收到乙方发票后支付合同总价款的3%； （三）第一次验收合格之日起满叁年后，如无质量、服务等问题进行第三次验收，三次验收合格收到乙方发票后，一次性无息支付合同总价款的2％； 具体付款方式以合同签订为准。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提供经审计的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2025年11月1日以来至少一个月的纳税证明或完税证明，纳税证明或完税证明上应有代收机构或税务机关的公章或业务专用章；其他组织和自然人提供自2025年11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2025年11月1日以来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截止开标前最近连续三个月（不含开标当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供应商所投产品属于医疗器械的须提供拟投产品有效的医疗器械注册证或备案凭证。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安全许可证</w:t>
            </w:r>
          </w:p>
        </w:tc>
        <w:tc>
          <w:tcPr>
            <w:tcW w:type="dxa" w:w="3322"/>
          </w:tcPr>
          <w:p>
            <w:pPr>
              <w:pStyle w:val="null3"/>
            </w:pPr>
            <w:r>
              <w:rPr>
                <w:rFonts w:ascii="仿宋_GB2312" w:hAnsi="仿宋_GB2312" w:cs="仿宋_GB2312" w:eastAsia="仿宋_GB2312"/>
              </w:rPr>
              <w:t>提供供应商及生产商的辐射安全许可证。</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提供经审计的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2025年11月1日以来至少一个月的纳税证明或完税证明，纳税证明或完税证明上应有代收机构或税务机关的公章或业务专用章；其他组织和自然人提供自2025年11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2025年11月1日以来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截止开标前最近连续三个月（不含开标当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供应商所投产品属于医疗器械的须提供拟投产品有效的医疗器械注册证或备案凭证。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车辆改装资质</w:t>
            </w:r>
          </w:p>
        </w:tc>
        <w:tc>
          <w:tcPr>
            <w:tcW w:type="dxa" w:w="3322"/>
          </w:tcPr>
          <w:p>
            <w:pPr>
              <w:pStyle w:val="null3"/>
            </w:pPr>
            <w:r>
              <w:rPr>
                <w:rFonts w:ascii="仿宋_GB2312" w:hAnsi="仿宋_GB2312" w:cs="仿宋_GB2312" w:eastAsia="仿宋_GB2312"/>
              </w:rPr>
              <w:t>供应商可自行具备改装资质，如委托合规第三方改装企业实施改装，投标时提供改装单位合法有效的标识有统一社会信用代码的营业执照并提供相关改装资质。</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商务响应偏离表 分项报价表 技术响应偏离表 本国产品说明 中小企业声明函 报价表 中国境内生产的组件成本核算基本规则 供应商业绩 响应文件封面 投标方案-采购包1 其他材料 残疾人福利性单位声明函 供应商基本信息 供应商企业关联关系声明函 标的清单 关于符合本国产品标准的声明函 供应商承诺书 响应函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参加政府采购活动承诺书</w:t>
            </w:r>
          </w:p>
        </w:tc>
        <w:tc>
          <w:tcPr>
            <w:tcW w:type="dxa" w:w="3322"/>
          </w:tcPr>
          <w:p>
            <w:pPr>
              <w:pStyle w:val="null3"/>
            </w:pPr>
            <w:r>
              <w:rPr>
                <w:rFonts w:ascii="仿宋_GB2312" w:hAnsi="仿宋_GB2312" w:cs="仿宋_GB2312" w:eastAsia="仿宋_GB2312"/>
              </w:rPr>
              <w:t>投标人须提供参加政府采购活动承诺书</w:t>
            </w:r>
          </w:p>
        </w:tc>
        <w:tc>
          <w:tcPr>
            <w:tcW w:type="dxa" w:w="1661"/>
          </w:tcPr>
          <w:p>
            <w:pPr>
              <w:pStyle w:val="null3"/>
            </w:pPr>
            <w:r>
              <w:rPr>
                <w:rFonts w:ascii="仿宋_GB2312" w:hAnsi="仿宋_GB2312" w:cs="仿宋_GB2312" w:eastAsia="仿宋_GB2312"/>
              </w:rPr>
              <w:t>供应商承诺书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商务响应偏离表 分项报价表 技术响应偏离表 本国产品说明 中小企业声明函 报价表 中国境内生产的组件成本核算基本规则 供应商业绩 响应文件封面 投标方案-采购包2 其他材料 残疾人福利性单位声明函 供应商基本信息 供应商企业关联关系声明函 标的清单 关于符合本国产品标准的声明函 供应商承诺书 响应函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参加政府采购活动承诺书</w:t>
            </w:r>
          </w:p>
        </w:tc>
        <w:tc>
          <w:tcPr>
            <w:tcW w:type="dxa" w:w="3322"/>
          </w:tcPr>
          <w:p>
            <w:pPr>
              <w:pStyle w:val="null3"/>
            </w:pPr>
            <w:r>
              <w:rPr>
                <w:rFonts w:ascii="仿宋_GB2312" w:hAnsi="仿宋_GB2312" w:cs="仿宋_GB2312" w:eastAsia="仿宋_GB2312"/>
              </w:rPr>
              <w:t>投标人须提供参加政府采购活动承诺书</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投标产品的技术指标满足或高于招标文件要求的，得满分35分。“▲”号技术指标（共5项，满分10分）为重点技术指标，每不满足一项扣2分；非“▲”号技术指标（共31项，满分25分），每不满足一项扣0.81分。 注：对带“▲”的技术参数必须在投标文件中提供技术支持资料（包括但不限于彩色样本或说明书或图纸或权威机构出具的检验报告等），并在技术响应偏离表中标注对应页码及位置，未提供或所提供材料无法有效证明的将视为不满足本参数要求。 对非“▲”的技术参数投标人在投标文件中应尽可能多地提供技术支持资料予以证明其技术指标响应性（包括但不限于彩色样本或产品说明书或检验报告等），并在技术响应偏离表中标注对应页码及位置。</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产品供应渠道正常，有质量保证，符合国内相关标准,无假货、水货,须提供所投产品包括但不限于销售合同或代理合同等相关证明材料，材料完整得5分,未提供不得分。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投标人针对本项目提供完整的项目实施方案。内容包含：①保供方案；②团队人员配置计划及车辆配送安排计划；③具有健全的产品安装、检测、调试、试运行及验收方案。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上述3项评审内容全部满足评审标准得6分；每有一个评审内容缺项扣2分；每有一项评审内容存在缺陷，扣（0-2）分。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投标人针对本项目提供完整的项目应急预案。内容包含：①设备故障及维修服务到场响应时限；②其他应急突发状况处置措施（包括但不限于安装、实施、培训、维护维修等环节的紧急处理方案）。 二、评审标准 1、完整性：方案须全面，对评审内容中的各项要求有详细描述； 2、可实施性：切合本项目实际情况，实施步骤清晰、合理； 3、针对性：方案能够紧扣本项目所采购设备种类等实际情况，内容科学合理。 三、赋分依据（满分3分） 上述2项评审内容全部满足评审标准得3分；每有一个评审内容缺项扣1.5分；每有一项评审内容存在缺陷，扣（0-1.5）分。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投标人针对本项目提供完整的售后服务方案。内容包含：①售后服务保障体系,包括但不限于人员配备、备品备件供应计划、设备（产品）发生故障后的补救措施等方面；②提供售后服务承诺且符合实际需求。 二、评审标准 1、完整性：方案须全面，对评审内容中的各项要求有详细描述； 2、可实施性：切合本项目实际情况，实施步骤清晰、合理； 3、针对性：方案能够紧扣项目实际情况，内容科学合理。 三、赋分依据（满分4分） 上述2项评审内容全部满足评审标准得4分；每有一个评审内容缺项扣2分；每有一项评审内容存在缺陷，扣（0-2）分。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市场销售情况等）。 设备选型方案思路清晰、科学合理、可行性强、完全满足采购人需求得4分；设备选型方案思路清晰、科学合理、可行性较强、满足采购人需求得3分；设备选型方案合理完善、可行性较强、基本满足采购人需求得2分；设备选型方案有缺漏项、可行性一般得1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投标人针对本项目提供完整的培训方案。内容包含：①免费为使用单位培训操作维护人员；②培训及现场服务方案。 二、评审标准 1、完整性：方案须全面，对评审内容中的各项要求有详细描述； 2、可实施性：切合本项目实际情况，实施步骤清晰、合理； 3、针对性：方案能够紧扣项目实际情况，内容科学合理。 三、赋分依据（满分3分） 上述2项评审内容全部满足评审标准得3分；每有一个评审内容缺项扣1.5分；每有一项评审内容存在缺陷，扣（0-1.5）分。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2023年5月1日起至今，提供所投产品的制造商同类产品业绩（以合同签订日期为准），每提供1份有效业绩2分，最多得10分。 业绩要求：每个业绩须提供合同关键页（包括但不限于合同首页、项目信息页、金额页、双方签字盖章页等内容），未完整提供上述材料或所提供内容模糊不清、或不能体现符合要求的该业绩不得分。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投标产品的技术指标满足或高于招标文件要求的，得满分35分。“▲”号技术指标（共7项，满分14分）为重点技术指标，每不满足一项扣2分；非“▲”号技术指标（共40项，满分21分），每不满足一项扣0.6分。 注：对带“▲”的技术参数必须在投标文件中提供技术支持资料（包括但不限于彩色样本或说明书或图纸或权威机构出具的检验报告等），并在技术响应偏离表中标注对应页码及位置，未提供或所提供材料无法有效证明的将视为不满足本参数要求。 对非“▲”的技术参数投标人在投标文件中应尽可能多地提供技术支持资料予以证明其技术指标响应性（包括但不限于彩色样本或产品说明书或检验报告等），并在技术响应偏离表中标注对应页码及位置。</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投标人针对本项目提供完整的项目应急预案。内容包含：①设备故障及维修服务到场响应时限；②其他应急突发状况处置措施（包括但不限于安装、实施、培训、维护维修等环节的紧急处理方案）。 二、评审标准 1、完整性：方案须全面，对评审内容中的各项要求有详细描述； 2、可实施性：切合本项目实际情况，实施步骤清晰、合理； 3、针对性：方案能够紧扣本项目所采购设备种类等实际情况，内容科学合理。 三、赋分依据（满分3分） 上述2项评审内容全部满足评审标准得3分；每有一个评审内容缺项扣1.5分；每有一项评审内容存在缺陷，扣（0-1.5）分。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投标人针对本项目提供完整的售后服务方案。内容包含：故障响应时长、上门维修、驻场维保、车内医疗设备定期校准服务； 二、评审标准 1、完整性：方案须全面，对评审内容中的各项要求有详细描述； 2、可实施性：切合本项目实际情况，实施步骤清晰、合理； 3、针对性：方案能够紧扣项目实际情况，内容科学合理。 三、赋分依据（满分4分） 上述2项评审内容全部满足评审标准得4分；每有一个评审内容缺项扣2分；每有一项评审内容存在缺陷，扣（0-2）分。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2023年5月1日起至今，供应商承担的同类项目业绩（以合同签订日期为准），每提供1份有效业绩2分，最多得10分。 业绩要求：每个业绩须提供合同关键页（包括但不限于合同首页、项目信息页、金额页、双方签字盖章页等内容），未完整提供上述材料或所提供内容模糊不清、或不能体现符合要求的该业绩不得分。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vMerge/>
          </w:tcPr>
          <w:p/>
        </w:tc>
        <w:tc>
          <w:tcPr>
            <w:tcW w:type="dxa" w:w="1661"/>
          </w:tcPr>
          <w:p>
            <w:pPr>
              <w:pStyle w:val="null3"/>
            </w:pPr>
            <w:r>
              <w:rPr>
                <w:rFonts w:ascii="仿宋_GB2312" w:hAnsi="仿宋_GB2312" w:cs="仿宋_GB2312" w:eastAsia="仿宋_GB2312"/>
              </w:rPr>
              <w:t>整体改造方案及总体设计</w:t>
            </w:r>
          </w:p>
        </w:tc>
        <w:tc>
          <w:tcPr>
            <w:tcW w:type="dxa" w:w="2492"/>
          </w:tcPr>
          <w:p>
            <w:pPr>
              <w:pStyle w:val="null3"/>
            </w:pPr>
            <w:r>
              <w:rPr>
                <w:rFonts w:ascii="仿宋_GB2312" w:hAnsi="仿宋_GB2312" w:cs="仿宋_GB2312" w:eastAsia="仿宋_GB2312"/>
              </w:rPr>
              <w:t>供应商针对本项目提供具体可行的改造方案，包括但不限于：①结合医院体检业务场景设计车辆布局，分区合理；②符合流动体检工作流程，兼顾通行、操作、防护需求；③充分考虑车辆行驶稳定性、重心分布、承重设计。 改造方案思路清晰、科学合理、可行性强、完全满足采购人需求得6分；方案基本完整，分区合理，但细节设计略有欠缺得4分；方案简单，分区混乱，未结合体检业务实际需求得2分；无整体改造设计方案得0分。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医疗功能区域专项改造</w:t>
            </w:r>
          </w:p>
        </w:tc>
        <w:tc>
          <w:tcPr>
            <w:tcW w:type="dxa" w:w="2492"/>
          </w:tcPr>
          <w:p>
            <w:pPr>
              <w:pStyle w:val="null3"/>
            </w:pPr>
            <w:r>
              <w:rPr>
                <w:rFonts w:ascii="仿宋_GB2312" w:hAnsi="仿宋_GB2312" w:cs="仿宋_GB2312" w:eastAsia="仿宋_GB2312"/>
              </w:rPr>
              <w:t>一、评审内容 供应商针对本项目提供完整的项目实施方案。针对体检核心功能区逐项评审（超声室、心电房、妇科检查区、检查功能区、电测听室） 二、评审标准 1、完整性：方案须全面，对评审内容中的各项要求有详细描述； 2、可实施性：切合本项目实际情况，实施步骤清晰、合理； 3、针对性：方案能够紧扣本项目所采购设备种类等实际情况，内容科学合理。 三、赋分依据（满分4分） 各医疗区域改造完全符合医疗机构院感要求、医疗操作规范，布局人性化，防护、隔离、采光、照明设计专业，适配各类体检项目操作得4分；区域改造基本满足使用，院感、细节设计存在少量瑕疵得3分，功能区改造简陋，无法满足常规体检作业得2分，无医疗功能区专项改造内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供应商针对本项目提供质量保证承诺方案。内容包含：①符合国家相关质量标准、通过国家法定检验注册，产品性能稳定；②在产品使用、技术保障方面的承诺和保证措施。 二、评审标准 1、完整性：方案须全面，对评审内容中的各项要求有详细描述； 2、针对性：方案能够紧扣本项目实际情况，内容科学合理。 三、赋分依据（满分3分） 上述2项评审内容全部满足评审标准得3分；每有一个评审内容缺项扣1.5分；每有一项评审内容存在缺陷，扣（0-1.5）分。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产品供货渠道</w:t>
            </w:r>
          </w:p>
        </w:tc>
        <w:tc>
          <w:tcPr>
            <w:tcW w:type="dxa" w:w="2492"/>
          </w:tcPr>
          <w:p>
            <w:pPr>
              <w:pStyle w:val="null3"/>
            </w:pPr>
            <w:r>
              <w:rPr>
                <w:rFonts w:ascii="仿宋_GB2312" w:hAnsi="仿宋_GB2312" w:cs="仿宋_GB2312" w:eastAsia="仿宋_GB2312"/>
              </w:rPr>
              <w:t>多功能检查椅、眼底检查镜、耳镜、鼻部检查镜产品供应渠道正常，有质量保证，符合国内相关标准,无假货、水货,须提供所投产品包括但不限于销售合同或代理合同等相关证明材料，材料完整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投标方案-采购包2</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详见附件：投标方案-采购包1</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详见附件：供应商资格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详见附件：投标方案-采购包2</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