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版本号：GCCS26-01120260529001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全省高速公路与周边路网快速衔接转换策略研究项目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GCCS26-011</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全省高速公路与周边路网快速衔接转换策略研究项目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全省高速公路与周边路网快速衔接转换策略研究项目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紧扣国家“交通强国”、“乡村振兴”重大战略部署，立足本省综合交通运输体系发展规划，针对当前高速公路与周边路网衔接不畅、重要节点连通不足、出入口管理模式滞后等现实问题，开展全省高速公路与周边路网快速衔接转换专项规划研究。通过全面现状摸排、需求分析、方案优化、模式创新，系统性解决高速公路连通 “最后一公里” 痛点，推动高速公路高效衔接乡镇、综合交通枢纽、省级及以上产业园区、4A 及以上旅游景区等关键节点，优化全域公路路网结构，提升高速公路路网整体运行效率、通行服务能力与辐射带动作用，助力区域经济协同发展、乡村全面振兴，满足群众安全、便捷、高效出行需求，持续提升公众出行满意度与获得感，为本省交通运输主管部门路网规划、项目决策、行业管理提供科学支撑。需满足的要求：符合国家、地方、行业相关合格标准及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1、供应商特定资格要求：供应商具备有效的工程设计综合甲级资质或者工程设计（公路行业）甲级资质或者工程设计公路行业（公路、交通工程）专业甲级资质且在有效期内。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029-88869050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代理服务费收费标准：（1）代理服务费参照《国家计委关于印发《招标代理服务收费管理暂行办法》的通知》(计价格(2002)1980号)规定标准的90%按标段计算收取。（2）采购代理服务费缴纳账户： 开户名称：陕西国采项目管理有限公司 开户行：中国建设银行股份有限公司西安大庆路支行 账号：61050174360000000901。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符合国家、地方、行业相关合格标准及采购人要求，须经采购人验收通过。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紧扣国家“交通强国”、“乡村振兴”重大战略部署，立足本省综合交通运输体系发展规划，针对当前高速公路与周边路网衔接不畅、重要节点连通不足、出入口管理模式滞后等现实问题，开展全省高速公路与周边路网快速衔接转换专项规划研究。通过全面现状摸排、需求分析、方案优化、模式创新，系统性解决高速公路连通 “最后一公里” 痛点，推动高速公路高效衔接乡镇、综合交通枢纽、省级及以上产业园区、4A 及以上旅游景区等关键节点，优化全域公路路网结构，提升高速公路路网整体运行效率、通行服务能力与辐射带动作用，助力区域经济协同发展、乡村全面振兴，满足群众安全、便捷、高效出行需求，持续提升公众出行满意度与获得感，为本省交通运输主管部门路网规划、项目决策、行业管理提供科学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全省高速公路与周边路网快速衔接转换策略研究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标的名称：全省高速公路与周边路网快速衔接转换策略研究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1"/>
                <w:b/>
              </w:rPr>
              <w:t>一、项目概况</w:t>
            </w:r>
          </w:p>
          <w:p>
            <w:pPr>
              <w:pStyle w:val="null3"/>
              <w:ind w:firstLine="400"/>
              <w:jc w:val="left"/>
            </w:pPr>
            <w:r>
              <w:rPr>
                <w:rFonts w:ascii="仿宋_GB2312" w:hAnsi="仿宋_GB2312" w:cs="仿宋_GB2312" w:eastAsia="仿宋_GB2312"/>
                <w:sz w:val="21"/>
              </w:rPr>
              <w:t>本项目紧扣国家</w:t>
            </w:r>
            <w:r>
              <w:rPr>
                <w:rFonts w:ascii="仿宋_GB2312" w:hAnsi="仿宋_GB2312" w:cs="仿宋_GB2312" w:eastAsia="仿宋_GB2312"/>
                <w:sz w:val="21"/>
              </w:rPr>
              <w:t>“</w:t>
            </w:r>
            <w:r>
              <w:rPr>
                <w:rFonts w:ascii="仿宋_GB2312" w:hAnsi="仿宋_GB2312" w:cs="仿宋_GB2312" w:eastAsia="仿宋_GB2312"/>
                <w:sz w:val="21"/>
                <w:b/>
              </w:rPr>
              <w:t>交通强国</w:t>
            </w:r>
            <w:r>
              <w:rPr>
                <w:rFonts w:ascii="仿宋_GB2312" w:hAnsi="仿宋_GB2312" w:cs="仿宋_GB2312" w:eastAsia="仿宋_GB2312"/>
                <w:sz w:val="21"/>
                <w:b/>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b/>
              </w:rPr>
              <w:t>乡村振兴</w:t>
            </w:r>
            <w:r>
              <w:rPr>
                <w:rFonts w:ascii="仿宋_GB2312" w:hAnsi="仿宋_GB2312" w:cs="仿宋_GB2312" w:eastAsia="仿宋_GB2312"/>
                <w:sz w:val="21"/>
                <w:b/>
              </w:rPr>
              <w:t>”</w:t>
            </w:r>
            <w:r>
              <w:rPr>
                <w:rFonts w:ascii="仿宋_GB2312" w:hAnsi="仿宋_GB2312" w:cs="仿宋_GB2312" w:eastAsia="仿宋_GB2312"/>
                <w:sz w:val="21"/>
              </w:rPr>
              <w:t>重大战略部署，立足本省综合交通运输体系发展规划，针对当前高速公路与周边路网衔接不畅、重要节点连通不足、出入口管理模式滞后等现实问题，开展全省高速公路与周边路网快速衔接转换专项规划研究。通过全面现状摸排、需求分析、方案优化、模式创新，系统性解决高速公路连通 “最后一公里” 痛点，推动高速公路高效衔接乡镇、综合交通枢纽、省级及以上产业园区、4A 及以上旅游景区等关键节点，优化全域公路路网结构，提升高速公路路网整体运行效率、通行服务能力与辐射带动作用，助力区域经济协同发展、乡村全面振兴，满足群众安全、便捷、高效出行需求，持续提升公众出行满意度与获得感，为本省交通运输主管部门路网规划、项目决策、行业管理提供科学支撑。</w:t>
            </w:r>
          </w:p>
          <w:p>
            <w:pPr>
              <w:pStyle w:val="null3"/>
              <w:ind w:firstLine="402"/>
              <w:jc w:val="left"/>
            </w:pPr>
            <w:r>
              <w:rPr>
                <w:rFonts w:ascii="仿宋_GB2312" w:hAnsi="仿宋_GB2312" w:cs="仿宋_GB2312" w:eastAsia="仿宋_GB2312"/>
                <w:sz w:val="21"/>
                <w:b/>
              </w:rPr>
              <w:t>二</w:t>
            </w:r>
            <w:r>
              <w:rPr>
                <w:rFonts w:ascii="仿宋_GB2312" w:hAnsi="仿宋_GB2312" w:cs="仿宋_GB2312" w:eastAsia="仿宋_GB2312"/>
                <w:sz w:val="21"/>
                <w:b/>
              </w:rPr>
              <w:t>、主要工作内容</w:t>
            </w:r>
          </w:p>
          <w:p>
            <w:pPr>
              <w:pStyle w:val="null3"/>
              <w:ind w:firstLine="400"/>
              <w:jc w:val="left"/>
            </w:pPr>
            <w:r>
              <w:rPr>
                <w:rFonts w:ascii="仿宋_GB2312" w:hAnsi="仿宋_GB2312" w:cs="仿宋_GB2312" w:eastAsia="仿宋_GB2312"/>
                <w:sz w:val="21"/>
              </w:rPr>
              <w:t>本项目以提升高速公路路网连通性、便捷性、高效性为核心，围绕现状评估、需求分析、衔接优化、模式创新四大核心方向，开展全流程专项研究工作，具体内容如下：</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基础资料收集与现状调研</w:t>
            </w:r>
            <w:r>
              <w:br/>
            </w:r>
            <w:r>
              <w:rPr>
                <w:rFonts w:ascii="仿宋_GB2312" w:hAnsi="仿宋_GB2312" w:cs="仿宋_GB2312" w:eastAsia="仿宋_GB2312"/>
                <w:sz w:val="21"/>
              </w:rPr>
              <w:t>全面收集本省现行交通规划、国土空间规划、产业发展规划、旅游发展规划等上位规划文件，梳理全省高速公路、普通国省干线、农村公路、市政道路路网布局、建设现状、技术参数；开展实地踏勘调研，全</w:t>
            </w:r>
            <w:r>
              <w:rPr>
                <w:rFonts w:ascii="仿宋_GB2312" w:hAnsi="仿宋_GB2312" w:cs="仿宋_GB2312" w:eastAsia="仿宋_GB2312"/>
                <w:sz w:val="21"/>
              </w:rPr>
              <w:t>面</w:t>
            </w:r>
            <w:r>
              <w:rPr>
                <w:rFonts w:ascii="仿宋_GB2312" w:hAnsi="仿宋_GB2312" w:cs="仿宋_GB2312" w:eastAsia="仿宋_GB2312"/>
                <w:sz w:val="21"/>
              </w:rPr>
              <w:t>摸排全省乡镇、省级及以上经济开发区 / 产业园区、4A 及以上旅游景区、综合交通枢纽（客运枢纽、物流枢纽）的空间布局、交通出行需求、现状高速连通情况；统计分析区域交通流量、出行结构、拥堵节点、衔接道路通行能力等基础数据，建立项目基础数据库。</w:t>
            </w:r>
          </w:p>
          <w:p>
            <w:pPr>
              <w:pStyle w:val="null3"/>
              <w:ind w:firstLine="400"/>
              <w:jc w:val="left"/>
            </w:pPr>
            <w:r>
              <w:rPr>
                <w:rFonts w:ascii="仿宋_GB2312" w:hAnsi="仿宋_GB2312" w:cs="仿宋_GB2312" w:eastAsia="仿宋_GB2312"/>
                <w:sz w:val="21"/>
              </w:rPr>
              <w:t>2.</w:t>
            </w:r>
            <w:r>
              <w:rPr>
                <w:rFonts w:ascii="仿宋_GB2312" w:hAnsi="仿宋_GB2312" w:cs="仿宋_GB2312" w:eastAsia="仿宋_GB2312"/>
                <w:sz w:val="21"/>
              </w:rPr>
              <w:t>路网衔接水平综合评估</w:t>
            </w:r>
            <w:r>
              <w:br/>
            </w:r>
            <w:r>
              <w:rPr>
                <w:rFonts w:ascii="仿宋_GB2312" w:hAnsi="仿宋_GB2312" w:cs="仿宋_GB2312" w:eastAsia="仿宋_GB2312"/>
                <w:sz w:val="21"/>
              </w:rPr>
              <w:t>基于调研数据，构建科学评估体系，从路网连通度、衔接道路技术等级、交通转换效率、出行便捷度、服务覆盖范围等维度，全面评估全省高速公路与周边各类路网的衔接匹配水平；精准梳理路网衔接断点、堵点、薄弱环节，深入剖析规划、建设、管理等层面存在的核心问题及成因。</w:t>
            </w:r>
          </w:p>
          <w:p>
            <w:pPr>
              <w:pStyle w:val="null3"/>
              <w:ind w:firstLine="400"/>
              <w:jc w:val="left"/>
            </w:pPr>
            <w:r>
              <w:rPr>
                <w:rFonts w:ascii="仿宋_GB2312" w:hAnsi="仿宋_GB2312" w:cs="仿宋_GB2312" w:eastAsia="仿宋_GB2312"/>
                <w:sz w:val="21"/>
              </w:rPr>
              <w:t>3.</w:t>
            </w:r>
            <w:r>
              <w:rPr>
                <w:rFonts w:ascii="仿宋_GB2312" w:hAnsi="仿宋_GB2312" w:cs="仿宋_GB2312" w:eastAsia="仿宋_GB2312"/>
                <w:sz w:val="21"/>
              </w:rPr>
              <w:t>重要节点交通需求分析</w:t>
            </w:r>
            <w:r>
              <w:br/>
            </w:r>
            <w:r>
              <w:rPr>
                <w:rFonts w:ascii="仿宋_GB2312" w:hAnsi="仿宋_GB2312" w:cs="仿宋_GB2312" w:eastAsia="仿宋_GB2312"/>
                <w:sz w:val="21"/>
              </w:rPr>
              <w:t>分类研判乡镇、产业园区、旅游景区、交通枢纽等不同类型重要节点的交通出行特征、流量流向、便捷上高速需求迫切程度，划分节点需求等级；结合区域经济发展、人口布局、产业规划，预测中长期交通出行增长趋势，明确路网衔接优化的重点区域、重点节点、重点路段。</w:t>
            </w:r>
          </w:p>
          <w:p>
            <w:pPr>
              <w:pStyle w:val="null3"/>
              <w:ind w:firstLine="400"/>
              <w:jc w:val="left"/>
            </w:pPr>
            <w:r>
              <w:rPr>
                <w:rFonts w:ascii="仿宋_GB2312" w:hAnsi="仿宋_GB2312" w:cs="仿宋_GB2312" w:eastAsia="仿宋_GB2312"/>
                <w:sz w:val="21"/>
              </w:rPr>
              <w:t>4.</w:t>
            </w:r>
            <w:r>
              <w:rPr>
                <w:rFonts w:ascii="仿宋_GB2312" w:hAnsi="仿宋_GB2312" w:cs="仿宋_GB2312" w:eastAsia="仿宋_GB2312"/>
                <w:sz w:val="21"/>
              </w:rPr>
              <w:t>路网衔接转换方案研究</w:t>
            </w:r>
            <w:r>
              <w:br/>
            </w:r>
            <w:r>
              <w:rPr>
                <w:rFonts w:ascii="仿宋_GB2312" w:hAnsi="仿宋_GB2312" w:cs="仿宋_GB2312" w:eastAsia="仿宋_GB2312"/>
                <w:sz w:val="21"/>
              </w:rPr>
              <w:t>结合现状路网条件、需求等级及国土空间规划要求，研究高速公路与普通国省干线、农村公路、市政道路的快速衔接转换模式，优化衔接路线走向、技术标准、出入口布局、交通组织方式；针对性制定连通短板节点的优化提升方案，明确近期实施项目、中长期规划思路，解决高速连通 “最后一公里” 问题。</w:t>
            </w:r>
          </w:p>
          <w:p>
            <w:pPr>
              <w:pStyle w:val="null3"/>
              <w:ind w:firstLine="400"/>
              <w:jc w:val="left"/>
            </w:pPr>
            <w:r>
              <w:rPr>
                <w:rFonts w:ascii="仿宋_GB2312" w:hAnsi="仿宋_GB2312" w:cs="仿宋_GB2312" w:eastAsia="仿宋_GB2312"/>
                <w:sz w:val="21"/>
              </w:rPr>
              <w:t>5.</w:t>
            </w:r>
            <w:r>
              <w:rPr>
                <w:rFonts w:ascii="仿宋_GB2312" w:hAnsi="仿宋_GB2312" w:cs="仿宋_GB2312" w:eastAsia="仿宋_GB2312"/>
                <w:sz w:val="21"/>
              </w:rPr>
              <w:t>高速出入口管理模式研究</w:t>
            </w:r>
            <w:r>
              <w:br/>
            </w:r>
            <w:r>
              <w:rPr>
                <w:rFonts w:ascii="仿宋_GB2312" w:hAnsi="仿宋_GB2312" w:cs="仿宋_GB2312" w:eastAsia="仿宋_GB2312"/>
                <w:sz w:val="21"/>
              </w:rPr>
              <w:t>系统调研中东部沿海发达省份、先进城市高速公路出入口规划建设、运营管理、交通管控、服务配套等成熟经验；结合本省路网现状、管理体制、地域特点，从出入口布局优化、交通管控提升、配套服务完善、运营管理创新等方面，探索适配本省的高速公路出入口全流程管理模式，提出可落地的优化措施。</w:t>
            </w:r>
          </w:p>
          <w:p>
            <w:pPr>
              <w:pStyle w:val="null3"/>
              <w:ind w:firstLine="400"/>
              <w:jc w:val="left"/>
            </w:pPr>
            <w:r>
              <w:rPr>
                <w:rFonts w:ascii="仿宋_GB2312" w:hAnsi="仿宋_GB2312" w:cs="仿宋_GB2312" w:eastAsia="仿宋_GB2312"/>
                <w:sz w:val="21"/>
              </w:rPr>
              <w:t>6.</w:t>
            </w:r>
            <w:r>
              <w:rPr>
                <w:rFonts w:ascii="仿宋_GB2312" w:hAnsi="仿宋_GB2312" w:cs="仿宋_GB2312" w:eastAsia="仿宋_GB2312"/>
                <w:sz w:val="21"/>
              </w:rPr>
              <w:t>成果编制与全流程配合</w:t>
            </w:r>
            <w:r>
              <w:br/>
            </w:r>
            <w:r>
              <w:rPr>
                <w:rFonts w:ascii="仿宋_GB2312" w:hAnsi="仿宋_GB2312" w:cs="仿宋_GB2312" w:eastAsia="仿宋_GB2312"/>
                <w:sz w:val="21"/>
              </w:rPr>
              <w:t>编制完成《全省高速公路与周边路网衔接规划研究报告》（含主报告、专题分析、数据附表），配套绘制全省高速路网衔接现状图、优化布局图、近期实施项目图等成果</w:t>
            </w:r>
            <w:r>
              <w:rPr>
                <w:rFonts w:ascii="仿宋_GB2312" w:hAnsi="仿宋_GB2312" w:cs="仿宋_GB2312" w:eastAsia="仿宋_GB2312"/>
                <w:sz w:val="21"/>
              </w:rPr>
              <w:t>图件</w:t>
            </w:r>
            <w:r>
              <w:rPr>
                <w:rFonts w:ascii="仿宋_GB2312" w:hAnsi="仿宋_GB2312" w:cs="仿宋_GB2312" w:eastAsia="仿宋_GB2312"/>
                <w:sz w:val="21"/>
              </w:rPr>
              <w:t>；配合采购方组织专家评审、成果汇报、修改完善、归档验收等工作，提供后续成果解读、技术咨询等配套服务。</w:t>
            </w:r>
          </w:p>
          <w:p>
            <w:pPr>
              <w:pStyle w:val="null3"/>
              <w:ind w:firstLine="402"/>
              <w:jc w:val="left"/>
            </w:pPr>
            <w:r>
              <w:rPr>
                <w:rFonts w:ascii="仿宋_GB2312" w:hAnsi="仿宋_GB2312" w:cs="仿宋_GB2312" w:eastAsia="仿宋_GB2312"/>
                <w:sz w:val="21"/>
                <w:b/>
              </w:rPr>
              <w:t>三</w:t>
            </w:r>
            <w:r>
              <w:rPr>
                <w:rFonts w:ascii="仿宋_GB2312" w:hAnsi="仿宋_GB2312" w:cs="仿宋_GB2312" w:eastAsia="仿宋_GB2312"/>
                <w:sz w:val="21"/>
                <w:b/>
              </w:rPr>
              <w:t>、服务要求</w:t>
            </w:r>
          </w:p>
          <w:p>
            <w:pPr>
              <w:pStyle w:val="null3"/>
              <w:ind w:firstLine="402"/>
              <w:jc w:val="left"/>
            </w:pPr>
            <w:r>
              <w:rPr>
                <w:rFonts w:ascii="仿宋_GB2312" w:hAnsi="仿宋_GB2312" w:cs="仿宋_GB2312" w:eastAsia="仿宋_GB2312"/>
                <w:sz w:val="21"/>
                <w:b/>
              </w:rPr>
              <w:t>（一）质量要求</w:t>
            </w:r>
          </w:p>
          <w:p>
            <w:pPr>
              <w:pStyle w:val="null3"/>
              <w:ind w:firstLine="400"/>
              <w:jc w:val="left"/>
            </w:pPr>
            <w:r>
              <w:rPr>
                <w:rFonts w:ascii="仿宋_GB2312" w:hAnsi="仿宋_GB2312" w:cs="仿宋_GB2312" w:eastAsia="仿宋_GB2312"/>
                <w:sz w:val="21"/>
              </w:rPr>
              <w:t>1.本项目研究成果须符合国家、交通运输部、本省现行公路交通行业相关法律法规、政策文件、技术标准、规范规程，与本省综合交通运输体系规划、国土空间规划等上位规划有效衔接；</w:t>
            </w:r>
          </w:p>
          <w:p>
            <w:pPr>
              <w:pStyle w:val="null3"/>
              <w:ind w:firstLine="400"/>
              <w:jc w:val="left"/>
            </w:pPr>
            <w:r>
              <w:rPr>
                <w:rFonts w:ascii="仿宋_GB2312" w:hAnsi="仿宋_GB2312" w:cs="仿宋_GB2312" w:eastAsia="仿宋_GB2312"/>
                <w:sz w:val="21"/>
              </w:rPr>
              <w:t>2.研究数据真实准确、调研内容全面详实、论证逻辑严谨清晰、方案建议科学可行、成果内容完整规范，能够切实指导本省高速公路与周边路网衔接优化工作；</w:t>
            </w:r>
          </w:p>
          <w:p>
            <w:pPr>
              <w:pStyle w:val="null3"/>
              <w:ind w:firstLine="400"/>
              <w:jc w:val="left"/>
            </w:pPr>
            <w:r>
              <w:rPr>
                <w:rFonts w:ascii="仿宋_GB2312" w:hAnsi="仿宋_GB2312" w:cs="仿宋_GB2312" w:eastAsia="仿宋_GB2312"/>
                <w:sz w:val="21"/>
              </w:rPr>
              <w:t>3.项目成果须通过采购方组织的专家评审会评审，按评审意见修改完善后完成最终验收，质量等级达到合格及以上标准，满足采购方审批、归档、实施指导等全部使用需求。</w:t>
            </w:r>
          </w:p>
          <w:p>
            <w:pPr>
              <w:pStyle w:val="null3"/>
              <w:ind w:firstLine="402"/>
              <w:jc w:val="left"/>
            </w:pPr>
            <w:r>
              <w:rPr>
                <w:rFonts w:ascii="仿宋_GB2312" w:hAnsi="仿宋_GB2312" w:cs="仿宋_GB2312" w:eastAsia="仿宋_GB2312"/>
                <w:sz w:val="21"/>
                <w:b/>
              </w:rPr>
              <w:t>（二）人员要求</w:t>
            </w:r>
          </w:p>
          <w:p>
            <w:pPr>
              <w:pStyle w:val="null3"/>
              <w:ind w:firstLine="400"/>
              <w:jc w:val="left"/>
            </w:pPr>
            <w:r>
              <w:rPr>
                <w:rFonts w:ascii="仿宋_GB2312" w:hAnsi="仿宋_GB2312" w:cs="仿宋_GB2312" w:eastAsia="仿宋_GB2312"/>
                <w:sz w:val="21"/>
              </w:rPr>
              <w:t>本项目实行项目负责人负责制，所有配备人员均为供应商专职人员，不得兼职，项目实施期间未经采购方书面同意，不得擅自更换项目负责人及核心团队成员，如需更换须提前 7 个工作日书面报备，且更换人员资质、业绩不低于原配置人员。</w:t>
            </w:r>
          </w:p>
          <w:p>
            <w:pPr>
              <w:pStyle w:val="null3"/>
              <w:ind w:firstLine="402"/>
              <w:jc w:val="left"/>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）服务周期要求</w:t>
            </w:r>
          </w:p>
          <w:p>
            <w:pPr>
              <w:pStyle w:val="null3"/>
              <w:ind w:firstLine="400"/>
              <w:jc w:val="left"/>
            </w:pPr>
            <w:r>
              <w:rPr>
                <w:rFonts w:ascii="仿宋_GB2312" w:hAnsi="仿宋_GB2312" w:cs="仿宋_GB2312" w:eastAsia="仿宋_GB2312"/>
                <w:sz w:val="21"/>
              </w:rPr>
              <w:t>自合同签订之日起1年，完成全部现状调研、数据分析、报告编制、图件绘制工作，提交初稿；初稿提交后15日历天内，根据专家评审意见完成修改完善，提交最终研究成果并通过项目验收。</w:t>
            </w:r>
          </w:p>
          <w:p>
            <w:pPr>
              <w:pStyle w:val="null3"/>
              <w:ind w:firstLine="402"/>
              <w:jc w:val="left"/>
            </w:pPr>
            <w:r>
              <w:rPr>
                <w:rFonts w:ascii="仿宋_GB2312" w:hAnsi="仿宋_GB2312" w:cs="仿宋_GB2312" w:eastAsia="仿宋_GB2312"/>
                <w:sz w:val="21"/>
                <w:b/>
              </w:rPr>
              <w:t>四、成果交付要求</w:t>
            </w:r>
          </w:p>
          <w:p>
            <w:pPr>
              <w:pStyle w:val="null3"/>
              <w:ind w:firstLine="402"/>
              <w:jc w:val="left"/>
            </w:pPr>
            <w:r>
              <w:rPr>
                <w:rFonts w:ascii="仿宋_GB2312" w:hAnsi="仿宋_GB2312" w:cs="仿宋_GB2312" w:eastAsia="仿宋_GB2312"/>
                <w:sz w:val="21"/>
                <w:b/>
              </w:rPr>
              <w:t>（一）交付资料清单</w:t>
            </w:r>
          </w:p>
          <w:p>
            <w:pPr>
              <w:pStyle w:val="null3"/>
              <w:ind w:firstLine="400"/>
              <w:jc w:val="left"/>
            </w:pPr>
            <w:r>
              <w:rPr>
                <w:rFonts w:ascii="仿宋_GB2312" w:hAnsi="仿宋_GB2312" w:cs="仿宋_GB2312" w:eastAsia="仿宋_GB2312"/>
                <w:sz w:val="21"/>
              </w:rPr>
              <w:t>1.《全省高速公路与周边路网衔接规划研究报告》纸质版 8 份，电子版 PDF（可编辑 Word 版）2 份；</w:t>
            </w:r>
          </w:p>
          <w:p>
            <w:pPr>
              <w:pStyle w:val="null3"/>
              <w:ind w:firstLine="400"/>
              <w:jc w:val="left"/>
            </w:pPr>
            <w:r>
              <w:rPr>
                <w:rFonts w:ascii="仿宋_GB2312" w:hAnsi="仿宋_GB2312" w:cs="仿宋_GB2312" w:eastAsia="仿宋_GB2312"/>
                <w:sz w:val="21"/>
              </w:rPr>
              <w:t>2.采购方要求的其他配套成果资料。</w:t>
            </w:r>
          </w:p>
          <w:p>
            <w:pPr>
              <w:pStyle w:val="null3"/>
              <w:ind w:firstLine="402"/>
              <w:jc w:val="left"/>
            </w:pPr>
            <w:r>
              <w:rPr>
                <w:rFonts w:ascii="仿宋_GB2312" w:hAnsi="仿宋_GB2312" w:cs="仿宋_GB2312" w:eastAsia="仿宋_GB2312"/>
                <w:sz w:val="21"/>
                <w:b/>
              </w:rPr>
              <w:t>（二）交付要求</w:t>
            </w:r>
          </w:p>
          <w:p>
            <w:pPr>
              <w:pStyle w:val="null3"/>
              <w:ind w:firstLine="400"/>
              <w:jc w:val="left"/>
            </w:pPr>
            <w:r>
              <w:rPr>
                <w:rFonts w:ascii="仿宋_GB2312" w:hAnsi="仿宋_GB2312" w:cs="仿宋_GB2312" w:eastAsia="仿宋_GB2312"/>
                <w:sz w:val="21"/>
              </w:rPr>
              <w:t>1.所有纸质成果采用 A4 纸张装订，研究报告封面采用硬质铜版纸，标注项目名称、编制单位、编制日期；</w:t>
            </w:r>
          </w:p>
          <w:p>
            <w:pPr>
              <w:pStyle w:val="null3"/>
              <w:ind w:firstLine="400"/>
              <w:jc w:val="left"/>
            </w:pPr>
            <w:r>
              <w:rPr>
                <w:rFonts w:ascii="仿宋_GB2312" w:hAnsi="仿宋_GB2312" w:cs="仿宋_GB2312" w:eastAsia="仿宋_GB2312"/>
                <w:sz w:val="21"/>
              </w:rPr>
              <w:t>2.电子版成果存储于 U 盘或移动硬盘，随纸质成果一并交付，文件命名规范、内容清晰，便于查阅、修改、归档；</w:t>
            </w:r>
          </w:p>
          <w:p>
            <w:pPr>
              <w:pStyle w:val="null3"/>
              <w:ind w:firstLine="400"/>
              <w:jc w:val="left"/>
            </w:pPr>
            <w:r>
              <w:rPr>
                <w:rFonts w:ascii="仿宋_GB2312" w:hAnsi="仿宋_GB2312" w:cs="仿宋_GB2312" w:eastAsia="仿宋_GB2312"/>
                <w:sz w:val="21"/>
              </w:rPr>
              <w:t>3.成果知识产权归采购方所有，供应商不得擅自外传、使用、发表本项目研究成果，需承担保密责任。</w:t>
            </w:r>
          </w:p>
          <w:p>
            <w:pPr>
              <w:pStyle w:val="null3"/>
              <w:ind w:firstLine="402"/>
              <w:jc w:val="left"/>
            </w:pPr>
            <w:r>
              <w:rPr>
                <w:rFonts w:ascii="仿宋_GB2312" w:hAnsi="仿宋_GB2312" w:cs="仿宋_GB2312" w:eastAsia="仿宋_GB2312"/>
                <w:sz w:val="21"/>
                <w:b/>
              </w:rPr>
              <w:t>五、售后服务要求</w:t>
            </w:r>
          </w:p>
          <w:p>
            <w:pPr>
              <w:pStyle w:val="null3"/>
              <w:ind w:firstLine="400"/>
              <w:jc w:val="left"/>
            </w:pPr>
            <w:r>
              <w:rPr>
                <w:rFonts w:ascii="仿宋_GB2312" w:hAnsi="仿宋_GB2312" w:cs="仿宋_GB2312" w:eastAsia="仿宋_GB2312"/>
                <w:sz w:val="21"/>
              </w:rPr>
              <w:t>1.项目验收通过后，提供12 个月免费技术售后服务期，售后服务期内无偿提供成果解读、技术咨询、数据核对、局部内容优化等服务；</w:t>
            </w:r>
          </w:p>
          <w:p>
            <w:pPr>
              <w:pStyle w:val="null3"/>
              <w:ind w:firstLine="400"/>
              <w:jc w:val="left"/>
            </w:pPr>
            <w:r>
              <w:rPr>
                <w:rFonts w:ascii="仿宋_GB2312" w:hAnsi="仿宋_GB2312" w:cs="仿宋_GB2312" w:eastAsia="仿宋_GB2312"/>
                <w:sz w:val="21"/>
              </w:rPr>
              <w:t>2.采购方因工作需要，要求供应商配合成果上报、项目对接、后续规划细化等工作时，供应商须在 24 小时内响应，3 个工作日内安排专业技术人员配合完成相关工作；</w:t>
            </w:r>
          </w:p>
          <w:p>
            <w:pPr>
              <w:pStyle w:val="null3"/>
              <w:ind w:firstLine="400"/>
              <w:jc w:val="left"/>
            </w:pPr>
            <w:r>
              <w:rPr>
                <w:rFonts w:ascii="仿宋_GB2312" w:hAnsi="仿宋_GB2312" w:cs="仿宋_GB2312" w:eastAsia="仿宋_GB2312"/>
                <w:sz w:val="21"/>
              </w:rPr>
              <w:t>3.无偿配合采购方完成上级主管部门对研究成果的审核、调研、答疑等工作。</w:t>
            </w:r>
          </w:p>
          <w:p>
            <w:pPr>
              <w:pStyle w:val="null3"/>
              <w:ind w:firstLine="402"/>
              <w:jc w:val="left"/>
            </w:pPr>
            <w:r>
              <w:rPr>
                <w:rFonts w:ascii="仿宋_GB2312" w:hAnsi="仿宋_GB2312" w:cs="仿宋_GB2312" w:eastAsia="仿宋_GB2312"/>
                <w:sz w:val="21"/>
                <w:b/>
              </w:rPr>
              <w:t>六、其他要求</w:t>
            </w:r>
          </w:p>
          <w:p>
            <w:pPr>
              <w:pStyle w:val="null3"/>
              <w:ind w:firstLine="400"/>
              <w:jc w:val="left"/>
            </w:pPr>
            <w:r>
              <w:rPr>
                <w:rFonts w:ascii="仿宋_GB2312" w:hAnsi="仿宋_GB2312" w:cs="仿宋_GB2312" w:eastAsia="仿宋_GB2312"/>
                <w:sz w:val="21"/>
              </w:rPr>
              <w:t>1.供应商须保证项目研究所用数据、资料来源合法，研究成果无知识产权侵权、版权纠纷，若产生法律责任，全部由供应商承担；</w:t>
            </w:r>
          </w:p>
          <w:p>
            <w:pPr>
              <w:pStyle w:val="null3"/>
              <w:ind w:firstLine="400"/>
              <w:jc w:val="left"/>
            </w:pPr>
            <w:r>
              <w:rPr>
                <w:rFonts w:ascii="仿宋_GB2312" w:hAnsi="仿宋_GB2312" w:cs="仿宋_GB2312" w:eastAsia="仿宋_GB2312"/>
                <w:sz w:val="21"/>
              </w:rPr>
              <w:t>2.项目实施过程中，供应商须严格遵守安全生产相关规定，做好现场调研安全防护，承担调研期间全部安全责任；</w:t>
            </w:r>
          </w:p>
          <w:p>
            <w:pPr>
              <w:pStyle w:val="null3"/>
              <w:ind w:firstLine="400"/>
              <w:jc w:val="left"/>
            </w:pPr>
            <w:r>
              <w:rPr>
                <w:rFonts w:ascii="仿宋_GB2312" w:hAnsi="仿宋_GB2312" w:cs="仿宋_GB2312" w:eastAsia="仿宋_GB2312"/>
                <w:sz w:val="21"/>
              </w:rPr>
              <w:t>3.供应商须严格遵守保密规定，对项目涉及的规划数据、基础资料、研究成果等信息严格保密，不得向第三方泄露；</w:t>
            </w:r>
          </w:p>
          <w:p>
            <w:pPr>
              <w:pStyle w:val="null3"/>
            </w:pPr>
            <w:r>
              <w:rPr>
                <w:rFonts w:ascii="仿宋_GB2312" w:hAnsi="仿宋_GB2312" w:cs="仿宋_GB2312" w:eastAsia="仿宋_GB2312"/>
                <w:sz w:val="21"/>
              </w:rPr>
              <w:t>4.供应商须按照采购方要求，定期报送项目进展情况，及时解决项目推进过程中的各类问题，确保按期交付成果。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符合国家、地方、行业相关合格标准及采购人要求，须经甲方验收通过。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其他，自本合同生效之日起，甲方收到乙方开具的全额合格增值税普通发票后，达到付款条件起60个工作日内，支付合同总金额的100.0%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磋商文件中融资相关内容与新政策要求有出入，按照最新要求执行。五、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供应商应提供2024年度或2025年度经审计的供应商财务会计报告或者提供响应文件截止时间3个月内其基本账户开户银行出具的资信证明（提供资信证明时需附开户行基本信息）。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供应商具备有效的工程设计综合甲级资质或者工程设计（公路行业）甲级资质或者工程设计公路行业（公路、交通工程）专业甲级资质且在有效期内。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采购需求分析与理解</w:t>
            </w:r>
          </w:p>
        </w:tc>
        <w:tc>
          <w:tcPr>
            <w:tcW w:type="dxa" w:w="2492"/>
          </w:tcPr>
          <w:p>
            <w:pPr>
              <w:pStyle w:val="null3"/>
            </w:pPr>
            <w:r>
              <w:rPr>
                <w:rFonts w:ascii="仿宋_GB2312" w:hAnsi="仿宋_GB2312" w:cs="仿宋_GB2312" w:eastAsia="仿宋_GB2312"/>
              </w:rPr>
              <w:t>一、评审内容 供应商对本项目采购需求的分析与理解，内容包含：①项目背景介绍及部署；②服务工作范围和内容；③目的和目标；④工作要求等方面。 二、评审标准 1、完整性：理解必须全面，对评审内容中的各项要求有详细描述； 2、可实施性：切合本项目实际情况，提出步骤清晰、合理的方案； 3、针对性：内容能够紧扣项目实际情况，内容科学合理。 三、赋分标准 ①项目背景介绍及部署：每完全满足一个评审标准得1分，基本满足得0.5分，不满足或未提供得0分，满分3分； ②服务工作范围和内容：每完全满足一个评审标准得1分，基本满足得0.5分，不满足或未提供得0分，满分3分； ③目的和目标：每完全满足一个评审标准得1分，基本满足得0.5分，不满足或未提供得0分，满分3分； ④工作要求等方面：每完全满足一个评审标准得1分，基本满足得0.5分，不满足或未提供得0分，满分3分。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供应商针对本项目编制科学合理的实施方案，内容包含：①项目总体服务思路；②项目研究拟解决的关键问题；③项目研究技术路线；④工作计划安排、工作流程及实施步骤；⑤项目成果编制与管理。 二、评审标准 1、完整性：理解必须全面，对评审内容中的各项要求有详细描述； 2、可实施性：切合本项目实际情况，提出步骤清晰、合理的方案； 3、针对性：内容能够紧扣项目实际情况，内容科学合理。 三、赋分标准 ①项目总体服务思路：每完全满足一个评审标准得1分，基本满足得0.5分，不满足或未提供得0分，满分3分； ②项目研究拟解决的关键问题：每完全满足一个评审标准得1分，基本满足得0.5分，不满足或未提供得0分，满分3分； ③项目研究技术路线：每完全满足一个评审标准得1分，基本满足得0.5分，不满足或未提供得0分，满分3分； ④工作计划安排、工作流程及实施步骤：每完全满足一个评审标准得1分，基本满足得0.5分，不满足或未提供得0分，满分3分； ⑤项目成果编制与管理：每完全满足一个评审标准得1分，基本满足得0.5分，不满足或未提供得0分，满分3分。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对本项目的重难点分析及有利于项目实施的合理化建议</w:t>
            </w:r>
          </w:p>
        </w:tc>
        <w:tc>
          <w:tcPr>
            <w:tcW w:type="dxa" w:w="2492"/>
          </w:tcPr>
          <w:p>
            <w:pPr>
              <w:pStyle w:val="null3"/>
            </w:pPr>
            <w:r>
              <w:rPr>
                <w:rFonts w:ascii="仿宋_GB2312" w:hAnsi="仿宋_GB2312" w:cs="仿宋_GB2312" w:eastAsia="仿宋_GB2312"/>
              </w:rPr>
              <w:t>一、评审内容 供应商针对本项目采购需求，提供对本项目的重难点分析及有利于项目实施的合理化建议，内容包含：①项目实施重难点分析；②结合类似项目服务经验，提出有利于项目实施合理化建议。 二、评审标准 1、完整性：理解必须全面，对评审内容中的各项要求有详细描述； 2、可实施性：切合本项目实际情况，提出步骤清晰、合理的方案； 3、针对性：内容能够紧扣项目实际情况，内容科学合理。 三、赋分标准 ①项目实施重难点分析：每完全满足一个评审标准得1分，基本满足得0.5分，不满足或未提供得0分，满分3分； ②结合类似项目服务经验，提出有利于项目实施合理化建议：每完全满足一个评审标准得1分，基本满足得0.5分，不满足或未提供得0分，满分3分。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针对采购内容提出适用于本项目的保障措施，包括：①成果文件编制规范性保障方案；②项目实施进度保障措施；③主要工作质量保证措施；④针对性的项目关键点实施的保证措施；⑤廉洁保密措施。 二、评审标准 1、完整性：理解必须全面，对评审内容中的各项要求有详细描述； 2、可实施性：切合本项目实际情况，提出步骤清晰、合理的方案； 3、针对性：内容能够紧扣项目实际情况，内容科学合理。 三、赋分标准 ①成果文件编制规范性保障方案：每完全满足一个评审标准得1分，基本满足得0.5分，不满足或未提供得0分，满分3分； ②项目实施进度保障措施：每完全满足一个评审标准得1分，基本满足得0.5分，不满足或未提供得0分，满分3分； ③主要工作质量保证措施：每完全满足一个评审标准得1分，基本满足得0.5分，不满足或未提供得0分，满分3分； ④针对性的项目关键点实施的保证措施：每完全满足一个评审标准得1分，基本满足得0.5分，不满足或未提供得0分，满分3分； ⑤廉洁保密措施：每完全满足一个评审标准得1分，基本满足得0.5分，不满足或未提供得0分，满分3分。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采购内容提出适用于本项目的服务承诺，包括：①对项目的实施质量要求、进度要求、时限要求等相关内容的承诺；②对项目数据和信息安全保密的承诺；③服务期限内人员到位及投入人员稳定性相关内容的承诺；④对临时任务的保障服务的承诺；⑤配合采购人对项目成果后期调整、修改及后续工作配合的承诺。 二、评审标准 1、完整性：理解必须全面，对评审内容中的各项要求有详细描述； 2、可实施性：切合本项目实际情况，提出步骤清晰、合理的方案； 3、针对性：内容能够紧扣项目实际情况，内容科学合理。 三、赋分标准 ①对项目的实施质量要求、进度要求、时限要求等相关内容的承诺：每完全满足一个评审标准得1分，基本满足得0.5分，不满足或未提供得0分，满分3分； ②对项目数据和信息安全保密的承诺：每完全满足一个评审标准得1分，基本满足得0.5分，不满足或未提供得0分，满分3分； ③服务期限内人员到位及投入人员稳定性相关内容的承诺：每完全满足一个评审标准得1分，基本满足得0.5分，不满足或未提供得0分，满分3分； ④对临时任务的保障服务的承诺：每完全满足一个评审标准得1分，基本满足得0.5分，不满足或未提供得0分，满分3分； ⑤配合采购人对项目成果后期调整、修改及后续工作配合的承诺：每完全满足一个评审标准得1分，基本满足得0.5分，不满足或未提供得0分，满分3分。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供应商近三年（2023年01月01日至今），具有1个同类业绩，得2分，满分12分。 注：提供中标（成交) 通知书或合同复印件加盖公章，合同内容完整，未提供不得分。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vMerge/>
          </w:tcPr>
          <w:p/>
        </w:tc>
        <w:tc>
          <w:tcPr>
            <w:tcW w:type="dxa" w:w="1661"/>
          </w:tcPr>
          <w:p>
            <w:pPr>
              <w:pStyle w:val="null3"/>
            </w:pPr>
            <w:r>
              <w:rPr>
                <w:rFonts w:ascii="仿宋_GB2312" w:hAnsi="仿宋_GB2312" w:cs="仿宋_GB2312" w:eastAsia="仿宋_GB2312"/>
              </w:rPr>
              <w:t>项目团队能力评审</w:t>
            </w:r>
          </w:p>
        </w:tc>
        <w:tc>
          <w:tcPr>
            <w:tcW w:type="dxa" w:w="2492"/>
          </w:tcPr>
          <w:p>
            <w:pPr>
              <w:pStyle w:val="null3"/>
            </w:pPr>
            <w:r>
              <w:rPr>
                <w:rFonts w:ascii="仿宋_GB2312" w:hAnsi="仿宋_GB2312" w:cs="仿宋_GB2312" w:eastAsia="仿宋_GB2312"/>
              </w:rPr>
              <w:t>①项目负责人具有交通相关专业（公路工程、桥梁工程、交通工程、交通规划等）高级及以上职称的得3分（须提供有效职称证书扫描件或复印件）； ②项目负责人具备硕士研究生及以上学历，得2分，具备本科学历的得1分，其他不得分（须提供有效学历证书扫描件或复印件）； ②项目负责人承担过同类项目的业绩（以合同复印件为准，体现项目负责人姓名），每提供1项3分，最高6分。 ③项目项目成员（除项目负责人外）交通相关专业（公路工程、桥梁工程、岩土工程、交通工程、交通规划等）中级及以上职称，每提供一个得1分，最高4分。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