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0EE7D">
      <w:pPr>
        <w:pStyle w:val="4"/>
        <w:spacing w:line="240" w:lineRule="auto"/>
        <w:ind w:left="0" w:leftChars="0" w:firstLine="0" w:firstLineChars="0"/>
        <w:jc w:val="center"/>
        <w:rPr>
          <w:rFonts w:hint="eastAsia" w:ascii="宋体" w:hAnsi="宋体" w:eastAsia="宋体" w:cs="宋体"/>
          <w:b/>
          <w:bCs/>
          <w:sz w:val="44"/>
          <w:szCs w:val="44"/>
          <w:lang w:eastAsia="zh-CN"/>
        </w:rPr>
      </w:pPr>
    </w:p>
    <w:p w14:paraId="7C0BE15C">
      <w:pPr>
        <w:pStyle w:val="4"/>
        <w:spacing w:line="240" w:lineRule="auto"/>
        <w:ind w:left="0" w:leftChars="0" w:firstLine="0" w:firstLineChars="0"/>
        <w:jc w:val="center"/>
        <w:rPr>
          <w:rFonts w:hint="eastAsia" w:ascii="宋体" w:hAnsi="宋体" w:eastAsia="宋体" w:cs="宋体"/>
          <w:b/>
          <w:bCs/>
          <w:sz w:val="44"/>
          <w:szCs w:val="44"/>
          <w:lang w:eastAsia="zh-CN"/>
        </w:rPr>
      </w:pPr>
    </w:p>
    <w:p w14:paraId="0221AEC0">
      <w:pPr>
        <w:pStyle w:val="4"/>
        <w:spacing w:line="240" w:lineRule="auto"/>
        <w:ind w:left="0" w:leftChars="0" w:firstLine="0" w:firstLineChars="0"/>
        <w:jc w:val="center"/>
        <w:rPr>
          <w:rFonts w:hint="eastAsia" w:ascii="宋体" w:hAnsi="宋体" w:eastAsia="宋体" w:cs="宋体"/>
          <w:b/>
          <w:bCs/>
          <w:sz w:val="44"/>
          <w:szCs w:val="44"/>
          <w:lang w:eastAsia="zh-CN"/>
        </w:rPr>
      </w:pPr>
    </w:p>
    <w:p w14:paraId="5A834BAD">
      <w:pPr>
        <w:pStyle w:val="4"/>
        <w:spacing w:line="240" w:lineRule="auto"/>
        <w:ind w:left="0" w:leftChars="0" w:firstLine="0" w:firstLineChars="0"/>
        <w:jc w:val="center"/>
        <w:rPr>
          <w:rFonts w:hint="eastAsia" w:ascii="宋体" w:hAnsi="宋体" w:eastAsia="宋体" w:cs="宋体"/>
          <w:b/>
          <w:bCs/>
          <w:sz w:val="44"/>
          <w:szCs w:val="44"/>
          <w:lang w:eastAsia="zh-CN"/>
        </w:rPr>
      </w:pPr>
    </w:p>
    <w:p w14:paraId="4EB965C7">
      <w:pPr>
        <w:pStyle w:val="4"/>
        <w:spacing w:line="240" w:lineRule="auto"/>
        <w:ind w:left="0" w:leftChars="0" w:firstLine="0" w:firstLineChars="0"/>
        <w:jc w:val="center"/>
        <w:rPr>
          <w:rFonts w:hint="eastAsia" w:ascii="宋体" w:hAnsi="宋体" w:eastAsia="宋体" w:cs="宋体"/>
          <w:b/>
          <w:bCs/>
          <w:sz w:val="44"/>
          <w:szCs w:val="44"/>
          <w:lang w:eastAsia="zh-CN"/>
        </w:rPr>
      </w:pPr>
    </w:p>
    <w:p w14:paraId="2DC16926">
      <w:pPr>
        <w:pStyle w:val="4"/>
        <w:spacing w:line="240" w:lineRule="auto"/>
        <w:ind w:left="0" w:leftChars="0" w:firstLine="0" w:firstLineChars="0"/>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全省高速公路与周边路网快速衔接转换</w:t>
      </w:r>
    </w:p>
    <w:p w14:paraId="493D7E8E">
      <w:pPr>
        <w:pStyle w:val="4"/>
        <w:spacing w:line="240" w:lineRule="auto"/>
        <w:ind w:left="0" w:leftChars="0" w:firstLine="0" w:firstLineChars="0"/>
        <w:jc w:val="center"/>
        <w:rPr>
          <w:rFonts w:hint="eastAsia" w:ascii="宋体" w:hAnsi="宋体" w:eastAsia="宋体" w:cs="宋体"/>
          <w:b/>
          <w:bCs/>
          <w:sz w:val="44"/>
          <w:szCs w:val="44"/>
        </w:rPr>
      </w:pPr>
      <w:r>
        <w:rPr>
          <w:rFonts w:hint="eastAsia" w:ascii="宋体" w:hAnsi="宋体" w:eastAsia="宋体" w:cs="宋体"/>
          <w:b/>
          <w:bCs/>
          <w:sz w:val="44"/>
          <w:szCs w:val="44"/>
          <w:lang w:eastAsia="zh-CN"/>
        </w:rPr>
        <w:t>策略研究</w:t>
      </w:r>
      <w:r>
        <w:rPr>
          <w:rFonts w:hint="eastAsia" w:ascii="宋体" w:hAnsi="宋体" w:eastAsia="宋体" w:cs="宋体"/>
          <w:b/>
          <w:bCs/>
          <w:sz w:val="44"/>
          <w:szCs w:val="44"/>
        </w:rPr>
        <w:t>项目合同</w:t>
      </w:r>
    </w:p>
    <w:p w14:paraId="43631495">
      <w:pPr>
        <w:pStyle w:val="4"/>
        <w:spacing w:line="360" w:lineRule="auto"/>
        <w:jc w:val="center"/>
        <w:rPr>
          <w:rFonts w:hint="eastAsia" w:ascii="仿宋" w:hAnsi="仿宋" w:eastAsia="仿宋" w:cs="仿宋"/>
          <w:b/>
          <w:bCs/>
          <w:sz w:val="44"/>
          <w:szCs w:val="44"/>
        </w:rPr>
      </w:pPr>
    </w:p>
    <w:p w14:paraId="6FC703E6">
      <w:pPr>
        <w:pStyle w:val="4"/>
        <w:spacing w:line="360" w:lineRule="auto"/>
        <w:jc w:val="center"/>
        <w:rPr>
          <w:rFonts w:hint="eastAsia" w:ascii="仿宋" w:hAnsi="仿宋" w:eastAsia="仿宋" w:cs="仿宋"/>
          <w:b/>
          <w:bCs/>
          <w:sz w:val="44"/>
          <w:szCs w:val="44"/>
        </w:rPr>
      </w:pPr>
    </w:p>
    <w:p w14:paraId="747A2428">
      <w:pPr>
        <w:pStyle w:val="4"/>
        <w:spacing w:line="360" w:lineRule="auto"/>
        <w:jc w:val="center"/>
        <w:rPr>
          <w:rFonts w:hint="eastAsia" w:ascii="仿宋" w:hAnsi="仿宋" w:eastAsia="仿宋" w:cs="仿宋"/>
          <w:b/>
          <w:bCs/>
          <w:sz w:val="44"/>
          <w:szCs w:val="44"/>
        </w:rPr>
      </w:pPr>
      <w:bookmarkStart w:id="1" w:name="_GoBack"/>
      <w:bookmarkEnd w:id="1"/>
    </w:p>
    <w:p w14:paraId="156EAA19">
      <w:pPr>
        <w:pStyle w:val="4"/>
        <w:spacing w:line="360" w:lineRule="auto"/>
        <w:jc w:val="center"/>
        <w:rPr>
          <w:rFonts w:hint="eastAsia" w:ascii="仿宋" w:hAnsi="仿宋" w:eastAsia="仿宋" w:cs="仿宋"/>
          <w:b/>
          <w:bCs/>
          <w:sz w:val="44"/>
          <w:szCs w:val="44"/>
        </w:rPr>
      </w:pPr>
    </w:p>
    <w:p w14:paraId="2D653477">
      <w:pPr>
        <w:pStyle w:val="4"/>
        <w:spacing w:line="360" w:lineRule="auto"/>
        <w:jc w:val="center"/>
        <w:rPr>
          <w:rFonts w:hint="eastAsia" w:ascii="仿宋" w:hAnsi="仿宋" w:eastAsia="仿宋" w:cs="仿宋"/>
          <w:b/>
          <w:bCs/>
          <w:sz w:val="44"/>
          <w:szCs w:val="44"/>
        </w:rPr>
      </w:pPr>
    </w:p>
    <w:p w14:paraId="2EE6F889">
      <w:pPr>
        <w:pStyle w:val="4"/>
        <w:spacing w:line="360" w:lineRule="auto"/>
        <w:jc w:val="center"/>
        <w:rPr>
          <w:rFonts w:hint="eastAsia" w:ascii="仿宋" w:hAnsi="仿宋" w:eastAsia="仿宋" w:cs="仿宋"/>
          <w:b/>
          <w:bCs/>
          <w:sz w:val="44"/>
          <w:szCs w:val="44"/>
        </w:rPr>
      </w:pPr>
    </w:p>
    <w:p w14:paraId="6AE85B22">
      <w:pPr>
        <w:pStyle w:val="4"/>
        <w:spacing w:line="600" w:lineRule="exact"/>
        <w:ind w:left="0" w:leftChars="0" w:firstLine="1687" w:firstLineChars="600"/>
        <w:jc w:val="both"/>
        <w:rPr>
          <w:rFonts w:hint="eastAsia" w:ascii="宋体" w:hAnsi="宋体" w:eastAsia="宋体" w:cs="宋体"/>
          <w:b/>
          <w:bCs/>
          <w:sz w:val="28"/>
          <w:szCs w:val="28"/>
        </w:rPr>
      </w:pPr>
      <w:r>
        <w:rPr>
          <w:rFonts w:hint="eastAsia" w:ascii="宋体" w:hAnsi="宋体" w:eastAsia="宋体" w:cs="宋体"/>
          <w:b/>
          <w:bCs/>
          <w:sz w:val="28"/>
          <w:szCs w:val="28"/>
        </w:rPr>
        <w:t>甲    方：</w:t>
      </w:r>
      <w:r>
        <w:rPr>
          <w:rFonts w:hint="eastAsia" w:ascii="宋体" w:hAnsi="宋体" w:eastAsia="宋体" w:cs="宋体"/>
          <w:b/>
          <w:bCs/>
          <w:sz w:val="28"/>
          <w:szCs w:val="28"/>
          <w:u w:val="single"/>
        </w:rPr>
        <w:t>陕西省交通运输厅</w:t>
      </w:r>
    </w:p>
    <w:p w14:paraId="26CC082C">
      <w:pPr>
        <w:pStyle w:val="4"/>
        <w:spacing w:line="600" w:lineRule="exact"/>
        <w:ind w:left="0" w:leftChars="0" w:firstLine="1687" w:firstLineChars="600"/>
        <w:jc w:val="both"/>
        <w:rPr>
          <w:rFonts w:hint="eastAsia" w:ascii="宋体" w:hAnsi="宋体" w:eastAsia="宋体" w:cs="宋体"/>
          <w:b/>
          <w:bCs/>
          <w:sz w:val="28"/>
          <w:szCs w:val="28"/>
          <w:u w:val="single"/>
        </w:rPr>
      </w:pPr>
      <w:r>
        <w:rPr>
          <w:rFonts w:hint="eastAsia" w:ascii="宋体" w:hAnsi="宋体" w:eastAsia="宋体" w:cs="宋体"/>
          <w:b/>
          <w:bCs/>
          <w:sz w:val="28"/>
          <w:szCs w:val="28"/>
        </w:rPr>
        <w:t>乙    方：</w:t>
      </w:r>
      <w:r>
        <w:rPr>
          <w:rFonts w:hint="eastAsia" w:ascii="宋体" w:hAnsi="宋体" w:eastAsia="宋体" w:cs="宋体"/>
          <w:sz w:val="28"/>
          <w:szCs w:val="28"/>
          <w:u w:val="single"/>
          <w:lang w:val="en-US" w:eastAsia="zh-CN"/>
        </w:rPr>
        <w:t xml:space="preserve">                </w:t>
      </w:r>
    </w:p>
    <w:p w14:paraId="3CB14F8B">
      <w:pPr>
        <w:pStyle w:val="4"/>
        <w:spacing w:line="600" w:lineRule="exact"/>
        <w:jc w:val="center"/>
        <w:rPr>
          <w:rFonts w:hint="eastAsia" w:ascii="宋体" w:hAnsi="宋体" w:eastAsia="宋体" w:cs="宋体"/>
          <w:sz w:val="44"/>
          <w:szCs w:val="44"/>
        </w:rPr>
      </w:pPr>
    </w:p>
    <w:p w14:paraId="18183E3F">
      <w:pPr>
        <w:pStyle w:val="4"/>
        <w:spacing w:line="600" w:lineRule="exact"/>
        <w:jc w:val="center"/>
        <w:rPr>
          <w:rFonts w:hint="eastAsia" w:ascii="宋体" w:hAnsi="宋体" w:eastAsia="宋体" w:cs="宋体"/>
          <w:sz w:val="24"/>
          <w:szCs w:val="24"/>
        </w:rPr>
      </w:pPr>
    </w:p>
    <w:p w14:paraId="03FE2EB7">
      <w:pPr>
        <w:pStyle w:val="4"/>
        <w:spacing w:line="600" w:lineRule="exact"/>
        <w:ind w:left="0" w:leftChars="0" w:firstLine="0" w:firstLineChars="0"/>
        <w:jc w:val="center"/>
        <w:rPr>
          <w:rFonts w:hint="eastAsia" w:ascii="宋体" w:hAnsi="宋体" w:eastAsia="宋体" w:cs="宋体"/>
          <w:b/>
          <w:bCs/>
          <w:color w:val="000000"/>
          <w:sz w:val="24"/>
          <w:szCs w:val="24"/>
          <w:lang w:val="zh-TW" w:bidi="zh-TW"/>
        </w:rPr>
        <w:sectPr>
          <w:pgSz w:w="11906" w:h="16838"/>
          <w:pgMar w:top="1440" w:right="1440" w:bottom="1440" w:left="1440" w:header="851" w:footer="992" w:gutter="0"/>
          <w:cols w:space="0" w:num="1"/>
          <w:docGrid w:type="lines" w:linePitch="312" w:charSpace="0"/>
        </w:sectPr>
      </w:pPr>
      <w:r>
        <w:rPr>
          <w:rFonts w:hint="eastAsia" w:ascii="宋体" w:hAnsi="宋体" w:eastAsia="宋体" w:cs="宋体"/>
          <w:sz w:val="24"/>
          <w:szCs w:val="24"/>
        </w:rPr>
        <w:t>二零二</w:t>
      </w:r>
      <w:r>
        <w:rPr>
          <w:rFonts w:hint="eastAsia" w:ascii="宋体" w:hAnsi="宋体" w:eastAsia="宋体" w:cs="宋体"/>
          <w:sz w:val="24"/>
          <w:szCs w:val="24"/>
          <w:lang w:val="en-US" w:eastAsia="zh-CN"/>
        </w:rPr>
        <w:t>六</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p>
    <w:p w14:paraId="66034195">
      <w:pPr>
        <w:tabs>
          <w:tab w:val="left" w:pos="1620"/>
        </w:tabs>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陕西省交通运输厅 </w:t>
      </w:r>
      <w:r>
        <w:rPr>
          <w:rFonts w:hint="eastAsia" w:ascii="仿宋_GB2312" w:hAnsi="仿宋_GB2312" w:eastAsia="仿宋_GB2312" w:cs="仿宋_GB2312"/>
          <w:sz w:val="24"/>
          <w:szCs w:val="24"/>
        </w:rPr>
        <w:t>（以下简称甲方）和</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（以下简称乙方）依据《中华人民共和国民法典》及相关法律法规的规定，本着负责、诚信、合作、协商的精神，同意就乙方承揽甲方</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eastAsia="zh-CN"/>
        </w:rPr>
        <w:t>全省高速公路与周边路网快速衔接转换策略研究</w:t>
      </w:r>
      <w:r>
        <w:rPr>
          <w:rFonts w:hint="eastAsia" w:ascii="仿宋_GB2312" w:hAnsi="仿宋_GB2312" w:eastAsia="仿宋_GB2312" w:cs="仿宋_GB2312"/>
          <w:sz w:val="24"/>
          <w:szCs w:val="24"/>
          <w:u w:val="single"/>
          <w:lang w:val="en-US" w:eastAsia="zh-CN"/>
        </w:rPr>
        <w:t>项目</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工作事宜达成以下条款，以资共同遵守执行。</w:t>
      </w:r>
    </w:p>
    <w:p w14:paraId="0BDF7BFD">
      <w:pPr>
        <w:widowControl/>
        <w:autoSpaceDE w:val="0"/>
        <w:autoSpaceDN w:val="0"/>
        <w:spacing w:line="576" w:lineRule="exact"/>
        <w:textAlignment w:val="bottom"/>
        <w:outlineLvl w:val="1"/>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一、服务内容和方式</w:t>
      </w:r>
    </w:p>
    <w:p w14:paraId="39733FB7">
      <w:pPr>
        <w:spacing w:line="576" w:lineRule="exact"/>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1.经甲乙双方协商同意，乙方按甲方要求承揽甲方</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eastAsia="zh-CN"/>
        </w:rPr>
        <w:t>全省高速公路与周边路网快速衔接转换策略研究</w:t>
      </w:r>
      <w:r>
        <w:rPr>
          <w:rFonts w:hint="eastAsia" w:ascii="仿宋_GB2312" w:hAnsi="仿宋_GB2312" w:eastAsia="仿宋_GB2312" w:cs="仿宋_GB2312"/>
          <w:sz w:val="24"/>
          <w:szCs w:val="24"/>
          <w:u w:val="single"/>
          <w:lang w:val="en-US" w:eastAsia="zh-CN"/>
        </w:rPr>
        <w:t xml:space="preserve">项目 </w:t>
      </w:r>
      <w:r>
        <w:rPr>
          <w:rFonts w:hint="eastAsia" w:ascii="仿宋_GB2312" w:hAnsi="仿宋_GB2312" w:eastAsia="仿宋_GB2312" w:cs="仿宋_GB2312"/>
          <w:sz w:val="24"/>
          <w:szCs w:val="24"/>
        </w:rPr>
        <w:t>。</w:t>
      </w:r>
    </w:p>
    <w:p w14:paraId="1C717D94">
      <w:pPr>
        <w:pStyle w:val="3"/>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2.服务内容：本项目紧扣国家</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交通强国</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乡村振兴</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重大战略部署，立足本省综合交通运输体系发展规划，针对当前高速公路与周边路网衔接不畅、重要节点连通不足、出入口管理模式滞后等现实问题，开展全省高速公路与周边路网快速衔接转换专项规划研究。通过全面现状摸排、需求分析、方案优化、模式创新，系统性解决高速公路连通 “最后一公里” 痛点，推动高速公路高效衔接乡镇、综合交通枢纽、省级及以上产业园区、4A 及以上旅游景区等关键节点，优化全域公路路网结构，提升高速公路路网整体运行效率、通行服务能力与辐射带动作用，助力区域经济协同发展、乡村全面振兴，满足群众安全、便捷、高效出行需求，持续提升公众出行满意度与获得感，为本省交通运输主管部门路网规划、项目决策、行业管理提供科学支撑。</w:t>
      </w:r>
    </w:p>
    <w:p w14:paraId="2CA1F8A7">
      <w:pPr>
        <w:keepNext w:val="0"/>
        <w:keepLines w:val="0"/>
        <w:pageBreakBefore w:val="0"/>
        <w:widowControl w:val="0"/>
        <w:kinsoku/>
        <w:wordWrap/>
        <w:overflowPunct/>
        <w:topLinePunct w:val="0"/>
        <w:autoSpaceDE w:val="0"/>
        <w:autoSpaceDN w:val="0"/>
        <w:bidi w:val="0"/>
        <w:adjustRightInd/>
        <w:snapToGrid/>
        <w:spacing w:line="576" w:lineRule="exact"/>
        <w:ind w:firstLine="480" w:firstLineChars="200"/>
        <w:textAlignment w:val="bottom"/>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3.服务方式：乙方承揽过程中所指派的工作人员要求健康，有经验，有能力，自愿接受并服从甲方工作安排及现场管理。在承揽</w:t>
      </w:r>
      <w:r>
        <w:rPr>
          <w:rFonts w:hint="eastAsia" w:ascii="仿宋_GB2312" w:hAnsi="仿宋_GB2312" w:eastAsia="仿宋_GB2312" w:cs="仿宋_GB2312"/>
          <w:sz w:val="24"/>
          <w:szCs w:val="24"/>
          <w:lang w:val="en-US" w:eastAsia="zh-CN"/>
        </w:rPr>
        <w:t>服务</w:t>
      </w:r>
      <w:r>
        <w:rPr>
          <w:rFonts w:hint="eastAsia" w:ascii="仿宋_GB2312" w:hAnsi="仿宋_GB2312" w:eastAsia="仿宋_GB2312" w:cs="仿宋_GB2312"/>
          <w:sz w:val="24"/>
          <w:szCs w:val="24"/>
        </w:rPr>
        <w:t>期内必须听从甲方现场项目经理的工作安排</w:t>
      </w:r>
      <w:r>
        <w:rPr>
          <w:rFonts w:hint="eastAsia" w:hAnsi="仿宋_GB2312" w:cs="仿宋_GB2312"/>
          <w:sz w:val="24"/>
          <w:szCs w:val="24"/>
          <w:lang w:eastAsia="zh-CN"/>
        </w:rPr>
        <w:t>；</w:t>
      </w:r>
      <w:r>
        <w:rPr>
          <w:rFonts w:hint="eastAsia" w:ascii="仿宋_GB2312" w:hAnsi="仿宋_GB2312" w:eastAsia="仿宋_GB2312" w:cs="仿宋_GB2312"/>
          <w:sz w:val="24"/>
          <w:szCs w:val="24"/>
        </w:rPr>
        <w:t>乙方人员应熟悉现场安全事项,如因自身过失违反规定或造成损失及伤害，乙方自行承担全部责任，不得向甲方索赔，且乙方应赔偿因此给甲方所造成的全部损失。</w:t>
      </w:r>
    </w:p>
    <w:p w14:paraId="14721847">
      <w:pPr>
        <w:widowControl/>
        <w:autoSpaceDE w:val="0"/>
        <w:autoSpaceDN w:val="0"/>
        <w:spacing w:line="576" w:lineRule="exact"/>
        <w:textAlignment w:val="bottom"/>
        <w:outlineLvl w:val="1"/>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二、合同有效期</w:t>
      </w:r>
    </w:p>
    <w:p w14:paraId="6F3B020E">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1.服务地点：甲方指定地点。</w:t>
      </w:r>
    </w:p>
    <w:p w14:paraId="0A97A198">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2.服务期限：自合同签订之日起1年。</w:t>
      </w:r>
    </w:p>
    <w:p w14:paraId="55DC4375">
      <w:pPr>
        <w:spacing w:line="576" w:lineRule="exact"/>
        <w:outlineLvl w:val="1"/>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三、合同双方责任</w:t>
      </w:r>
    </w:p>
    <w:p w14:paraId="1DA0CF9B">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1.甲方责任</w:t>
      </w:r>
    </w:p>
    <w:p w14:paraId="5F4D5E0B">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1）甲方应指定1人为项目经理，项目经理负责在合同执行过程中为乙方提供所需的协调、管理授权和工作环境等。</w:t>
      </w:r>
    </w:p>
    <w:p w14:paraId="64E06502">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2）甲方及时向乙方提供最新的有关开展工作时必要的文件资料，以支撑乙方合理的履行本合同时提供合适的服务。</w:t>
      </w:r>
    </w:p>
    <w:p w14:paraId="0752688A">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3）甲方在本合同履行期间，与乙方积极沟通，以积极的态度协调解决本合同履行的问题。</w:t>
      </w:r>
    </w:p>
    <w:p w14:paraId="3217F3C1">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4）甲方有权测试乙方人员的能力、技术水准和相关情况。甲方在实际工作过程中有证据证明不能胜任工作的，甲方有权要求乙方提供其他人员进行代替。替换人员的招聘双方另行约定。</w:t>
      </w:r>
    </w:p>
    <w:p w14:paraId="4BCAA5D4">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2.乙方责任</w:t>
      </w:r>
    </w:p>
    <w:p w14:paraId="2B7A5A24">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1）乙方派出具有所需要的技能、技术和有经验的称职合格人员参与甲方项目并保持人员稳定及充足。</w:t>
      </w:r>
    </w:p>
    <w:p w14:paraId="144B1F63">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2）乙方人员应具备工作积极性并服从甲方项目负责人的工作管理和安排，有义务在服务期间遵守甲方相关安全纪律和规章制度，甲方应事先将相关安全纪律和规章制度向乙方人员公开。</w:t>
      </w:r>
    </w:p>
    <w:p w14:paraId="32DF7CE0">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3）乙方人员对外以甲方的名义从事工作，有义务在为甲方提供服务期间尊重甲方的企业文化。</w:t>
      </w:r>
    </w:p>
    <w:p w14:paraId="5D795EC4">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4）乙方应制定外包项目所需的管理制度和考核制定，以保障派出人员的服务专业性。</w:t>
      </w:r>
    </w:p>
    <w:p w14:paraId="4606D336">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5）未经甲方书面同意，乙方不得将本项目转包或分包给第三方。</w:t>
      </w:r>
    </w:p>
    <w:p w14:paraId="5D493EDD">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6）在工作开展过程中，乙方应派项目联系人定期进行回访，及时发现问题并沟通解决。乙方</w:t>
      </w:r>
      <w:r>
        <w:rPr>
          <w:rFonts w:hint="eastAsia" w:ascii="仿宋_GB2312" w:hAnsi="仿宋_GB2312" w:eastAsia="仿宋_GB2312" w:cs="仿宋_GB2312"/>
          <w:sz w:val="24"/>
          <w:szCs w:val="24"/>
          <w:highlight w:val="none"/>
        </w:rPr>
        <w:t>有义务维护甲方的合法权益。未经甲方书面同意，乙方不得中途撤走派出人员。</w:t>
      </w:r>
    </w:p>
    <w:p w14:paraId="1DF05C61">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7）遵守国家有关安全保密法规，对本项目所涉及的信息应采取必要的保密措施。甲乙双方可另行签订《保密协议》。</w:t>
      </w:r>
    </w:p>
    <w:p w14:paraId="4A169C15">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8）乙方应当保证其交付给甲方的资料文档和工作成果不侵犯任何第三方的合法权益。如因乙方提供的产品导致知识产权纠纷，由此给甲方造成的损失或法律责任由乙方承担。</w:t>
      </w:r>
    </w:p>
    <w:p w14:paraId="260A21D3">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3.共同职责</w:t>
      </w:r>
    </w:p>
    <w:p w14:paraId="079EEC36">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1）双方人员在任何时候均应遵守客户的工作场所现场规定和安全规定。</w:t>
      </w:r>
    </w:p>
    <w:p w14:paraId="467E07D7">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2）如项目会议涉及到乙方在本合同项下的职责时，甲方项目经理应向乙方进行告知并通知乙方参加会议，乙方有义务参与会议。</w:t>
      </w:r>
    </w:p>
    <w:p w14:paraId="7D006E91">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3）在提供服务的过程中，双方指定的联系人应保持能够7*24小时畅通联系，如更换联系人或联系方式，应至少提前2天以书面形式通知对方，否则，该联系方式仍视为有效，由未通知方承担由此产生的相关责任。</w:t>
      </w:r>
    </w:p>
    <w:p w14:paraId="5D96D8F6">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4.保密及数据保护</w:t>
      </w:r>
    </w:p>
    <w:p w14:paraId="4A2AC3FF">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1）没有甲方事先书面同意，乙方人员不得复制、摘抄、拷贝所有商业信息。</w:t>
      </w:r>
    </w:p>
    <w:p w14:paraId="42C9441F">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2）没有甲方的书面同意，乙方不得向第三方发布或披露与本合同的有关任何细节。</w:t>
      </w:r>
    </w:p>
    <w:p w14:paraId="6C54F3DE">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3）甲方有权要求乙方人员签署保密协议。</w:t>
      </w:r>
    </w:p>
    <w:p w14:paraId="42B7EC8A">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5.各方确认</w:t>
      </w:r>
    </w:p>
    <w:p w14:paraId="4D52A7C3">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1）甲乙双方不建立劳务派遣关系或类似关系，乙方应向其员工承担用人单位的全部责任。</w:t>
      </w:r>
    </w:p>
    <w:p w14:paraId="02B197C6">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2）甲方不对乙方员工承担任何用人单位或劳务派遣用工单位的责任。</w:t>
      </w:r>
    </w:p>
    <w:p w14:paraId="1FA16EE4">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3）除因甲方原因导致其向乙方员工或雇员承担任何责任的，甲方有权向乙方追偿。</w:t>
      </w:r>
    </w:p>
    <w:p w14:paraId="46F83988">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6.乙方应与其员工签署劳动合同，依法缴纳社会保险，对员工承担用人单位的全部法定责任。</w:t>
      </w:r>
    </w:p>
    <w:p w14:paraId="303DD92E">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7.如因服务需要，乙方服务人员需要使用甲方提供的工作服装、员工卡等，均不能作为乙方服务人员与甲方建立劳动关系或用工管理的依据。</w:t>
      </w:r>
    </w:p>
    <w:p w14:paraId="11AB0884">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8.乙方应向其员工明确告知甲方与乙方员工无劳动关系或劳务派遣关系，不得向甲方主张用人单位或用工单位、雇主的责任。</w:t>
      </w:r>
    </w:p>
    <w:p w14:paraId="2D836576">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9.甲乙双方不构成代理关系，乙方不得以甲方名义对外签署或发布任何文件、制度等。</w:t>
      </w:r>
    </w:p>
    <w:p w14:paraId="44D0FBB7">
      <w:pPr>
        <w:spacing w:line="576"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四、服务费用</w:t>
      </w:r>
    </w:p>
    <w:p w14:paraId="2F024367">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1.服务费用支付</w:t>
      </w:r>
    </w:p>
    <w:p w14:paraId="69E76E14">
      <w:pPr>
        <w:spacing w:line="576"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自本合同生效之日起，甲方收到乙方开具的全额合格增值税普通发票后60</w:t>
      </w:r>
      <w:r>
        <w:rPr>
          <w:rFonts w:hint="eastAsia" w:hAnsi="仿宋_GB2312" w:cs="仿宋_GB2312"/>
          <w:sz w:val="24"/>
          <w:szCs w:val="24"/>
          <w:highlight w:val="none"/>
          <w:lang w:val="en-US" w:eastAsia="zh-CN"/>
        </w:rPr>
        <w:t>个工作日</w:t>
      </w:r>
      <w:r>
        <w:rPr>
          <w:rFonts w:hint="eastAsia" w:ascii="仿宋_GB2312" w:hAnsi="仿宋_GB2312" w:eastAsia="仿宋_GB2312" w:cs="仿宋_GB2312"/>
          <w:sz w:val="24"/>
          <w:szCs w:val="24"/>
          <w:highlight w:val="none"/>
        </w:rPr>
        <w:t>内，支付合同总金额的100.00%。</w:t>
      </w:r>
    </w:p>
    <w:p w14:paraId="1E44D64B">
      <w:pPr>
        <w:spacing w:line="576"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乙方未能按时出具发票或出具发票不合格的，甲方有权拒绝付款直至乙方开具出合格等额发票且甲方不承担逾期付款的责任，乙方损失由其自行承担。</w:t>
      </w:r>
    </w:p>
    <w:p w14:paraId="0FD04E11">
      <w:pPr>
        <w:spacing w:line="576" w:lineRule="exact"/>
        <w:ind w:firstLine="468" w:firstLineChars="195"/>
        <w:rPr>
          <w:rFonts w:hint="eastAsia" w:ascii="仿宋_GB2312" w:hAnsi="仿宋_GB2312" w:eastAsia="仿宋_GB2312" w:cs="仿宋_GB2312"/>
          <w:sz w:val="24"/>
          <w:szCs w:val="24"/>
        </w:rPr>
      </w:pPr>
      <w:r>
        <w:rPr>
          <w:rFonts w:hint="eastAsia" w:ascii="仿宋_GB2312" w:hAnsi="仿宋_GB2312" w:eastAsia="仿宋_GB2312" w:cs="仿宋_GB2312"/>
          <w:sz w:val="24"/>
          <w:szCs w:val="24"/>
          <w:highlight w:val="none"/>
        </w:rPr>
        <w:t>合同总价款（含税金额）：</w:t>
      </w:r>
      <w:r>
        <w:rPr>
          <w:rFonts w:hint="eastAsia" w:hAnsi="仿宋_GB2312" w:cs="仿宋_GB2312"/>
          <w:sz w:val="24"/>
          <w:szCs w:val="24"/>
          <w:highlight w:val="none"/>
          <w:lang w:val="en-US" w:eastAsia="zh-CN"/>
        </w:rPr>
        <w:t>¥</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（大写：人民币</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元整）。本合同约定的服务费用已经</w:t>
      </w:r>
      <w:r>
        <w:rPr>
          <w:rFonts w:hint="eastAsia" w:ascii="仿宋_GB2312" w:hAnsi="仿宋_GB2312" w:eastAsia="仿宋_GB2312" w:cs="仿宋_GB2312"/>
          <w:sz w:val="24"/>
          <w:szCs w:val="24"/>
        </w:rPr>
        <w:t>包含乙方提供服务的全部成本，包括但不限于税金、乙方人员的工资、社保等人工成本以及生日福利，员工体检，节日慰问，商业保险，防暑降温等其他成本。</w:t>
      </w:r>
    </w:p>
    <w:p w14:paraId="7E962A0A">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2.由于法律、政策等客观原因直接导致乙方服务成本增加的，乙方可相应调整项目费用标准并经甲方书面同意。乙方未经甲方同意擅自提高项目费用标准的，甲方可以解除本合同。</w:t>
      </w:r>
    </w:p>
    <w:p w14:paraId="6E1DACAE">
      <w:pPr>
        <w:widowControl/>
        <w:autoSpaceDE w:val="0"/>
        <w:autoSpaceDN w:val="0"/>
        <w:spacing w:line="576" w:lineRule="exact"/>
        <w:textAlignment w:val="bottom"/>
        <w:outlineLvl w:val="1"/>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五、支付方式</w:t>
      </w:r>
    </w:p>
    <w:p w14:paraId="4FBDAB55">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1.支付方式及币种</w:t>
      </w:r>
    </w:p>
    <w:p w14:paraId="38CE2D9A">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以人民币转账形式支付。</w:t>
      </w:r>
    </w:p>
    <w:p w14:paraId="36044D24">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账户信息如下：</w:t>
      </w:r>
    </w:p>
    <w:p w14:paraId="0644ADC6">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公司名称：            </w:t>
      </w:r>
    </w:p>
    <w:p w14:paraId="582EC653">
      <w:pPr>
        <w:spacing w:line="576" w:lineRule="exact"/>
        <w:ind w:firstLine="480" w:firstLineChars="200"/>
        <w:rPr>
          <w:rFonts w:hint="eastAsia" w:ascii="仿宋_GB2312" w:hAnsi="仿宋_GB2312" w:eastAsia="仿宋_GB2312" w:cs="仿宋_GB2312"/>
          <w:sz w:val="24"/>
          <w:szCs w:val="24"/>
        </w:rPr>
      </w:pPr>
      <w:r>
        <w:rPr>
          <w:rFonts w:hint="eastAsia" w:hAnsi="仿宋_GB2312" w:cs="仿宋_GB2312"/>
          <w:sz w:val="24"/>
          <w:szCs w:val="24"/>
          <w:lang w:val="en-US" w:eastAsia="zh-CN"/>
        </w:rPr>
        <w:t>账</w:t>
      </w:r>
      <w:r>
        <w:rPr>
          <w:rFonts w:hint="eastAsia" w:ascii="仿宋_GB2312" w:hAnsi="仿宋_GB2312" w:eastAsia="仿宋_GB2312" w:cs="仿宋_GB2312"/>
          <w:sz w:val="24"/>
          <w:szCs w:val="24"/>
        </w:rPr>
        <w:t xml:space="preserve">    号：            </w:t>
      </w:r>
    </w:p>
    <w:p w14:paraId="2289E0FD">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w:t>
      </w:r>
      <w:r>
        <w:rPr>
          <w:rFonts w:hint="eastAsia" w:hAnsi="仿宋_GB2312" w:cs="仿宋_GB2312"/>
          <w:sz w:val="24"/>
          <w:szCs w:val="24"/>
          <w:lang w:val="en-US" w:eastAsia="zh-CN"/>
        </w:rPr>
        <w:t xml:space="preserve"> </w:t>
      </w:r>
      <w:r>
        <w:rPr>
          <w:rFonts w:hint="eastAsia" w:ascii="仿宋_GB2312" w:hAnsi="仿宋_GB2312" w:eastAsia="仿宋_GB2312" w:cs="仿宋_GB2312"/>
          <w:sz w:val="24"/>
          <w:szCs w:val="24"/>
        </w:rPr>
        <w:t xml:space="preserve">户 行：            </w:t>
      </w:r>
    </w:p>
    <w:p w14:paraId="11235CA3">
      <w:pPr>
        <w:spacing w:line="576" w:lineRule="exact"/>
        <w:ind w:firstLine="480" w:firstLineChars="200"/>
        <w:rPr>
          <w:rFonts w:hint="eastAsia" w:ascii="仿宋_GB2312" w:hAnsi="仿宋_GB2312" w:eastAsia="仿宋_GB2312" w:cs="仿宋_GB2312"/>
          <w:sz w:val="24"/>
          <w:szCs w:val="24"/>
        </w:rPr>
      </w:pPr>
      <w:r>
        <w:rPr>
          <w:rFonts w:hint="eastAsia" w:hAnsi="仿宋_GB2312" w:cs="仿宋_GB2312"/>
          <w:sz w:val="24"/>
          <w:szCs w:val="24"/>
          <w:highlight w:val="none"/>
          <w:lang w:val="en-US" w:eastAsia="zh-CN"/>
        </w:rPr>
        <w:t>2.</w:t>
      </w:r>
      <w:r>
        <w:rPr>
          <w:rFonts w:hint="eastAsia" w:ascii="仿宋_GB2312" w:hAnsi="仿宋_GB2312" w:eastAsia="仿宋_GB2312" w:cs="仿宋_GB2312"/>
          <w:sz w:val="24"/>
          <w:szCs w:val="24"/>
          <w:highlight w:val="none"/>
        </w:rPr>
        <w:t>乙方保证以上账户信息真实有效，如变更需提前10个工作日书面通知甲方，否则由此造成的后果由乙方自行承担。</w:t>
      </w:r>
    </w:p>
    <w:p w14:paraId="76502036">
      <w:pPr>
        <w:widowControl/>
        <w:autoSpaceDE w:val="0"/>
        <w:autoSpaceDN w:val="0"/>
        <w:spacing w:line="576" w:lineRule="exact"/>
        <w:textAlignment w:val="bottom"/>
        <w:outlineLvl w:val="1"/>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六、质量控制</w:t>
      </w:r>
    </w:p>
    <w:p w14:paraId="305D922C">
      <w:pPr>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服务人员</w:t>
      </w:r>
      <w:r>
        <w:rPr>
          <w:rFonts w:hint="eastAsia" w:ascii="仿宋_GB2312" w:hAnsi="仿宋_GB2312" w:eastAsia="仿宋_GB2312" w:cs="仿宋_GB2312"/>
          <w:sz w:val="24"/>
          <w:szCs w:val="24"/>
        </w:rPr>
        <w:t>在为甲方提供服务期间，应积极配合甲方的工作安排。若出现配合不力时，乙方有义务协调解决。</w:t>
      </w:r>
    </w:p>
    <w:p w14:paraId="4A5EF5FD">
      <w:pPr>
        <w:spacing w:line="576"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rPr>
        <w:t>2.甲方应向</w:t>
      </w:r>
      <w:r>
        <w:rPr>
          <w:rFonts w:hint="eastAsia" w:ascii="仿宋_GB2312" w:hAnsi="仿宋_GB2312" w:eastAsia="仿宋_GB2312" w:cs="仿宋_GB2312"/>
          <w:sz w:val="24"/>
          <w:szCs w:val="24"/>
          <w:lang w:val="en-US" w:eastAsia="zh-CN"/>
        </w:rPr>
        <w:t>服务人员</w:t>
      </w:r>
      <w:r>
        <w:rPr>
          <w:rFonts w:hint="eastAsia" w:ascii="仿宋_GB2312" w:hAnsi="仿宋_GB2312" w:eastAsia="仿宋_GB2312" w:cs="仿宋_GB2312"/>
          <w:sz w:val="24"/>
          <w:szCs w:val="24"/>
          <w:highlight w:val="none"/>
        </w:rPr>
        <w:t>提供履行本合同所必须的数据和可以安全正常使用的设施、设备以及安全的工作场所。</w:t>
      </w:r>
    </w:p>
    <w:p w14:paraId="720E2C63">
      <w:pPr>
        <w:spacing w:line="576"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3.服务确认</w:t>
      </w:r>
    </w:p>
    <w:p w14:paraId="30B77415">
      <w:pPr>
        <w:spacing w:line="576"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乙方可视情况要求甲方就乙方所提供服务的数量、质量等提前5个工作日进行书面确认，甲方有义务完成并提出改进意见。</w:t>
      </w:r>
    </w:p>
    <w:p w14:paraId="3DAB7BE2">
      <w:pPr>
        <w:widowControl/>
        <w:autoSpaceDE w:val="0"/>
        <w:autoSpaceDN w:val="0"/>
        <w:spacing w:line="576" w:lineRule="exact"/>
        <w:textAlignment w:val="bottom"/>
        <w:outlineLvl w:val="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七、双方违约责任</w:t>
      </w:r>
    </w:p>
    <w:p w14:paraId="5502CF7C">
      <w:pPr>
        <w:widowControl/>
        <w:autoSpaceDE w:val="0"/>
        <w:autoSpaceDN w:val="0"/>
        <w:spacing w:line="576" w:lineRule="exact"/>
        <w:ind w:firstLine="468" w:firstLineChars="195"/>
        <w:textAlignment w:val="bottom"/>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1.下列情况视为乙方违约：</w:t>
      </w:r>
    </w:p>
    <w:p w14:paraId="255E05E7">
      <w:pPr>
        <w:widowControl/>
        <w:autoSpaceDE w:val="0"/>
        <w:autoSpaceDN w:val="0"/>
        <w:spacing w:line="576" w:lineRule="exact"/>
        <w:ind w:firstLine="468" w:firstLineChars="195"/>
        <w:textAlignment w:val="bottom"/>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rPr>
        <w:t>1）除合同第八条不可抗力原因和非乙方原因外，如乙方不能按本合同约定履行服务，即视为乙方违约，乙方须向甲方支付违约金，违约金的计算办法为每缺勤一天需支付100元违约金。缺勤超过10天的，甲方有权单方面解除合同，同时乙方除应退还甲方已支付的所有款项外，还应承担因此给甲</w:t>
      </w:r>
      <w:r>
        <w:rPr>
          <w:rFonts w:hint="eastAsia" w:ascii="仿宋_GB2312" w:hAnsi="仿宋_GB2312" w:eastAsia="仿宋_GB2312" w:cs="仿宋_GB2312"/>
          <w:sz w:val="24"/>
          <w:szCs w:val="24"/>
          <w:highlight w:val="none"/>
        </w:rPr>
        <w:t>方造成的所有损失。</w:t>
      </w:r>
    </w:p>
    <w:p w14:paraId="782DC817">
      <w:pPr>
        <w:widowControl/>
        <w:autoSpaceDE w:val="0"/>
        <w:autoSpaceDN w:val="0"/>
        <w:spacing w:line="576" w:lineRule="exact"/>
        <w:ind w:firstLine="468" w:firstLineChars="195"/>
        <w:textAlignment w:val="bottom"/>
        <w:rPr>
          <w:rFonts w:hint="eastAsia" w:ascii="仿宋_GB2312" w:hAnsi="仿宋_GB2312" w:eastAsia="仿宋_GB2312" w:cs="仿宋_GB2312"/>
          <w:sz w:val="24"/>
          <w:szCs w:val="24"/>
        </w:rPr>
      </w:pPr>
      <w:r>
        <w:rPr>
          <w:rFonts w:hint="eastAsia" w:ascii="仿宋_GB2312" w:hAnsi="仿宋_GB2312" w:eastAsia="仿宋_GB2312" w:cs="仿宋_GB2312"/>
          <w:sz w:val="24"/>
          <w:szCs w:val="24"/>
          <w:highlight w:val="none"/>
        </w:rPr>
        <w:t>2）如甲方要求乙方进行整改，乙方未能按期按要求整改的，每逾期一天乙方应支付合同总金额0.5%的违约金，如果超过限期三天，乙方仍未能完成整改的，甲方除有权另行安排人员进行整改，相应的整改费用由乙方承担，并有权要求解除合同</w:t>
      </w:r>
      <w:r>
        <w:rPr>
          <w:rFonts w:hint="eastAsia" w:ascii="仿宋_GB2312" w:hAnsi="仿宋_GB2312" w:eastAsia="仿宋_GB2312" w:cs="仿宋_GB2312"/>
          <w:sz w:val="24"/>
          <w:szCs w:val="24"/>
        </w:rPr>
        <w:t>。乙方除应退还甲方剩余期限的合同款项外，还应承担因此给甲方造成的所有损失。</w:t>
      </w:r>
    </w:p>
    <w:p w14:paraId="40FD9A26">
      <w:pPr>
        <w:widowControl/>
        <w:autoSpaceDE w:val="0"/>
        <w:autoSpaceDN w:val="0"/>
        <w:spacing w:line="576" w:lineRule="exact"/>
        <w:ind w:firstLine="468" w:firstLineChars="195"/>
        <w:textAlignment w:val="bottom"/>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rPr>
        <w:t>3）如乙方交付的服务成果不符合本合同的规定，不能通过甲方的验收，乙方应当在甲</w:t>
      </w:r>
      <w:r>
        <w:rPr>
          <w:rFonts w:hint="eastAsia" w:ascii="仿宋_GB2312" w:hAnsi="仿宋_GB2312" w:eastAsia="仿宋_GB2312" w:cs="仿宋_GB2312"/>
          <w:sz w:val="24"/>
          <w:szCs w:val="24"/>
          <w:highlight w:val="none"/>
        </w:rPr>
        <w:t>方指定期限内重新交付服务成果。如再次提交的服务成果仍不能通过甲方的验收，甲方有权解除合同。乙方除应退还甲方剩余期限的合同款项外，还应支付合同总价款10%的违约金并承担因此给甲方造成的所有损失。</w:t>
      </w:r>
    </w:p>
    <w:p w14:paraId="1F7BFB5D">
      <w:pPr>
        <w:widowControl/>
        <w:autoSpaceDE w:val="0"/>
        <w:autoSpaceDN w:val="0"/>
        <w:spacing w:line="576" w:lineRule="exact"/>
        <w:ind w:firstLine="468" w:firstLineChars="195"/>
        <w:textAlignment w:val="bottom"/>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4）乙方不得将本项目转包或分包，否则乙方应一次性支付甲方合同总价款10%违约金，同时承担因此给</w:t>
      </w:r>
      <w:r>
        <w:rPr>
          <w:rFonts w:hint="eastAsia" w:ascii="仿宋_GB2312" w:hAnsi="仿宋_GB2312" w:eastAsia="仿宋_GB2312" w:cs="仿宋_GB2312"/>
          <w:sz w:val="24"/>
          <w:szCs w:val="24"/>
        </w:rPr>
        <w:t>甲方造成的所有损失，且甲方有权单方面解除合</w:t>
      </w:r>
      <w:r>
        <w:rPr>
          <w:rFonts w:hint="eastAsia" w:ascii="仿宋_GB2312" w:hAnsi="仿宋_GB2312" w:eastAsia="仿宋_GB2312" w:cs="仿宋_GB2312"/>
          <w:sz w:val="24"/>
          <w:szCs w:val="24"/>
          <w:highlight w:val="none"/>
        </w:rPr>
        <w:t>同。</w:t>
      </w:r>
    </w:p>
    <w:p w14:paraId="792A123D">
      <w:pPr>
        <w:autoSpaceDE w:val="0"/>
        <w:autoSpaceDN w:val="0"/>
        <w:spacing w:line="576" w:lineRule="exact"/>
        <w:ind w:firstLine="468" w:firstLineChars="195"/>
        <w:textAlignment w:val="bottom"/>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2.下列情况视为甲方违约：</w:t>
      </w:r>
    </w:p>
    <w:p w14:paraId="5467C01F">
      <w:pPr>
        <w:autoSpaceDE w:val="0"/>
        <w:autoSpaceDN w:val="0"/>
        <w:spacing w:line="576" w:lineRule="exact"/>
        <w:ind w:firstLine="468" w:firstLineChars="195"/>
        <w:textAlignment w:val="bottom"/>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甲方未按合同约定支付服务费用的，每逾期一天应向乙方支付应付款项0.5‰的违约金，违约金最高不超过合同总价款的5%。</w:t>
      </w:r>
    </w:p>
    <w:p w14:paraId="505F4828">
      <w:pPr>
        <w:widowControl/>
        <w:autoSpaceDE w:val="0"/>
        <w:autoSpaceDN w:val="0"/>
        <w:spacing w:line="576" w:lineRule="exact"/>
        <w:ind w:firstLine="480" w:firstLineChars="200"/>
        <w:textAlignment w:val="bottom"/>
        <w:rPr>
          <w:rFonts w:hint="eastAsia" w:ascii="仿宋_GB2312" w:hAnsi="仿宋_GB2312" w:eastAsia="仿宋_GB2312" w:cs="仿宋_GB2312"/>
          <w:sz w:val="24"/>
          <w:szCs w:val="24"/>
        </w:rPr>
      </w:pPr>
      <w:r>
        <w:rPr>
          <w:rFonts w:hint="eastAsia" w:ascii="仿宋_GB2312" w:hAnsi="仿宋_GB2312" w:eastAsia="仿宋_GB2312" w:cs="仿宋_GB2312"/>
          <w:sz w:val="24"/>
          <w:szCs w:val="24"/>
          <w:highlight w:val="none"/>
        </w:rPr>
        <w:t>3.任何一方需支付的违约金数额超过合同总</w:t>
      </w:r>
      <w:r>
        <w:rPr>
          <w:rFonts w:hint="eastAsia" w:ascii="仿宋_GB2312" w:hAnsi="仿宋_GB2312" w:eastAsia="仿宋_GB2312" w:cs="仿宋_GB2312"/>
          <w:sz w:val="24"/>
          <w:szCs w:val="24"/>
        </w:rPr>
        <w:t>额的20％时，守约方有权解除合同，违约方仍需按上述约定支付违约金。</w:t>
      </w:r>
    </w:p>
    <w:p w14:paraId="47F3E20A">
      <w:pPr>
        <w:widowControl/>
        <w:autoSpaceDE w:val="0"/>
        <w:autoSpaceDN w:val="0"/>
        <w:spacing w:line="576" w:lineRule="exact"/>
        <w:ind w:firstLine="480" w:firstLineChars="200"/>
        <w:textAlignment w:val="bottom"/>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4.任何一方违反本合同约定，违约方需承担守约方实现债权的全部费用（包括但不限于诉讼费、执行费、律师费、保全费、保险费、公告费、鉴定费、评估费、调查费、拍卖费、交通费、文本制作费等）。</w:t>
      </w:r>
    </w:p>
    <w:p w14:paraId="2A4741E5">
      <w:pPr>
        <w:widowControl/>
        <w:autoSpaceDE w:val="0"/>
        <w:autoSpaceDN w:val="0"/>
        <w:spacing w:line="576" w:lineRule="exact"/>
        <w:ind w:firstLine="480" w:firstLineChars="200"/>
        <w:textAlignment w:val="bottom"/>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5.一方违约应向对方赔偿或支付违约金的，另一方有权在应向违约方支付的款项中直接扣除应赔偿的金额。</w:t>
      </w:r>
    </w:p>
    <w:p w14:paraId="6EABF5D8">
      <w:pPr>
        <w:widowControl/>
        <w:autoSpaceDE w:val="0"/>
        <w:autoSpaceDN w:val="0"/>
        <w:spacing w:line="576" w:lineRule="exact"/>
        <w:textAlignment w:val="bottom"/>
        <w:outlineLvl w:val="1"/>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八、不可抗力</w:t>
      </w:r>
    </w:p>
    <w:p w14:paraId="38327E50">
      <w:pPr>
        <w:widowControl/>
        <w:autoSpaceDE w:val="0"/>
        <w:autoSpaceDN w:val="0"/>
        <w:spacing w:line="576" w:lineRule="exact"/>
        <w:ind w:firstLine="468" w:firstLineChars="195"/>
        <w:textAlignment w:val="bottom"/>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1.如果任何一方因为不可抗力，如：战争，火灾，台风，洪水，地震等不可抗力且足以引起被迫停止或推迟合同执行的原因，则合同执行相应顺延，顺延的时间等于不可抗力发生作用的时间。</w:t>
      </w:r>
    </w:p>
    <w:p w14:paraId="35EE1A6B">
      <w:pPr>
        <w:widowControl/>
        <w:autoSpaceDE w:val="0"/>
        <w:autoSpaceDN w:val="0"/>
        <w:spacing w:line="576" w:lineRule="exact"/>
        <w:ind w:firstLine="468" w:firstLineChars="195"/>
        <w:textAlignment w:val="bottom"/>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rPr>
        <w:t>2.受影响的一方应将不可抗力的出现尽快通过电传或传真通知另一方。在不可抗力出现14天内，受影响的一方应提供一份有关权威机构出具</w:t>
      </w:r>
      <w:r>
        <w:rPr>
          <w:rFonts w:hint="eastAsia" w:ascii="仿宋_GB2312" w:hAnsi="仿宋_GB2312" w:eastAsia="仿宋_GB2312" w:cs="仿宋_GB2312"/>
          <w:sz w:val="24"/>
          <w:szCs w:val="24"/>
          <w:highlight w:val="none"/>
        </w:rPr>
        <w:t>的证明并通过快件或挂号信寄至对方以便其检验和确认。</w:t>
      </w:r>
    </w:p>
    <w:p w14:paraId="7A312EBD">
      <w:pPr>
        <w:widowControl/>
        <w:autoSpaceDE w:val="0"/>
        <w:autoSpaceDN w:val="0"/>
        <w:spacing w:line="576" w:lineRule="exact"/>
        <w:ind w:firstLine="468" w:firstLineChars="195"/>
        <w:textAlignment w:val="bottom"/>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3.受影响的一方应在不可抗力终止或被排除后的10个工作日内通过电传或传真通知另一方，并通过挂号信通知对方不可抗力已终结或排除，并继续合同的履行。</w:t>
      </w:r>
    </w:p>
    <w:p w14:paraId="2A22F78E">
      <w:pPr>
        <w:widowControl/>
        <w:autoSpaceDE w:val="0"/>
        <w:autoSpaceDN w:val="0"/>
        <w:spacing w:line="576" w:lineRule="exact"/>
        <w:ind w:firstLine="468" w:firstLineChars="195"/>
        <w:textAlignment w:val="bottom"/>
        <w:rPr>
          <w:rFonts w:hint="eastAsia" w:ascii="仿宋_GB2312" w:hAnsi="仿宋_GB2312" w:eastAsia="仿宋_GB2312" w:cs="仿宋_GB2312"/>
          <w:b/>
          <w:sz w:val="24"/>
          <w:szCs w:val="24"/>
        </w:rPr>
      </w:pPr>
      <w:r>
        <w:rPr>
          <w:rFonts w:hint="eastAsia" w:ascii="仿宋_GB2312" w:hAnsi="仿宋_GB2312" w:eastAsia="仿宋_GB2312" w:cs="仿宋_GB2312"/>
          <w:sz w:val="24"/>
          <w:szCs w:val="24"/>
        </w:rPr>
        <w:t>4.如果不可抗力持续作用超过120天，双方就合同是否继续履行进行协商。</w:t>
      </w:r>
    </w:p>
    <w:p w14:paraId="478252AC">
      <w:pPr>
        <w:widowControl/>
        <w:autoSpaceDE w:val="0"/>
        <w:autoSpaceDN w:val="0"/>
        <w:spacing w:line="576" w:lineRule="exact"/>
        <w:textAlignment w:val="bottom"/>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九、争议处理方式</w:t>
      </w:r>
    </w:p>
    <w:p w14:paraId="0F785944">
      <w:pPr>
        <w:widowControl/>
        <w:autoSpaceDE w:val="0"/>
        <w:autoSpaceDN w:val="0"/>
        <w:spacing w:line="576" w:lineRule="exact"/>
        <w:ind w:firstLine="480" w:firstLineChars="200"/>
        <w:textAlignment w:val="bottom"/>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凡因履行本协议所产生的或与本协议有关的任何争议，双方应通过协商解决，经协商后仍不能解决的，任何一方均可向甲方所在地法院提起诉讼。</w:t>
      </w:r>
    </w:p>
    <w:p w14:paraId="7FAD613F">
      <w:pPr>
        <w:widowControl/>
        <w:autoSpaceDE w:val="0"/>
        <w:autoSpaceDN w:val="0"/>
        <w:spacing w:line="576" w:lineRule="exact"/>
        <w:textAlignment w:val="bottom"/>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十、双方代表</w:t>
      </w:r>
    </w:p>
    <w:p w14:paraId="3D9FCC64">
      <w:pPr>
        <w:spacing w:line="576"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1.甲方委托</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bCs/>
          <w:sz w:val="24"/>
          <w:szCs w:val="24"/>
        </w:rPr>
        <w:t>为甲方联系人（联系电话：</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w:t>
      </w:r>
    </w:p>
    <w:p w14:paraId="44EFB5B0">
      <w:pPr>
        <w:keepNext w:val="0"/>
        <w:keepLines w:val="0"/>
        <w:pageBreakBefore w:val="0"/>
        <w:widowControl w:val="0"/>
        <w:kinsoku/>
        <w:wordWrap w:val="0"/>
        <w:overflowPunct/>
        <w:topLinePunct w:val="0"/>
        <w:autoSpaceDE/>
        <w:autoSpaceDN/>
        <w:bidi w:val="0"/>
        <w:adjustRightInd/>
        <w:snapToGrid/>
        <w:spacing w:line="576" w:lineRule="exact"/>
        <w:ind w:firstLine="480" w:firstLineChars="200"/>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2.乙方委托</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w:t>
      </w:r>
      <w:r>
        <w:rPr>
          <w:rFonts w:hint="eastAsia" w:ascii="仿宋_GB2312" w:hAnsi="仿宋_GB2312" w:eastAsia="仿宋_GB2312" w:cs="仿宋_GB2312"/>
          <w:bCs/>
          <w:sz w:val="24"/>
          <w:szCs w:val="24"/>
          <w:lang w:val="en-US" w:eastAsia="zh-CN"/>
        </w:rPr>
        <w:t>身份证号：</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)，联系电话:</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为项目负责人，</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w:t>
      </w:r>
      <w:r>
        <w:rPr>
          <w:rFonts w:hint="eastAsia" w:ascii="仿宋_GB2312" w:hAnsi="仿宋_GB2312" w:eastAsia="仿宋_GB2312" w:cs="仿宋_GB2312"/>
          <w:bCs/>
          <w:sz w:val="24"/>
          <w:szCs w:val="24"/>
          <w:lang w:val="en-US" w:eastAsia="zh-CN"/>
        </w:rPr>
        <w:t>身份证号：</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)，联系电话:</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为技术负责人，乙方项目负责人、技术负责人按甲方确认的项目组织计划(或项目方案)和依据合同发出的指令要求提供技术和服务支持。</w:t>
      </w:r>
    </w:p>
    <w:p w14:paraId="15FCF0A3">
      <w:pPr>
        <w:snapToGrid w:val="0"/>
        <w:spacing w:line="576"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本合同自双方法定代表人或授权代表人签字并加盖单位公章或合同专用章之日起生效。一式</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玖</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份，甲方执</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陆</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份，乙方执</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叁</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份，具有同等法律效力。</w:t>
      </w:r>
    </w:p>
    <w:p w14:paraId="6418C8BF">
      <w:pPr>
        <w:tabs>
          <w:tab w:val="left" w:pos="4935"/>
        </w:tabs>
        <w:spacing w:line="276" w:lineRule="auto"/>
        <w:rPr>
          <w:rFonts w:hint="eastAsia" w:ascii="仿宋" w:hAnsi="仿宋" w:eastAsia="仿宋" w:cs="仿宋"/>
          <w:sz w:val="24"/>
          <w:szCs w:val="24"/>
        </w:rPr>
      </w:pPr>
    </w:p>
    <w:p w14:paraId="240A62F8">
      <w:pPr>
        <w:tabs>
          <w:tab w:val="left" w:pos="4935"/>
        </w:tabs>
        <w:spacing w:line="276" w:lineRule="auto"/>
        <w:rPr>
          <w:rFonts w:hint="eastAsia" w:ascii="仿宋" w:hAnsi="仿宋" w:eastAsia="仿宋" w:cs="仿宋"/>
          <w:sz w:val="24"/>
          <w:szCs w:val="24"/>
        </w:rPr>
      </w:pPr>
    </w:p>
    <w:p w14:paraId="4CB17B4E">
      <w:pPr>
        <w:tabs>
          <w:tab w:val="left" w:pos="4935"/>
        </w:tabs>
        <w:spacing w:line="276" w:lineRule="auto"/>
        <w:rPr>
          <w:rFonts w:hint="eastAsia" w:ascii="仿宋" w:hAnsi="仿宋" w:eastAsia="仿宋" w:cs="仿宋"/>
          <w:sz w:val="24"/>
          <w:szCs w:val="24"/>
        </w:rPr>
      </w:pPr>
    </w:p>
    <w:tbl>
      <w:tblPr>
        <w:tblStyle w:val="5"/>
        <w:tblW w:w="9591" w:type="dxa"/>
        <w:tblInd w:w="-633" w:type="dxa"/>
        <w:tblLayout w:type="fixed"/>
        <w:tblCellMar>
          <w:top w:w="0" w:type="dxa"/>
          <w:left w:w="108" w:type="dxa"/>
          <w:bottom w:w="0" w:type="dxa"/>
          <w:right w:w="108" w:type="dxa"/>
        </w:tblCellMar>
      </w:tblPr>
      <w:tblGrid>
        <w:gridCol w:w="4881"/>
        <w:gridCol w:w="4710"/>
      </w:tblGrid>
      <w:tr w14:paraId="41328245">
        <w:tblPrEx>
          <w:tblCellMar>
            <w:top w:w="0" w:type="dxa"/>
            <w:left w:w="108" w:type="dxa"/>
            <w:bottom w:w="0" w:type="dxa"/>
            <w:right w:w="108" w:type="dxa"/>
          </w:tblCellMar>
        </w:tblPrEx>
        <w:trPr>
          <w:trHeight w:val="90" w:hRule="atLeast"/>
        </w:trPr>
        <w:tc>
          <w:tcPr>
            <w:tcW w:w="4881" w:type="dxa"/>
          </w:tcPr>
          <w:p w14:paraId="495310F0">
            <w:pPr>
              <w:tabs>
                <w:tab w:val="left" w:pos="980"/>
              </w:tabs>
              <w:kinsoku w:val="0"/>
              <w:spacing w:line="360" w:lineRule="auto"/>
              <w:rPr>
                <w:rFonts w:hint="eastAsia" w:ascii="仿宋_GB2312" w:hAnsi="仿宋_GB2312" w:eastAsia="仿宋_GB2312" w:cs="仿宋_GB2312"/>
                <w:sz w:val="24"/>
                <w:szCs w:val="24"/>
              </w:rPr>
            </w:pPr>
            <w:bookmarkStart w:id="0" w:name="_Hlk76374371"/>
            <w:r>
              <w:rPr>
                <w:rFonts w:hint="eastAsia" w:ascii="仿宋_GB2312" w:hAnsi="仿宋_GB2312" w:eastAsia="仿宋_GB2312" w:cs="仿宋_GB2312"/>
                <w:sz w:val="24"/>
                <w:szCs w:val="24"/>
              </w:rPr>
              <w:t>甲方：陕西省交通运输厅</w:t>
            </w:r>
          </w:p>
          <w:p w14:paraId="7DC403F7">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（盖章）</w:t>
            </w:r>
          </w:p>
        </w:tc>
        <w:tc>
          <w:tcPr>
            <w:tcW w:w="4710" w:type="dxa"/>
          </w:tcPr>
          <w:p w14:paraId="66D021DC">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w:t>
            </w:r>
          </w:p>
          <w:p w14:paraId="45A8AF77">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（盖章）</w:t>
            </w:r>
          </w:p>
        </w:tc>
      </w:tr>
      <w:tr w14:paraId="77355D12">
        <w:tblPrEx>
          <w:tblCellMar>
            <w:top w:w="0" w:type="dxa"/>
            <w:left w:w="108" w:type="dxa"/>
            <w:bottom w:w="0" w:type="dxa"/>
            <w:right w:w="108" w:type="dxa"/>
          </w:tblCellMar>
        </w:tblPrEx>
        <w:trPr>
          <w:trHeight w:val="90" w:hRule="atLeast"/>
        </w:trPr>
        <w:tc>
          <w:tcPr>
            <w:tcW w:w="4881" w:type="dxa"/>
          </w:tcPr>
          <w:p w14:paraId="204EAC62">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统一社会信用代码：116100000160001798</w:t>
            </w:r>
          </w:p>
        </w:tc>
        <w:tc>
          <w:tcPr>
            <w:tcW w:w="4710" w:type="dxa"/>
          </w:tcPr>
          <w:p w14:paraId="67BE8EF9">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统一社会信用代码：</w:t>
            </w:r>
          </w:p>
        </w:tc>
      </w:tr>
      <w:tr w14:paraId="36DDF623">
        <w:tblPrEx>
          <w:tblCellMar>
            <w:top w:w="0" w:type="dxa"/>
            <w:left w:w="108" w:type="dxa"/>
            <w:bottom w:w="0" w:type="dxa"/>
            <w:right w:w="108" w:type="dxa"/>
          </w:tblCellMar>
        </w:tblPrEx>
        <w:trPr>
          <w:trHeight w:val="90" w:hRule="atLeast"/>
        </w:trPr>
        <w:tc>
          <w:tcPr>
            <w:tcW w:w="4881" w:type="dxa"/>
          </w:tcPr>
          <w:p w14:paraId="242DF44F">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地址：陕西省西安市雁塔区唐延路6号</w:t>
            </w:r>
          </w:p>
        </w:tc>
        <w:tc>
          <w:tcPr>
            <w:tcW w:w="4710" w:type="dxa"/>
            <w:vAlign w:val="center"/>
          </w:tcPr>
          <w:p w14:paraId="05F8A76A">
            <w:pPr>
              <w:autoSpaceDE w:val="0"/>
              <w:autoSpaceDN w:val="0"/>
              <w:adjustRightInd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地址：</w:t>
            </w:r>
          </w:p>
        </w:tc>
      </w:tr>
      <w:tr w14:paraId="0C8570BD">
        <w:tblPrEx>
          <w:tblCellMar>
            <w:top w:w="0" w:type="dxa"/>
            <w:left w:w="108" w:type="dxa"/>
            <w:bottom w:w="0" w:type="dxa"/>
            <w:right w:w="108" w:type="dxa"/>
          </w:tblCellMar>
        </w:tblPrEx>
        <w:trPr>
          <w:trHeight w:val="90" w:hRule="atLeast"/>
        </w:trPr>
        <w:tc>
          <w:tcPr>
            <w:tcW w:w="4881" w:type="dxa"/>
          </w:tcPr>
          <w:p w14:paraId="1E6D7A3C">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邮政编码：710075</w:t>
            </w:r>
          </w:p>
        </w:tc>
        <w:tc>
          <w:tcPr>
            <w:tcW w:w="4710" w:type="dxa"/>
            <w:vAlign w:val="center"/>
          </w:tcPr>
          <w:p w14:paraId="4D4005DF">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邮政编码：</w:t>
            </w:r>
          </w:p>
        </w:tc>
      </w:tr>
      <w:tr w14:paraId="15B7A98F">
        <w:tblPrEx>
          <w:tblCellMar>
            <w:top w:w="0" w:type="dxa"/>
            <w:left w:w="108" w:type="dxa"/>
            <w:bottom w:w="0" w:type="dxa"/>
            <w:right w:w="108" w:type="dxa"/>
          </w:tblCellMar>
        </w:tblPrEx>
        <w:trPr>
          <w:trHeight w:val="90" w:hRule="atLeast"/>
        </w:trPr>
        <w:tc>
          <w:tcPr>
            <w:tcW w:w="4881" w:type="dxa"/>
          </w:tcPr>
          <w:p w14:paraId="66BF0A5D">
            <w:pPr>
              <w:tabs>
                <w:tab w:val="left" w:pos="980"/>
              </w:tabs>
              <w:kinsoku w:val="0"/>
              <w:spacing w:line="360" w:lineRule="auto"/>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highlight w:val="none"/>
              </w:rPr>
              <w:t>负责人（</w:t>
            </w:r>
            <w:r>
              <w:rPr>
                <w:rFonts w:hint="eastAsia" w:ascii="仿宋_GB2312" w:hAnsi="仿宋_GB2312" w:eastAsia="仿宋_GB2312" w:cs="仿宋_GB2312"/>
                <w:sz w:val="24"/>
                <w:szCs w:val="24"/>
              </w:rPr>
              <w:t>授权代理）：</w:t>
            </w:r>
            <w:r>
              <w:rPr>
                <w:rFonts w:hint="eastAsia" w:ascii="仿宋_GB2312" w:hAnsi="仿宋_GB2312" w:eastAsia="仿宋_GB2312" w:cs="仿宋_GB2312"/>
                <w:sz w:val="24"/>
                <w:szCs w:val="24"/>
                <w:u w:val="single"/>
              </w:rPr>
              <w:t xml:space="preserve">           </w:t>
            </w:r>
          </w:p>
          <w:p w14:paraId="79EFEA55">
            <w:pPr>
              <w:tabs>
                <w:tab w:val="left" w:pos="980"/>
              </w:tabs>
              <w:kinsoku w:val="0"/>
              <w:spacing w:line="360" w:lineRule="auto"/>
              <w:rPr>
                <w:sz w:val="24"/>
                <w:szCs w:val="24"/>
              </w:rPr>
            </w:pPr>
            <w:r>
              <w:rPr>
                <w:rFonts w:hint="eastAsia" w:ascii="仿宋_GB2312" w:hAnsi="仿宋_GB2312" w:eastAsia="仿宋_GB2312" w:cs="仿宋_GB2312"/>
                <w:sz w:val="24"/>
                <w:szCs w:val="24"/>
              </w:rPr>
              <w:t>（签字）</w:t>
            </w:r>
          </w:p>
        </w:tc>
        <w:tc>
          <w:tcPr>
            <w:tcW w:w="4710" w:type="dxa"/>
          </w:tcPr>
          <w:p w14:paraId="62FB951A">
            <w:pPr>
              <w:tabs>
                <w:tab w:val="left" w:pos="980"/>
              </w:tabs>
              <w:kinsoku w:val="0"/>
              <w:spacing w:line="360" w:lineRule="auto"/>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法定代表人（授权代理）：</w:t>
            </w:r>
            <w:r>
              <w:rPr>
                <w:rFonts w:hint="eastAsia" w:ascii="仿宋_GB2312" w:hAnsi="仿宋_GB2312" w:eastAsia="仿宋_GB2312" w:cs="仿宋_GB2312"/>
                <w:sz w:val="24"/>
                <w:szCs w:val="24"/>
                <w:u w:val="single"/>
              </w:rPr>
              <w:t xml:space="preserve">             </w:t>
            </w:r>
          </w:p>
          <w:p w14:paraId="04A59BA8">
            <w:pPr>
              <w:tabs>
                <w:tab w:val="left" w:pos="980"/>
              </w:tabs>
              <w:kinsoku w:val="0"/>
              <w:spacing w:line="360" w:lineRule="auto"/>
              <w:rPr>
                <w:sz w:val="24"/>
                <w:szCs w:val="24"/>
              </w:rPr>
            </w:pPr>
            <w:r>
              <w:rPr>
                <w:rFonts w:hint="eastAsia" w:ascii="仿宋_GB2312" w:hAnsi="仿宋_GB2312" w:eastAsia="仿宋_GB2312" w:cs="仿宋_GB2312"/>
                <w:sz w:val="24"/>
                <w:szCs w:val="24"/>
              </w:rPr>
              <w:t>（签字）</w:t>
            </w:r>
          </w:p>
        </w:tc>
      </w:tr>
      <w:tr w14:paraId="24FBFD6C">
        <w:tblPrEx>
          <w:tblCellMar>
            <w:top w:w="0" w:type="dxa"/>
            <w:left w:w="108" w:type="dxa"/>
            <w:bottom w:w="0" w:type="dxa"/>
            <w:right w:w="108" w:type="dxa"/>
          </w:tblCellMar>
        </w:tblPrEx>
        <w:trPr>
          <w:trHeight w:val="90" w:hRule="atLeast"/>
        </w:trPr>
        <w:tc>
          <w:tcPr>
            <w:tcW w:w="4881" w:type="dxa"/>
          </w:tcPr>
          <w:p w14:paraId="6733A3B9">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电话：029-88869050</w:t>
            </w:r>
          </w:p>
        </w:tc>
        <w:tc>
          <w:tcPr>
            <w:tcW w:w="4710" w:type="dxa"/>
          </w:tcPr>
          <w:p w14:paraId="397607C2">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w:t>
            </w:r>
          </w:p>
        </w:tc>
      </w:tr>
      <w:tr w14:paraId="3C4D3DB5">
        <w:tblPrEx>
          <w:tblCellMar>
            <w:top w:w="0" w:type="dxa"/>
            <w:left w:w="108" w:type="dxa"/>
            <w:bottom w:w="0" w:type="dxa"/>
            <w:right w:w="108" w:type="dxa"/>
          </w:tblCellMar>
        </w:tblPrEx>
        <w:trPr>
          <w:trHeight w:val="90" w:hRule="atLeast"/>
        </w:trPr>
        <w:tc>
          <w:tcPr>
            <w:tcW w:w="4881" w:type="dxa"/>
          </w:tcPr>
          <w:p w14:paraId="2C3CD201">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日期：     年    月    日</w:t>
            </w:r>
          </w:p>
        </w:tc>
        <w:tc>
          <w:tcPr>
            <w:tcW w:w="4710" w:type="dxa"/>
          </w:tcPr>
          <w:p w14:paraId="51699798">
            <w:pPr>
              <w:tabs>
                <w:tab w:val="left" w:pos="980"/>
              </w:tabs>
              <w:kinsoku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日期：     年    月    日</w:t>
            </w:r>
          </w:p>
        </w:tc>
      </w:tr>
      <w:bookmarkEnd w:id="0"/>
    </w:tbl>
    <w:p w14:paraId="18931A85">
      <w:pPr>
        <w:rPr>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CABA55EB">
    <w:panose1 w:val="020B0503020204020204"/>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5309E"/>
    <w:rsid w:val="3C8D3158"/>
    <w:rsid w:val="611B30E3"/>
    <w:rsid w:val="73043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40" w:lineRule="exact"/>
      <w:ind w:firstLine="200" w:firstLineChars="200"/>
      <w:jc w:val="both"/>
    </w:pPr>
    <w:rPr>
      <w:rFonts w:ascii="仿宋_GB2312" w:hAnsi="Times New Roman" w:eastAsia="仿宋_GB2312" w:cstheme="minorBidi"/>
      <w:kern w:val="2"/>
      <w:sz w:val="32"/>
      <w:szCs w:val="22"/>
      <w:lang w:val="en-US" w:eastAsia="zh-CN" w:bidi="ar-SA"/>
    </w:rPr>
  </w:style>
  <w:style w:type="paragraph" w:styleId="2">
    <w:name w:val="heading 1"/>
    <w:basedOn w:val="1"/>
    <w:next w:val="1"/>
    <w:link w:val="7"/>
    <w:qFormat/>
    <w:uiPriority w:val="0"/>
    <w:pPr>
      <w:keepNext/>
      <w:keepLines/>
      <w:spacing w:line="360" w:lineRule="auto"/>
      <w:jc w:val="center"/>
      <w:outlineLvl w:val="0"/>
    </w:pPr>
    <w:rPr>
      <w:b/>
      <w:bCs/>
      <w:kern w:val="44"/>
      <w:sz w:val="30"/>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character" w:customStyle="1" w:styleId="7">
    <w:name w:val="标题 1 Char"/>
    <w:link w:val="2"/>
    <w:qFormat/>
    <w:uiPriority w:val="0"/>
    <w:rPr>
      <w:b/>
      <w:bCs/>
      <w:kern w:val="44"/>
      <w:sz w:val="30"/>
      <w:szCs w:val="4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4221</Words>
  <Characters>4335</Characters>
  <Lines>0</Lines>
  <Paragraphs>0</Paragraphs>
  <TotalTime>1</TotalTime>
  <ScaleCrop>false</ScaleCrop>
  <LinksUpToDate>false</LinksUpToDate>
  <CharactersWithSpaces>4676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2026-05-29T03:54:00Z</dcterms:created>
  <dc:creator>W</dc:creator>
  <cp:lastModifiedBy>WPS_1777026681</cp:lastModifiedBy>
  <dcterms:modified xsi:type="dcterms:W3CDTF">2026-05-29T04:53:48Z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eyJoZGlkIjoiNzNlNmY1N2M1NzM2ZDVlNDc4Y2JjNjc0YjQwODU1NmQiLCJ1c2VySWQiOiIxODI1MDk3MzAxIn0=</vt:lpwstr>
  </property>
  <property fmtid="{D5CDD505-2E9C-101B-9397-08002B2CF9AE}" pid="4" name="ICV">
    <vt:lpwstr>81758E96952A466AA488E64E9F1DEDEE_12</vt:lpwstr>
  </property>
</Properties>
</file>