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70BFA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一、项目概况</w:t>
      </w:r>
    </w:p>
    <w:p w14:paraId="2A39F455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我院日常公文文件和案件材料的印制需求较大。目前缺少文印设备，无法提供高效可靠的印制输出及装订处理。为补齐我院文印设备短板，不断提升公文文件和办案文书的印制质量、满足办公办案需要，进一步规范院内集中文印管理秩序、降低运行成本，计划采购文印设备。</w:t>
      </w:r>
    </w:p>
    <w:p w14:paraId="3AB6064C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二、服务内容</w:t>
      </w:r>
    </w:p>
    <w:p w14:paraId="539171FE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工作区域:西安市人民检察院文印室。</w:t>
      </w:r>
    </w:p>
    <w:p w14:paraId="6CB3902B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工作内容如下:</w:t>
      </w:r>
    </w:p>
    <w:p w14:paraId="1D00844B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1、印制内容:根据办公办案实际需求，进行文件材料的印制;保证A3、A4幅面均可进行双面的打印、扫描复印;彩色、黑白的着色清晰、无拖影、不漏粉漏墨;走纸顺畅、不歪斜。</w:t>
      </w:r>
    </w:p>
    <w:p w14:paraId="591BFC1B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2、装订内容:根据实际装订需要，进行平订、骑马订、小册子折页的装订处理。</w:t>
      </w:r>
    </w:p>
    <w:p w14:paraId="4024255F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3、设备维保:完成整机和部组件的季维保、半年维保、年维保;保证设备外壳、内部的清洁干净、无杂物;保证操作面板、印制组件、扫描组件、装订组件、纸盒组件性能良好;保证运行无异常振动、无异响。维保计划完成率:100%。</w:t>
      </w:r>
    </w:p>
    <w:p w14:paraId="0A7D9642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三、性能规格要求</w:t>
      </w:r>
    </w:p>
    <w:p w14:paraId="72FBEB9C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1、印制颜色:支持彩色输出;</w:t>
      </w:r>
    </w:p>
    <w:p w14:paraId="05519A67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2、设备制式:激光或喷墨;</w:t>
      </w:r>
    </w:p>
    <w:p w14:paraId="7B230B53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3、打复印要求:支持常用A3、A4幅面的自动双面输出，速度不低于70页/分钟，打印分辨率不低于1800*600dpi;</w:t>
      </w:r>
    </w:p>
    <w:p w14:paraId="17D4EAD0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4、扫描要求:含双面扫描自动送稿器，具备双面扫描功能，速度不低于100页/分钟，扫描分辨率不低于600*600dpi;</w:t>
      </w:r>
    </w:p>
    <w:p w14:paraId="53786BAD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5、装订要求:装订组件具备平订、骑马订、小册子折页等常用功能;</w:t>
      </w:r>
    </w:p>
    <w:p w14:paraId="4B50A405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6、纸盒:含大容量纸盒或多层纸盒，容量不少于2000张;</w:t>
      </w:r>
    </w:p>
    <w:p w14:paraId="612A8072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7、其他:符合信创要求，适配国产化的操作系统、平台、流式软件、版式软件和浏览器等;打印、扫描、装订等设置均可在计算机中进行配置和操作;不得安装WiFi、蓝牙等无线模块。</w:t>
      </w:r>
    </w:p>
    <w:p w14:paraId="543703CE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四、供货要求</w:t>
      </w:r>
    </w:p>
    <w:p w14:paraId="6A98383D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1、供货商应根据采购人要求在合同签订后30日内供货，并送货上门到指定地点。采用坚固可靠的包装箱进行包装运送，防潮、抗震、防压。产品必须符合国家相关法律及行业标准要求，做工、材质、性能规格要与采购人要求相一致。供货商提供的产品须有产品合格证。存在争议时采购人享有最高解释权。</w:t>
      </w:r>
    </w:p>
    <w:p w14:paraId="0F4D2EDD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2、在质保期内出现质量问题或发生非人为原因的故障、损坏的，由供货商负责进行维修更换或退换，确保所提供的产品合格率达到100%。需要更换部组件或零件的，应使用原厂配件。因原厂停产或市场上确无原厂配件的，经采购人同意后，可使用符合原厂技术要求的第三方配件。供货商必须制订安全、有效的特殊情况应急预案，以确保产品的供给。</w:t>
      </w:r>
    </w:p>
    <w:p w14:paraId="4DB78623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3、供货商须具有足够服务人员数量及维修能力，进行本地化相关服务。</w:t>
      </w:r>
    </w:p>
    <w:p w14:paraId="3188EFAF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五、其他</w:t>
      </w:r>
    </w:p>
    <w:p w14:paraId="5E66CCED">
      <w:pPr>
        <w:pStyle w:val="4"/>
        <w:spacing w:line="360" w:lineRule="auto"/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1、安装调试和操作培训：送货后，由供货商安排具有现场经验的人员负责调试测试，并对采购人的相关使用人员开展必要培训。</w:t>
      </w:r>
    </w:p>
    <w:p w14:paraId="2766593A"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2、故障维修响应：在质保期内，对采购人提出的故障维修的申告，供货商技术人员到达现场处置的时间为：紧急情况6小时，一般情况24小时。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3E6224"/>
    <w:rsid w:val="7BDC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2026-06-08T04:08:48Z</dcterms:created>
  <dc:creator>Admin</dc:creator>
  <cp:lastModifiedBy>WPS_1544074700</cp:lastModifiedBy>
  <dcterms:modified xsi:type="dcterms:W3CDTF">2026-06-08T04:08:58Z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eyJoZGlkIjoiZDY2YTQxMzU4NDgxNTA3ODJiZDMwNmVhMGQ5ODk0YTkiLCJ1c2VySWQiOiI0Mzk3ODY0MTQifQ==</vt:lpwstr>
  </property>
  <property fmtid="{D5CDD505-2E9C-101B-9397-08002B2CF9AE}" pid="4" name="ICV">
    <vt:lpwstr>BA0F6486E3FD4066BE2E50D401E590DE_12</vt:lpwstr>
  </property>
</Properties>
</file>