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版本号：SXBX-ZFCG-202601020260520001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2026年洋县戚氏街道戚氏村十组中药材加工厂建设项目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SXBX-ZFCG-2026010</w:t>
      </w:r>
      <w:r>
        <w:br/>
      </w:r>
      <w:r>
        <w:br/>
      </w:r>
      <w:r>
        <w:br/>
      </w:r>
    </w:p>
    <w:p>
      <w:pPr>
        <w:pStyle w:val="null3"/>
        <w:jc w:val="center"/>
        <w:outlineLvl w:val="2"/>
      </w:pPr>
      <w:r>
        <w:rPr>
          <w:rFonts w:ascii="仿宋_GB2312" w:hAnsi="仿宋_GB2312" w:cs="仿宋_GB2312" w:eastAsia="仿宋_GB2312"/>
          <w:sz w:val="28"/>
          <w:b/>
        </w:rPr>
        <w:t>洋县戚氏街道办事处</w:t>
      </w:r>
    </w:p>
    <w:p>
      <w:pPr>
        <w:pStyle w:val="null3"/>
        <w:jc w:val="center"/>
        <w:outlineLvl w:val="2"/>
      </w:pPr>
      <w:r>
        <w:rPr>
          <w:rFonts w:ascii="仿宋_GB2312" w:hAnsi="仿宋_GB2312" w:cs="仿宋_GB2312" w:eastAsia="仿宋_GB2312"/>
          <w:sz w:val="28"/>
          <w:b/>
        </w:rPr>
        <w:t>陕西柏骁项目管理有限公司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陕西柏骁项目管理有限公司</w:t>
      </w:r>
      <w:r>
        <w:rPr>
          <w:rFonts w:ascii="仿宋_GB2312" w:hAnsi="仿宋_GB2312" w:cs="仿宋_GB2312" w:eastAsia="仿宋_GB2312"/>
        </w:rPr>
        <w:t>（以下简称“代理机构”）受</w:t>
      </w:r>
      <w:r>
        <w:rPr>
          <w:rFonts w:ascii="仿宋_GB2312" w:hAnsi="仿宋_GB2312" w:cs="仿宋_GB2312" w:eastAsia="仿宋_GB2312"/>
        </w:rPr>
        <w:t>洋县戚氏街道办事处</w:t>
      </w:r>
      <w:r>
        <w:rPr>
          <w:rFonts w:ascii="仿宋_GB2312" w:hAnsi="仿宋_GB2312" w:cs="仿宋_GB2312" w:eastAsia="仿宋_GB2312"/>
        </w:rPr>
        <w:t>委托，拟对</w:t>
      </w:r>
      <w:r>
        <w:rPr>
          <w:rFonts w:ascii="仿宋_GB2312" w:hAnsi="仿宋_GB2312" w:cs="仿宋_GB2312" w:eastAsia="仿宋_GB2312"/>
        </w:rPr>
        <w:t>2026年洋县戚氏街道戚氏村十组中药材加工厂建设项目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SXBX-ZFCG-2026010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2026年洋县戚氏街道戚氏村十组中药材加工厂建设项目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2026年洋县戚氏街道戚氏村十组中药材加工厂建设项目，拟新建钢结构厂房800平方米，采购设备:中药材粉碎机、清洗机、烘 干机，切片设备各一套，仓库一座115平方米，建设机井、水泵房、蓄水池各一座，硬化场地1800平方米，围墙210米及其他配套附属设施。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采购包1（2026年洋县戚氏街道戚氏村十组中药材加工厂建设项目）：属于专门面向中小企业采购。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3、企业资质要求：供应商应具备建设行政主管部门核发的建筑工程施工总承包三级（含三级）及其以上资质，且具有有效的安全生产许可证；</w:t>
      </w:r>
    </w:p>
    <w:p>
      <w:pPr>
        <w:pStyle w:val="null3"/>
      </w:pPr>
      <w:r>
        <w:rPr>
          <w:rFonts w:ascii="仿宋_GB2312" w:hAnsi="仿宋_GB2312" w:cs="仿宋_GB2312" w:eastAsia="仿宋_GB2312"/>
        </w:rPr>
        <w:t>4、拟派项目负责人资质：拟派往本项目的项目负责人应具备建筑工程专业二级（含二级）及以上注册建造师资格、具有有效的安全考核合格证（建安B证），且无在建工程；</w:t>
      </w:r>
    </w:p>
    <w:p>
      <w:pPr>
        <w:pStyle w:val="null3"/>
      </w:pPr>
      <w:r>
        <w:rPr>
          <w:rFonts w:ascii="仿宋_GB2312" w:hAnsi="仿宋_GB2312" w:cs="仿宋_GB2312" w:eastAsia="仿宋_GB2312"/>
        </w:rPr>
        <w:t>5、供应商资格承诺函：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6、无关联关系：单位负责人为同一人或者存在控股、管理关系的不同单位不得同时参加，需提供书面声明；</w:t>
      </w:r>
    </w:p>
    <w:p>
      <w:pPr>
        <w:pStyle w:val="null3"/>
      </w:pPr>
      <w:r>
        <w:rPr>
          <w:rFonts w:ascii="仿宋_GB2312" w:hAnsi="仿宋_GB2312" w:cs="仿宋_GB2312" w:eastAsia="仿宋_GB2312"/>
        </w:rPr>
        <w:t>7、非联合体声明：本项目不接受联合体投标，供应商需提供非联合体书面声明。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洋县戚氏街道办事处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竹园村一组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洋县戚氏街道办事处经办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0916-8291495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陕西柏骁项目管理有限公司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陕西省汉中市洋县云江月酒店向东30米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0916-8211122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采购包1：2,328,000.00元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开户名称：陕西柏骁项目管理有限公司</w:t>
            </w:r>
          </w:p>
          <w:p>
            <w:pPr>
              <w:pStyle w:val="null3"/>
            </w:pPr>
            <w:r>
              <w:rPr>
                <w:rFonts w:ascii="仿宋_GB2312" w:hAnsi="仿宋_GB2312" w:cs="仿宋_GB2312" w:eastAsia="仿宋_GB2312"/>
              </w:rPr>
              <w:t>开户银行：中国工商银行股份有限公司汉中洋县支行营业部</w:t>
            </w:r>
          </w:p>
          <w:p>
            <w:pPr>
              <w:pStyle w:val="null3"/>
            </w:pPr>
            <w:r>
              <w:rPr>
                <w:rFonts w:ascii="仿宋_GB2312" w:hAnsi="仿宋_GB2312" w:cs="仿宋_GB2312" w:eastAsia="仿宋_GB2312"/>
              </w:rPr>
              <w:t>银行账号：2606051519200218884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采购代理服务费依据《国家计委关于印发招标代理服务收费管理暂行办法的通知》（计价格【2002】1980号）和国家发改委办公厅颁发的《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洋县戚氏街道办事处</w:t>
      </w:r>
      <w:r>
        <w:rPr>
          <w:rFonts w:ascii="仿宋_GB2312" w:hAnsi="仿宋_GB2312" w:cs="仿宋_GB2312" w:eastAsia="仿宋_GB2312"/>
        </w:rPr>
        <w:t>和</w:t>
      </w:r>
      <w:r>
        <w:rPr>
          <w:rFonts w:ascii="仿宋_GB2312" w:hAnsi="仿宋_GB2312" w:cs="仿宋_GB2312" w:eastAsia="仿宋_GB2312"/>
        </w:rPr>
        <w:t>陕西柏骁项目管理有限公司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洋县戚氏街道办事处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陕西柏骁项目管理有限公司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洋县戚氏街道办事处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陕西柏骁项目管理有限公司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竣工验收的工程，必须符合规定的工程质量标准，有完整的工程技术经济资料和经签著的工程保修书，并具备国家规定的其他竣工条件。工程竣工经验收合格后，方可交付使用:未经验收或者验收不合格的，不得 交付使用。</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联系电话：0916-8211122</w:t>
      </w:r>
    </w:p>
    <w:p>
      <w:pPr>
        <w:pStyle w:val="null3"/>
      </w:pPr>
      <w:r>
        <w:rPr>
          <w:rFonts w:ascii="仿宋_GB2312" w:hAnsi="仿宋_GB2312" w:cs="仿宋_GB2312" w:eastAsia="仿宋_GB2312"/>
        </w:rPr>
        <w:t>地址：陕西省汉中市洋县云江月酒店向东30米</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2,328,000.00</w:t>
      </w:r>
    </w:p>
    <w:p>
      <w:pPr>
        <w:pStyle w:val="null3"/>
      </w:pPr>
      <w:r>
        <w:rPr>
          <w:rFonts w:ascii="仿宋_GB2312" w:hAnsi="仿宋_GB2312" w:cs="仿宋_GB2312" w:eastAsia="仿宋_GB2312"/>
        </w:rPr>
        <w:t>采购包最高限价（元）: 2,187,194.68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2026年洋县戚氏街道戚氏村十组中药材加工厂建设项目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2,328,000.00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标的名称：2026年洋县戚氏街道戚氏村十组中药材加工厂建设项目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 xml:space="preserve">  2026年洋县戚氏街道戚氏村十组中药材加工厂建设项目，拟新建钢结构厂房800平方米，采购设备:中药材粉碎机、清洗机、烘干机，切片设备各一套，仓库一座115平方米，建设机井、水泵房、蓄水池各一座，硬化场地1800平方米，围墙210米及其他配套附属设施。</w:t>
            </w:r>
          </w:p>
          <w:p>
            <w:pPr>
              <w:pStyle w:val="null3"/>
            </w:pPr>
            <w:r>
              <w:rPr>
                <w:rFonts w:ascii="仿宋_GB2312" w:hAnsi="仿宋_GB2312" w:cs="仿宋_GB2312" w:eastAsia="仿宋_GB2312"/>
                <w:sz w:val="21"/>
              </w:rPr>
              <w:t xml:space="preserve">  1、施工范围：施工图设计及工程量清单内的全部内容（详见工程量清单）；</w:t>
            </w:r>
          </w:p>
          <w:p>
            <w:pPr>
              <w:pStyle w:val="null3"/>
            </w:pPr>
            <w:r>
              <w:rPr>
                <w:rFonts w:ascii="仿宋_GB2312" w:hAnsi="仿宋_GB2312" w:cs="仿宋_GB2312" w:eastAsia="仿宋_GB2312"/>
                <w:sz w:val="21"/>
              </w:rPr>
              <w:t xml:space="preserve">  2、工期要求：120日历天；</w:t>
            </w:r>
          </w:p>
          <w:p>
            <w:pPr>
              <w:pStyle w:val="null3"/>
            </w:pPr>
            <w:r>
              <w:rPr>
                <w:rFonts w:ascii="仿宋_GB2312" w:hAnsi="仿宋_GB2312" w:cs="仿宋_GB2312" w:eastAsia="仿宋_GB2312"/>
                <w:sz w:val="21"/>
              </w:rPr>
              <w:t xml:space="preserve">  3、质量标准：本工程质量等级：合格。承包人严格按照国家颁发的的施工验收规范及工程设计图纸要求进行施工，工程质量应达到国家或专业质量检验评定标准的的合格条件。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1、技术要求详见本工程施工图纸及工程量清单； 2、供应商根据项目实施要求对施工部署、施工方案、质量保证措施、安全文明施工措施、项目管理机构、施工进度计划、资源配备计划、工程保修服务方案与服务承诺及业绩等内容进行响应（具体内容详见项目评审办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供应商应具备建设行政主管部门核发的建筑工程施工总承包三级（含三级）及其以上资质，且具有有效的安全生产许可证；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拟派往本项目的项目负责人应具备建筑工程专业二级（含二级）及以上注册建造师资格、具有有效的安全考核合格证（建安B证），且无在建工程；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响应文件签字、盖章及投标（响应）有效期符合采购文件要求。</w:t>
            </w:r>
          </w:p>
        </w:tc>
        <w:tc>
          <w:tcPr>
            <w:tcW w:type="dxa" w:w="1661"/>
          </w:tcPr>
          <w:p>
            <w:pPr>
              <w:pStyle w:val="null3"/>
            </w:pPr>
            <w:r>
              <w:rPr>
                <w:rFonts w:ascii="仿宋_GB2312" w:hAnsi="仿宋_GB2312" w:cs="仿宋_GB2312" w:eastAsia="仿宋_GB2312"/>
              </w:rPr>
              <w:t>响应文件封面 技术方案.docx 已标价工程量清单 供应商应提交的相关资格证明材料.docx 项目管理机构组成表 中小企业声明函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符合磋商文件要求，响应文件内容齐全、无遗漏。</w:t>
            </w:r>
          </w:p>
        </w:tc>
        <w:tc>
          <w:tcPr>
            <w:tcW w:type="dxa" w:w="1661"/>
          </w:tcPr>
          <w:p>
            <w:pPr>
              <w:pStyle w:val="null3"/>
            </w:pPr>
            <w:r>
              <w:rPr>
                <w:rFonts w:ascii="仿宋_GB2312" w:hAnsi="仿宋_GB2312" w:cs="仿宋_GB2312" w:eastAsia="仿宋_GB2312"/>
              </w:rPr>
              <w:t>响应文件封面 技术方案.docx 已标价工程量清单 供应商应提交的相关资格证明材料.docx 项目管理机构组成表 中小企业声明函 残疾人福利性单位声明函 报价函 标的清单 供应商类似项目业绩一览表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安全目标、工期目标、质量目标；②施工准备：技术准备、材料准备；③施工平面布置与安排：现场围挡及出入口管理、交通组织安排、消防及道路安排。 二、评审标准 1、完整性：安排部署必须全面，对评审内容中的各项要求有详细描述； 2、可实施性：切合本项目实际情况，提出步骤清晰、合理的方案； 3、针对性：方案能够紧扣项目实际情况，内容科学合理。 三、赋分标准（满分9分；针对每条评审标准，如存在不合理的方面每处扣0.5分）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供应商针对本项目编制完善的施工方案内容包含：①分部分项工程施工方法；②工程重难点及解决措施；③施工质量通病防治措施。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三、赋分标准（满分15分；针对每条评审标准，如存在不合理的方面每处扣0.5分） ①分部分项工程施工方法：每完全满足一个评审标准得2分，满分6分； ②工程重难点及解决措施：每完全满足一个评审标准得2分，满分6分；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 二、评审标准 1、完整性：措施必须全面，对评审内容中的各项要求有详细描述；2、可实施性：切合本项目实际情况，实施步骤清晰、合理；3、针对性：能够紧扣项目实际情况 ，内容科学合理。 三、赋分标准（满分9分；针对每条评审标准，如存在不合理的方面每处扣0.5分） ①质量目标管理体系：每完全满足一个评审标准得1分，满分3分； ②施工质量检验制度：每完全满足一个评审标准得1分，满分3分； ③确保质量的技术组织措施：每完全满足一个评审标准得1分，满分3分。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安全文明施工保证措施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供应商针对本项目编制完整的安全施工措施，内容包含：①安全生产管理制度；②安全文明施工措施；③安全生产教育。 二、评审标准 1、完整性：方案 必须全面，对评审内容中的各项要求有详细描述； 2、可实施性：切合本项目实际情况， 提出步骤清晰、合理的方案； 3、针对性：方案能够紧扣项目实际情况，内容科学合理。 三、赋分标准（满分9分；针对每条评审标准，如存在不合理的方面每处扣0.5分） ①安全生产管理制度：每完全满足一个评审标准得1分，满分3分； ②安全文明施工措施：每完全满足一个评审标准得1分，满分3分；③安全生产教育：每完全满足 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工期进度计划与保障措施</w:t>
            </w:r>
          </w:p>
        </w:tc>
        <w:tc>
          <w:tcPr>
            <w:tcW w:type="dxa" w:w="2492"/>
          </w:tcPr>
          <w:p>
            <w:pPr>
              <w:pStyle w:val="null3"/>
            </w:pPr>
            <w:r>
              <w:rPr>
                <w:rFonts w:ascii="仿宋_GB2312" w:hAnsi="仿宋_GB2312" w:cs="仿宋_GB2312" w:eastAsia="仿宋_GB2312"/>
              </w:rPr>
              <w:t>一、评审内容 供应商编制完善的施工总进度计划，内容包含：①工期目标及进度计划；②施工进度保障措施。 二、评审标准 1、完整性：方案须全面，对评审内容中的各项要求有详细描述及说明； 2、可实施性：切合本项目实际情况，实施步骤清晰、合理； 3、针对性：方案能够紧扣项目实际情况，内容科学合理。 三、赋分标准（满分6分；针对每条评审标准，如存在不合理的方面每处扣0.5分） ①工期目标及进度计划：每完全满足一个评审标准得1分，满分3分； ②施工进度保障措施：每完全满足一个评审标准得1分，满分3分。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项目管理组织机构</w:t>
            </w:r>
          </w:p>
        </w:tc>
        <w:tc>
          <w:tcPr>
            <w:tcW w:type="dxa" w:w="2492"/>
          </w:tcPr>
          <w:p>
            <w:pPr>
              <w:pStyle w:val="null3"/>
            </w:pPr>
            <w:r>
              <w:rPr>
                <w:rFonts w:ascii="仿宋_GB2312" w:hAnsi="仿宋_GB2312" w:cs="仿宋_GB2312" w:eastAsia="仿宋_GB2312"/>
              </w:rPr>
              <w:t>一、评审内容 供应商针对本项目编制科学的项目管理机构，内容包含：①人员的配备：关键岗位（项目经理、技术负责人等）资质齐全且等级达标，完全符合招标文件及行业规定；②组织管理机制：有详细的人员进场计划、岗位职责说明书及履职考核机制，保障措施完善。 二、评审标准 1、完整性：管理机构设置必须全面， 对评审内容中的各项要求有详细描述； 2、可实施性：切合本项目实际情况，实施步骤清晰、合理； 3、针对性：能够紧扣项目实际情况，内容科学合理。 三、赋分标准（满分6分，针对每条评审标准，如存在不合理的方面每处扣0.5分） ①人员配备：每完全满足一个评审标准得1分，满分3分； ②组织管理机制：每完全满足一个评审标准得1分，满分3分。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一、评审内容 供应商针对本项目编制科学合理的施工机械配备投入计划，内容包括：①机械设备、材料投入计划；② 拟投入的机械设备配置表。二、评审标准 1、完整性：方案须全面，对评审内容中的各项要求有详细描述及说明； 2、可实施性：切合本项目实际情况，实施步骤清晰、合理； 3、针对性：方案能够紧扣项目实际情况，内容科学合理。 三、赋分标准（满分6分，针对每条评审标准，如存在不合理的方面每处扣0.5分） ①机械设备和材料投入计划：每完全满足一个评审标准得1分，满分3分； ②拟投入的机械设备配置表，每完全满足一个评审标准得1分，满分3分。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工程保修服务及服务承诺</w:t>
            </w:r>
          </w:p>
        </w:tc>
        <w:tc>
          <w:tcPr>
            <w:tcW w:type="dxa" w:w="2492"/>
          </w:tcPr>
          <w:p>
            <w:pPr>
              <w:pStyle w:val="null3"/>
            </w:pPr>
            <w:r>
              <w:rPr>
                <w:rFonts w:ascii="仿宋_GB2312" w:hAnsi="仿宋_GB2312" w:cs="仿宋_GB2312" w:eastAsia="仿宋_GB2312"/>
              </w:rPr>
              <w:t>一、评审内容 供应商针对本项目编制完善的工程保修方案和后期服务承诺，内容包含：①工程保修服务方案：明确保修范围、期限、责任划分、响应流程、维修标准及质量追溯机制；②后期服务承诺:涵盖 24 小时应急响应、上门服务时限、质保期后增值服务、投诉处理闭环等内容。 二、评审标准 1、完整性：方案完整详实，清晰列明保修范围、保修期限、突发事件响应时限与措施。 2、可实施性：核心内容可满足采购人基本服务需求，步骤清晰、逻辑性强； 3、针对性：内容能够紧扣项目实际情况，科学合理。 三、赋分标准（满分6分；针对每条评审标准，如存在不合理的方面每处扣0.5分） ①工程保修服务方案：每完全满足一个评审标准得1分，满分3分； ②后期服务承诺：每完全满足一个评审标准得1分，满分3分。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供应商提供自2023年1月1日起，至今完成的类似项目业绩，每提供一份得2分，此项最高得4.0分；注：业绩须是类似项目，以中标通知书或合同为准。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本项目价格分统一采用低价优先法计算，即满足采购文件要求且投标价格最低的投标报价为评标基准价，其价格分为满分。其他投标人的价格分统一按照下列公式计算： 价格分=(评标基准价／投标报价)×报价分值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