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DCB31E">
      <w:pPr>
        <w:pStyle w:val="3"/>
        <w:spacing w:line="360" w:lineRule="auto"/>
        <w:rPr>
          <w:rFonts w:hint="eastAsia" w:ascii="宋体" w:hAnsi="宋体" w:eastAsia="宋体" w:cs="宋体"/>
          <w:b/>
          <w:sz w:val="44"/>
        </w:rPr>
      </w:pPr>
      <w:r>
        <w:rPr>
          <w:rFonts w:hint="eastAsia" w:ascii="宋体" w:hAnsi="宋体" w:eastAsia="宋体" w:cs="宋体"/>
          <w:b/>
          <w:sz w:val="44"/>
          <w:szCs w:val="44"/>
        </w:rPr>
        <w:t xml:space="preserve"> </w:t>
      </w:r>
    </w:p>
    <w:p w14:paraId="2595D0BB">
      <w:pPr>
        <w:rPr>
          <w:rFonts w:hint="eastAsia" w:ascii="宋体" w:hAnsi="宋体" w:eastAsia="宋体" w:cs="宋体"/>
          <w:kern w:val="0"/>
          <w:szCs w:val="21"/>
        </w:rPr>
      </w:pPr>
    </w:p>
    <w:p w14:paraId="78E725C0">
      <w:pPr>
        <w:jc w:val="center"/>
        <w:rPr>
          <w:rFonts w:hint="eastAsia" w:ascii="宋体" w:hAnsi="宋体" w:eastAsia="宋体" w:cs="宋体"/>
          <w:bCs/>
          <w:kern w:val="0"/>
          <w:sz w:val="52"/>
          <w:szCs w:val="52"/>
        </w:rPr>
      </w:pPr>
      <w:r>
        <w:rPr>
          <w:rFonts w:hint="eastAsia" w:ascii="宋体" w:hAnsi="宋体" w:eastAsia="宋体" w:cs="宋体"/>
          <w:bCs/>
          <w:kern w:val="0"/>
          <w:sz w:val="52"/>
          <w:szCs w:val="52"/>
        </w:rPr>
        <w:t>建设工程施工合同</w:t>
      </w:r>
    </w:p>
    <w:p w14:paraId="7E1AEB49">
      <w:pPr>
        <w:widowControl/>
        <w:jc w:val="center"/>
        <w:rPr>
          <w:rFonts w:hint="eastAsia" w:ascii="宋体" w:hAnsi="宋体" w:eastAsia="宋体" w:cs="宋体"/>
          <w:b/>
          <w:bCs/>
          <w:kern w:val="0"/>
          <w:sz w:val="36"/>
          <w:szCs w:val="36"/>
        </w:rPr>
      </w:pPr>
    </w:p>
    <w:p w14:paraId="7F36FE8F">
      <w:pPr>
        <w:widowControl/>
        <w:jc w:val="center"/>
        <w:rPr>
          <w:rFonts w:hint="eastAsia" w:ascii="宋体" w:hAnsi="宋体" w:eastAsia="宋体" w:cs="宋体"/>
          <w:b/>
          <w:bCs/>
          <w:kern w:val="0"/>
          <w:sz w:val="36"/>
          <w:szCs w:val="36"/>
        </w:rPr>
      </w:pPr>
      <w:r>
        <w:rPr>
          <w:rFonts w:hint="eastAsia" w:ascii="宋体" w:hAnsi="宋体" w:eastAsia="宋体" w:cs="宋体"/>
          <w:b/>
          <w:bCs/>
          <w:kern w:val="0"/>
          <w:sz w:val="36"/>
          <w:szCs w:val="36"/>
        </w:rPr>
        <w:t>（示范文本）</w:t>
      </w:r>
    </w:p>
    <w:p w14:paraId="60FCA643">
      <w:pPr>
        <w:widowControl/>
        <w:ind w:firstLine="200"/>
        <w:jc w:val="center"/>
        <w:rPr>
          <w:rFonts w:hint="eastAsia" w:ascii="宋体" w:hAnsi="宋体" w:eastAsia="宋体" w:cs="宋体"/>
          <w:b/>
          <w:bCs/>
          <w:kern w:val="0"/>
          <w:sz w:val="32"/>
          <w:szCs w:val="32"/>
        </w:rPr>
      </w:pPr>
    </w:p>
    <w:p w14:paraId="62712E54">
      <w:pPr>
        <w:widowControl/>
        <w:ind w:firstLine="200"/>
        <w:jc w:val="center"/>
        <w:rPr>
          <w:rFonts w:hint="eastAsia" w:ascii="宋体" w:hAnsi="宋体" w:eastAsia="宋体" w:cs="宋体"/>
          <w:b/>
          <w:bCs/>
          <w:kern w:val="0"/>
          <w:sz w:val="32"/>
          <w:szCs w:val="32"/>
        </w:rPr>
      </w:pPr>
    </w:p>
    <w:p w14:paraId="70F36FC9">
      <w:pPr>
        <w:widowControl/>
        <w:ind w:firstLine="200"/>
        <w:jc w:val="center"/>
        <w:rPr>
          <w:rFonts w:hint="eastAsia" w:ascii="宋体" w:hAnsi="宋体" w:eastAsia="宋体" w:cs="宋体"/>
          <w:b/>
          <w:bCs/>
          <w:kern w:val="0"/>
          <w:sz w:val="32"/>
          <w:szCs w:val="32"/>
        </w:rPr>
      </w:pPr>
    </w:p>
    <w:p w14:paraId="6EBFDB6D">
      <w:pPr>
        <w:widowControl/>
        <w:ind w:firstLine="200"/>
        <w:jc w:val="center"/>
        <w:rPr>
          <w:rFonts w:hint="eastAsia" w:ascii="宋体" w:hAnsi="宋体" w:eastAsia="宋体" w:cs="宋体"/>
          <w:b/>
          <w:bCs/>
          <w:kern w:val="0"/>
          <w:sz w:val="32"/>
          <w:szCs w:val="32"/>
        </w:rPr>
      </w:pPr>
    </w:p>
    <w:p w14:paraId="780A8BB0">
      <w:pPr>
        <w:widowControl/>
        <w:ind w:firstLine="200"/>
        <w:jc w:val="center"/>
        <w:rPr>
          <w:rFonts w:hint="eastAsia" w:ascii="宋体" w:hAnsi="宋体" w:eastAsia="宋体" w:cs="宋体"/>
          <w:b/>
          <w:bCs/>
          <w:kern w:val="0"/>
          <w:sz w:val="32"/>
          <w:szCs w:val="32"/>
        </w:rPr>
      </w:pPr>
    </w:p>
    <w:p w14:paraId="1E0F2D1A">
      <w:pPr>
        <w:widowControl/>
        <w:ind w:firstLine="200"/>
        <w:jc w:val="center"/>
        <w:rPr>
          <w:rFonts w:hint="eastAsia" w:ascii="宋体" w:hAnsi="宋体" w:eastAsia="宋体" w:cs="宋体"/>
          <w:b/>
          <w:bCs/>
          <w:kern w:val="0"/>
          <w:sz w:val="32"/>
          <w:szCs w:val="32"/>
        </w:rPr>
      </w:pPr>
    </w:p>
    <w:p w14:paraId="22C02EFC">
      <w:pPr>
        <w:widowControl/>
        <w:ind w:firstLine="200"/>
        <w:jc w:val="center"/>
        <w:rPr>
          <w:rFonts w:hint="eastAsia" w:ascii="宋体" w:hAnsi="宋体" w:eastAsia="宋体" w:cs="宋体"/>
          <w:b/>
          <w:bCs/>
          <w:kern w:val="0"/>
          <w:sz w:val="32"/>
          <w:szCs w:val="32"/>
        </w:rPr>
      </w:pPr>
    </w:p>
    <w:p w14:paraId="65997EDA">
      <w:pPr>
        <w:widowControl/>
        <w:ind w:firstLine="200"/>
        <w:jc w:val="center"/>
        <w:rPr>
          <w:rFonts w:hint="eastAsia" w:ascii="宋体" w:hAnsi="宋体" w:eastAsia="宋体" w:cs="宋体"/>
          <w:b/>
          <w:bCs/>
          <w:kern w:val="0"/>
          <w:sz w:val="32"/>
          <w:szCs w:val="32"/>
        </w:rPr>
      </w:pPr>
    </w:p>
    <w:p w14:paraId="077A80F3">
      <w:pPr>
        <w:widowControl/>
        <w:ind w:firstLine="200"/>
        <w:jc w:val="center"/>
        <w:rPr>
          <w:rFonts w:hint="eastAsia" w:ascii="宋体" w:hAnsi="宋体" w:eastAsia="宋体" w:cs="宋体"/>
          <w:b/>
          <w:bCs/>
          <w:kern w:val="0"/>
          <w:sz w:val="32"/>
          <w:szCs w:val="32"/>
        </w:rPr>
      </w:pPr>
    </w:p>
    <w:p w14:paraId="72808CE3">
      <w:pPr>
        <w:widowControl/>
        <w:ind w:firstLine="200"/>
        <w:jc w:val="center"/>
        <w:rPr>
          <w:rFonts w:hint="eastAsia" w:ascii="宋体" w:hAnsi="宋体" w:eastAsia="宋体" w:cs="宋体"/>
          <w:b/>
          <w:bCs/>
          <w:kern w:val="0"/>
          <w:sz w:val="32"/>
          <w:szCs w:val="32"/>
        </w:rPr>
      </w:pPr>
    </w:p>
    <w:p w14:paraId="3653CFF6">
      <w:pPr>
        <w:widowControl/>
        <w:ind w:firstLine="200"/>
        <w:jc w:val="center"/>
        <w:rPr>
          <w:rFonts w:hint="eastAsia" w:ascii="宋体" w:hAnsi="宋体" w:eastAsia="宋体" w:cs="宋体"/>
          <w:b/>
          <w:bCs/>
          <w:kern w:val="0"/>
          <w:sz w:val="32"/>
          <w:szCs w:val="32"/>
        </w:rPr>
      </w:pPr>
    </w:p>
    <w:p w14:paraId="293B3E3E">
      <w:pPr>
        <w:widowControl/>
        <w:ind w:firstLine="200"/>
        <w:jc w:val="center"/>
        <w:rPr>
          <w:rFonts w:hint="eastAsia" w:ascii="宋体" w:hAnsi="宋体" w:eastAsia="宋体" w:cs="宋体"/>
          <w:b/>
          <w:bCs/>
          <w:kern w:val="0"/>
          <w:sz w:val="32"/>
          <w:szCs w:val="32"/>
        </w:rPr>
      </w:pPr>
    </w:p>
    <w:p w14:paraId="1116142E">
      <w:pPr>
        <w:widowControl/>
        <w:ind w:firstLine="200"/>
        <w:jc w:val="center"/>
        <w:rPr>
          <w:rFonts w:hint="eastAsia" w:ascii="宋体" w:hAnsi="宋体" w:eastAsia="宋体" w:cs="宋体"/>
          <w:b/>
          <w:bCs/>
          <w:kern w:val="0"/>
          <w:sz w:val="32"/>
          <w:szCs w:val="32"/>
        </w:rPr>
      </w:pPr>
    </w:p>
    <w:p w14:paraId="1B7E5A09">
      <w:pPr>
        <w:widowControl/>
        <w:ind w:firstLine="200"/>
        <w:jc w:val="center"/>
        <w:rPr>
          <w:rFonts w:hint="eastAsia" w:ascii="宋体" w:hAnsi="宋体" w:eastAsia="宋体" w:cs="宋体"/>
          <w:b/>
          <w:bCs/>
          <w:kern w:val="0"/>
          <w:sz w:val="32"/>
          <w:szCs w:val="32"/>
        </w:rPr>
      </w:pPr>
    </w:p>
    <w:p w14:paraId="22FF6F3F">
      <w:pPr>
        <w:pStyle w:val="4"/>
        <w:spacing w:before="0" w:beforeAutospacing="0" w:after="0" w:afterAutospacing="0" w:line="360" w:lineRule="auto"/>
        <w:rPr>
          <w:rFonts w:hint="eastAsia" w:ascii="宋体" w:hAnsi="宋体" w:eastAsia="宋体" w:cs="宋体"/>
          <w:color w:val="auto"/>
        </w:rPr>
      </w:pPr>
      <w:r>
        <w:rPr>
          <w:rFonts w:hint="eastAsia" w:ascii="宋体" w:hAnsi="宋体" w:eastAsia="宋体" w:cs="宋体"/>
          <w:bCs/>
          <w:kern w:val="0"/>
          <w:sz w:val="32"/>
          <w:szCs w:val="32"/>
        </w:rPr>
        <w:br w:type="page"/>
      </w:r>
      <w:r>
        <w:rPr>
          <w:rFonts w:hint="eastAsia" w:ascii="宋体" w:hAnsi="宋体" w:eastAsia="宋体" w:cs="宋体"/>
          <w:color w:val="auto"/>
        </w:rPr>
        <mc:AlternateContent>
          <mc:Choice Requires="wps">
            <w:drawing>
              <wp:anchor distT="0" distB="0" distL="114300" distR="114300" simplePos="0" relativeHeight="251659264" behindDoc="0" locked="0" layoutInCell="1" allowOverlap="1">
                <wp:simplePos x="0" y="0"/>
                <wp:positionH relativeFrom="column">
                  <wp:posOffset>823595</wp:posOffset>
                </wp:positionH>
                <wp:positionV relativeFrom="paragraph">
                  <wp:posOffset>200025</wp:posOffset>
                </wp:positionV>
                <wp:extent cx="2984500" cy="0"/>
                <wp:effectExtent l="0" t="4445" r="0" b="5080"/>
                <wp:wrapNone/>
                <wp:docPr id="2" name="直接连接符 2"/>
                <wp:cNvGraphicFramePr/>
                <a:graphic xmlns:a="http://schemas.openxmlformats.org/drawingml/2006/main">
                  <a:graphicData uri="http://schemas.microsoft.com/office/word/2010/wordprocessingShape">
                    <wps:wsp>
                      <wps:cNvCnPr/>
                      <wps:spPr>
                        <a:xfrm>
                          <a:off x="0" y="0"/>
                          <a:ext cx="2984500" cy="0"/>
                        </a:xfrm>
                        <a:prstGeom prst="line">
                          <a:avLst/>
                        </a:prstGeom>
                        <a:noFill/>
                        <a:ln w="9525" cap="flat" cmpd="sng" algn="ctr">
                          <a:solidFill>
                            <a:srgbClr val="0D0D0D">
                              <a:lumMod val="95000"/>
                              <a:lumOff val="5000"/>
                            </a:srgbClr>
                          </a:solidFill>
                          <a:prstDash val="solid"/>
                        </a:ln>
                        <a:effectLst/>
                      </wps:spPr>
                      <wps:bodyPr/>
                    </wps:wsp>
                  </a:graphicData>
                </a:graphic>
              </wp:anchor>
            </w:drawing>
          </mc:Choice>
          <mc:Fallback>
            <w:pict>
              <v:line id="_x0000_s1026" o:spid="_x0000_s1026" o:spt="20" style="position:absolute;left:0pt;margin-left:64.85pt;margin-top:15.75pt;height:0pt;width:235pt;z-index:251659264;mso-width-relative:page;mso-height-relative:page;" filled="f" stroked="t" coordsize="21600,21600" o:gfxdata="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Mo9RGvWAAAACQEAAA8AAAAAAAAAAQAgAAAAIgAAAGRycy9kb3ducmV2LnhtbFBLAQIU&#10;ABQAAAAIAIdO4kB6cbFT9QEAAOADAAAOAAAAAAAAAAEAIAAAACUBAABkcnMvZTJvRG9jLnhtbFBL&#10;BQYAAAAABgAGAFkBAACMBQAAAAA=&#10;">
                <v:fill on="f" focussize="0,0"/>
                <v:stroke color="#191919" joinstyle="round"/>
                <v:imagedata o:title=""/>
                <o:lock v:ext="edit" aspectratio="f"/>
              </v:line>
            </w:pict>
          </mc:Fallback>
        </mc:AlternateContent>
      </w:r>
      <w:r>
        <w:rPr>
          <w:rFonts w:hint="eastAsia" w:ascii="宋体" w:hAnsi="宋体" w:eastAsia="宋体" w:cs="宋体"/>
          <w:bCs/>
          <w:kern w:val="0"/>
          <w:sz w:val="32"/>
          <w:szCs w:val="32"/>
          <w:lang w:val="en-US" w:eastAsia="zh-CN"/>
        </w:rPr>
        <w:t xml:space="preserve">   </w:t>
      </w:r>
      <w:r>
        <w:rPr>
          <w:rFonts w:hint="eastAsia" w:ascii="宋体" w:hAnsi="宋体" w:eastAsia="宋体" w:cs="宋体"/>
          <w:color w:val="auto"/>
        </w:rPr>
        <w:t>甲方：</w:t>
      </w:r>
      <w:r>
        <w:rPr>
          <w:rFonts w:hint="eastAsia" w:ascii="宋体" w:hAnsi="宋体" w:eastAsia="宋体" w:cs="宋体"/>
          <w:color w:val="auto"/>
          <w:u w:val="none"/>
        </w:rPr>
        <w:t xml:space="preserve">  </w:t>
      </w:r>
      <w:r>
        <w:rPr>
          <w:rFonts w:hint="eastAsia" w:ascii="宋体" w:hAnsi="宋体" w:eastAsia="宋体" w:cs="宋体"/>
          <w:color w:val="auto"/>
        </w:rPr>
        <w:t xml:space="preserve"> </w:t>
      </w:r>
    </w:p>
    <w:p w14:paraId="0C9F76D4">
      <w:pPr>
        <w:pStyle w:val="4"/>
        <w:spacing w:before="0" w:beforeAutospacing="0" w:after="0" w:afterAutospacing="0" w:line="360" w:lineRule="auto"/>
        <w:ind w:firstLine="480" w:firstLineChars="200"/>
        <w:rPr>
          <w:rFonts w:hint="eastAsia" w:ascii="宋体" w:hAnsi="宋体" w:eastAsia="宋体" w:cs="宋体"/>
          <w:color w:val="auto"/>
          <w:u w:val="single"/>
        </w:rPr>
      </w:pPr>
      <w:r>
        <w:rPr>
          <w:rFonts w:hint="eastAsia" w:ascii="宋体" w:hAnsi="宋体" w:eastAsia="宋体" w:cs="宋体"/>
          <w:color w:val="auto"/>
        </w:rPr>
        <mc:AlternateContent>
          <mc:Choice Requires="wps">
            <w:drawing>
              <wp:anchor distT="0" distB="0" distL="114300" distR="114300" simplePos="0" relativeHeight="251663360" behindDoc="0" locked="0" layoutInCell="1" allowOverlap="1">
                <wp:simplePos x="0" y="0"/>
                <wp:positionH relativeFrom="column">
                  <wp:posOffset>820420</wp:posOffset>
                </wp:positionH>
                <wp:positionV relativeFrom="paragraph">
                  <wp:posOffset>152400</wp:posOffset>
                </wp:positionV>
                <wp:extent cx="2984500" cy="0"/>
                <wp:effectExtent l="0" t="4445" r="0" b="5080"/>
                <wp:wrapNone/>
                <wp:docPr id="7" name="直接连接符 7"/>
                <wp:cNvGraphicFramePr/>
                <a:graphic xmlns:a="http://schemas.openxmlformats.org/drawingml/2006/main">
                  <a:graphicData uri="http://schemas.microsoft.com/office/word/2010/wordprocessingShape">
                    <wps:wsp>
                      <wps:cNvCnPr/>
                      <wps:spPr>
                        <a:xfrm>
                          <a:off x="0" y="0"/>
                          <a:ext cx="2984500" cy="0"/>
                        </a:xfrm>
                        <a:prstGeom prst="line">
                          <a:avLst/>
                        </a:prstGeom>
                        <a:noFill/>
                        <a:ln w="9525" cap="flat" cmpd="sng" algn="ctr">
                          <a:solidFill>
                            <a:srgbClr val="0D0D0D">
                              <a:lumMod val="95000"/>
                              <a:lumOff val="5000"/>
                            </a:srgbClr>
                          </a:solidFill>
                          <a:prstDash val="solid"/>
                        </a:ln>
                        <a:effectLst/>
                      </wps:spPr>
                      <wps:bodyPr/>
                    </wps:wsp>
                  </a:graphicData>
                </a:graphic>
              </wp:anchor>
            </w:drawing>
          </mc:Choice>
          <mc:Fallback>
            <w:pict>
              <v:line id="_x0000_s1026" o:spid="_x0000_s1026" o:spt="20" style="position:absolute;left:0pt;margin-left:64.6pt;margin-top:12pt;height:0pt;width:235pt;z-index:251663360;mso-width-relative:page;mso-height-relative:page;" filled="f" stroked="t" coordsize="21600,21600" o:gfxdata="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fetCi1gAAAAkBAAAPAAAAAAAAAAEAIAAAACIAAABkcnMvZG93bnJldi54bWxQSwEC&#10;FAAUAAAACACHTuJAmlYadPYBAADgAwAADgAAAAAAAAABACAAAAAlAQAAZHJzL2Uyb0RvYy54bWxQ&#10;SwUGAAAAAAYABgBZAQAAjQUAAAAA&#10;">
                <v:fill on="f" focussize="0,0"/>
                <v:stroke color="#191919" joinstyle="round"/>
                <v:imagedata o:title=""/>
                <o:lock v:ext="edit" aspectratio="f"/>
              </v:line>
            </w:pict>
          </mc:Fallback>
        </mc:AlternateContent>
      </w:r>
      <w:r>
        <w:rPr>
          <w:rFonts w:hint="eastAsia" w:ascii="宋体" w:hAnsi="宋体" w:eastAsia="宋体" w:cs="宋体"/>
          <w:color w:val="auto"/>
        </w:rPr>
        <w:t xml:space="preserve">乙方： </w:t>
      </w:r>
    </w:p>
    <w:p w14:paraId="2D713611">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根据《中华人民共和国</w:t>
      </w:r>
      <w:r>
        <w:rPr>
          <w:rFonts w:hint="eastAsia" w:cs="宋体"/>
          <w:color w:val="auto"/>
          <w:lang w:val="en-US" w:eastAsia="zh-CN"/>
        </w:rPr>
        <w:t>民法典</w:t>
      </w:r>
      <w:bookmarkStart w:id="0" w:name="_GoBack"/>
      <w:bookmarkEnd w:id="0"/>
      <w:r>
        <w:rPr>
          <w:rFonts w:hint="eastAsia" w:ascii="宋体" w:hAnsi="宋体" w:eastAsia="宋体" w:cs="宋体"/>
          <w:color w:val="auto"/>
        </w:rPr>
        <w:t>》、《中华人民共和国建筑法》及《建筑工程质量管理条例》的原则，结合本工程实际情况，为明确甲乙双方的权利、义务和经济责任，经双方洽商达成如下协议。</w:t>
      </w:r>
    </w:p>
    <w:p w14:paraId="6C3FD3EF">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0288" behindDoc="0" locked="0" layoutInCell="1" allowOverlap="1">
                <wp:simplePos x="0" y="0"/>
                <wp:positionH relativeFrom="column">
                  <wp:posOffset>1318895</wp:posOffset>
                </wp:positionH>
                <wp:positionV relativeFrom="paragraph">
                  <wp:posOffset>154305</wp:posOffset>
                </wp:positionV>
                <wp:extent cx="2984500" cy="0"/>
                <wp:effectExtent l="0" t="4445" r="0" b="5080"/>
                <wp:wrapNone/>
                <wp:docPr id="3" name="直接连接符 3"/>
                <wp:cNvGraphicFramePr/>
                <a:graphic xmlns:a="http://schemas.openxmlformats.org/drawingml/2006/main">
                  <a:graphicData uri="http://schemas.microsoft.com/office/word/2010/wordprocessingShape">
                    <wps:wsp>
                      <wps:cNvCnPr/>
                      <wps:spPr>
                        <a:xfrm>
                          <a:off x="0" y="0"/>
                          <a:ext cx="2984500" cy="0"/>
                        </a:xfrm>
                        <a:prstGeom prst="line">
                          <a:avLst/>
                        </a:prstGeom>
                        <a:noFill/>
                        <a:ln w="9525" cap="flat" cmpd="sng" algn="ctr">
                          <a:solidFill>
                            <a:srgbClr val="0D0D0D">
                              <a:lumMod val="95000"/>
                              <a:lumOff val="5000"/>
                            </a:srgbClr>
                          </a:solidFill>
                          <a:prstDash val="solid"/>
                        </a:ln>
                        <a:effectLst/>
                      </wps:spPr>
                      <wps:bodyPr/>
                    </wps:wsp>
                  </a:graphicData>
                </a:graphic>
              </wp:anchor>
            </w:drawing>
          </mc:Choice>
          <mc:Fallback>
            <w:pict>
              <v:line id="_x0000_s1026" o:spid="_x0000_s1026" o:spt="20" style="position:absolute;left:0pt;margin-left:103.85pt;margin-top:12.15pt;height:0pt;width:235pt;z-index:251660288;mso-width-relative:page;mso-height-relative:page;" filled="f" stroked="t" coordsize="21600,21600" o:gfxdata="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nfkS81gAAAAkBAAAPAAAAAAAAAAEAIAAAACIAAABkcnMvZG93bnJldi54bWxQSwEC&#10;FAAUAAAACACHTuJAGi+TWPYBAADgAwAADgAAAAAAAAABACAAAAAlAQAAZHJzL2Uyb0RvYy54bWxQ&#10;SwUGAAAAAAYABgBZAQAAjQUAAAAA&#10;">
                <v:fill on="f" focussize="0,0"/>
                <v:stroke color="#191919" joinstyle="round"/>
                <v:imagedata o:title=""/>
                <o:lock v:ext="edit" aspectratio="f"/>
              </v:line>
            </w:pict>
          </mc:Fallback>
        </mc:AlternateContent>
      </w:r>
      <w:r>
        <w:rPr>
          <w:rFonts w:hint="eastAsia" w:ascii="宋体" w:hAnsi="宋体" w:eastAsia="宋体" w:cs="宋体"/>
          <w:color w:val="auto"/>
        </w:rPr>
        <w:t xml:space="preserve">一、工程名称： </w:t>
      </w:r>
    </w:p>
    <w:p w14:paraId="5205E1E7">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1312" behindDoc="0" locked="0" layoutInCell="1" allowOverlap="1">
                <wp:simplePos x="0" y="0"/>
                <wp:positionH relativeFrom="column">
                  <wp:posOffset>1318895</wp:posOffset>
                </wp:positionH>
                <wp:positionV relativeFrom="paragraph">
                  <wp:posOffset>176530</wp:posOffset>
                </wp:positionV>
                <wp:extent cx="2984500" cy="0"/>
                <wp:effectExtent l="0" t="4445" r="0" b="5080"/>
                <wp:wrapNone/>
                <wp:docPr id="4" name="直接连接符 4"/>
                <wp:cNvGraphicFramePr/>
                <a:graphic xmlns:a="http://schemas.openxmlformats.org/drawingml/2006/main">
                  <a:graphicData uri="http://schemas.microsoft.com/office/word/2010/wordprocessingShape">
                    <wps:wsp>
                      <wps:cNvCnPr/>
                      <wps:spPr>
                        <a:xfrm>
                          <a:off x="0" y="0"/>
                          <a:ext cx="2984500" cy="0"/>
                        </a:xfrm>
                        <a:prstGeom prst="line">
                          <a:avLst/>
                        </a:prstGeom>
                        <a:noFill/>
                        <a:ln w="9525" cap="flat" cmpd="sng" algn="ctr">
                          <a:solidFill>
                            <a:srgbClr val="0D0D0D">
                              <a:lumMod val="95000"/>
                              <a:lumOff val="5000"/>
                            </a:srgbClr>
                          </a:solidFill>
                          <a:prstDash val="solid"/>
                        </a:ln>
                        <a:effectLst/>
                      </wps:spPr>
                      <wps:bodyPr/>
                    </wps:wsp>
                  </a:graphicData>
                </a:graphic>
              </wp:anchor>
            </w:drawing>
          </mc:Choice>
          <mc:Fallback>
            <w:pict>
              <v:line id="_x0000_s1026" o:spid="_x0000_s1026" o:spt="20" style="position:absolute;left:0pt;margin-left:103.85pt;margin-top:13.9pt;height:0pt;width:235pt;z-index:251661312;mso-width-relative:page;mso-height-relative:page;" filled="f" stroked="t" coordsize="21600,21600" o:gfxdata="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DFdO/fVAAAACQEAAA8AAAAAAAAAAQAgAAAAIgAAAGRycy9kb3ducmV2LnhtbFBLAQIU&#10;ABQAAAAIAIdO4kA6tHxp9gEAAOADAAAOAAAAAAAAAAEAIAAAACQBAABkcnMvZTJvRG9jLnhtbFBL&#10;BQYAAAAABgAGAFkBAACMBQAAAAA=&#10;">
                <v:fill on="f" focussize="0,0"/>
                <v:stroke color="#191919" joinstyle="round"/>
                <v:imagedata o:title=""/>
                <o:lock v:ext="edit" aspectratio="f"/>
              </v:line>
            </w:pict>
          </mc:Fallback>
        </mc:AlternateContent>
      </w:r>
      <w:r>
        <w:rPr>
          <w:rFonts w:hint="eastAsia" w:ascii="宋体" w:hAnsi="宋体" w:eastAsia="宋体" w:cs="宋体"/>
          <w:color w:val="auto"/>
        </w:rPr>
        <w:t xml:space="preserve">二、工程地点：                                </w:t>
      </w:r>
    </w:p>
    <w:p w14:paraId="58A8323C">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2336" behindDoc="0" locked="0" layoutInCell="1" allowOverlap="1">
                <wp:simplePos x="0" y="0"/>
                <wp:positionH relativeFrom="column">
                  <wp:posOffset>1318895</wp:posOffset>
                </wp:positionH>
                <wp:positionV relativeFrom="paragraph">
                  <wp:posOffset>153670</wp:posOffset>
                </wp:positionV>
                <wp:extent cx="2984500"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2984500" cy="0"/>
                        </a:xfrm>
                        <a:prstGeom prst="line">
                          <a:avLst/>
                        </a:prstGeom>
                        <a:noFill/>
                        <a:ln w="9525" cap="flat" cmpd="sng" algn="ctr">
                          <a:solidFill>
                            <a:srgbClr val="0D0D0D">
                              <a:lumMod val="95000"/>
                              <a:lumOff val="5000"/>
                            </a:srgbClr>
                          </a:solidFill>
                          <a:prstDash val="solid"/>
                        </a:ln>
                        <a:effectLst/>
                      </wps:spPr>
                      <wps:bodyPr/>
                    </wps:wsp>
                  </a:graphicData>
                </a:graphic>
              </wp:anchor>
            </w:drawing>
          </mc:Choice>
          <mc:Fallback>
            <w:pict>
              <v:line id="_x0000_s1026" o:spid="_x0000_s1026" o:spt="20" style="position:absolute;left:0pt;margin-left:103.85pt;margin-top:12.1pt;height:0pt;width:235pt;z-index:251662336;mso-width-relative:page;mso-height-relative:page;" filled="f" stroked="t" coordsize="21600,21600" o:gfxdata="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Koq1v7WAAAACQEAAA8AAAAAAAAAAQAgAAAAIgAAAGRycy9kb3ducmV2LnhtbFBLAQIU&#10;ABQAAAAIAIdO4kBa6l5i9QEAAOADAAAOAAAAAAAAAAEAIAAAACUBAABkcnMvZTJvRG9jLnhtbFBL&#10;BQYAAAAABgAGAFkBAACMBQAAAAA=&#10;">
                <v:fill on="f" focussize="0,0"/>
                <v:stroke color="#191919" joinstyle="round"/>
                <v:imagedata o:title=""/>
                <o:lock v:ext="edit" aspectratio="f"/>
              </v:line>
            </w:pict>
          </mc:Fallback>
        </mc:AlternateContent>
      </w:r>
      <w:r>
        <w:rPr>
          <w:rFonts w:hint="eastAsia" w:ascii="宋体" w:hAnsi="宋体" w:eastAsia="宋体" w:cs="宋体"/>
          <w:color w:val="auto"/>
        </w:rPr>
        <w:t xml:space="preserve">三、工作内容:                                                               </w:t>
      </w:r>
    </w:p>
    <w:p w14:paraId="67E7B4FC">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四、承包方式及材料供应方式：</w:t>
      </w:r>
    </w:p>
    <w:p w14:paraId="53953780">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（一）承包方式：施工总承包。</w:t>
      </w:r>
    </w:p>
    <w:p w14:paraId="5FB484A8">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（二）材料供应方式：本工程所需材料全部由乙方采购供应。所有进场材料必须符合产品质量及规范要求，并按规定进行材料复验，并能满足工程项目设计要求及有关行业特殊使用要求。</w:t>
      </w:r>
    </w:p>
    <w:p w14:paraId="7A6C1040">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（三）所有材料，成品，半成品均应有产品合格证及检验报告，须经现场甲方代表及监理工程师检查验收，报验合格方可进场，无质量证明文件的产品不得用于本项目工程。</w:t>
      </w:r>
    </w:p>
    <w:p w14:paraId="41DB7BE4">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五、工程价款及结算办法</w:t>
      </w:r>
    </w:p>
    <w:p w14:paraId="53D51166">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（一）根据工程量清单所列的预计数量和单价或总额价计算的签约合同价：人民币（大写）</w:t>
      </w:r>
      <w:r>
        <w:rPr>
          <w:rFonts w:hint="eastAsia" w:ascii="宋体" w:hAnsi="宋体" w:eastAsia="宋体" w:cs="宋体"/>
          <w:color w:val="auto"/>
          <w:u w:val="single"/>
        </w:rPr>
        <w:t xml:space="preserve">          </w:t>
      </w:r>
      <w:r>
        <w:rPr>
          <w:rFonts w:hint="eastAsia" w:ascii="宋体" w:hAnsi="宋体" w:eastAsia="宋体" w:cs="宋体"/>
          <w:color w:val="auto"/>
        </w:rPr>
        <w:t>（</w:t>
      </w:r>
      <w:r>
        <w:rPr>
          <w:rFonts w:hint="eastAsia" w:ascii="宋体" w:hAnsi="宋体" w:eastAsia="宋体" w:cs="宋体"/>
          <w:color w:val="auto"/>
          <w:lang w:val="en-US" w:eastAsia="zh-CN"/>
        </w:rPr>
        <w:t>¥</w:t>
      </w:r>
      <w:r>
        <w:rPr>
          <w:rFonts w:hint="eastAsia" w:ascii="宋体" w:hAnsi="宋体" w:eastAsia="宋体" w:cs="宋体"/>
          <w:color w:val="auto"/>
          <w:u w:val="single"/>
        </w:rPr>
        <w:t xml:space="preserve">        </w:t>
      </w:r>
      <w:r>
        <w:rPr>
          <w:rFonts w:hint="eastAsia" w:ascii="宋体" w:hAnsi="宋体" w:eastAsia="宋体" w:cs="宋体"/>
          <w:color w:val="auto"/>
        </w:rPr>
        <w:t xml:space="preserve"> 元）。</w:t>
      </w:r>
    </w:p>
    <w:p w14:paraId="7DFA988F">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（二）合同总价包括完成该工程项目的直接费、间接费、利润、税金、保险费、其它费用以及合同明示或暗示的所有风险、责任和义务等全部费用。</w:t>
      </w:r>
    </w:p>
    <w:p w14:paraId="459D5018">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（三）合同总价、单价按照成交确定的价格和合同中明确的工程范围，在工程实施过程中一次性包死。除此之外的工程范围和工程量的变动部分在征得甲方同意后实行现场签证，依照磋商报价增加或扣减。</w:t>
      </w:r>
    </w:p>
    <w:p w14:paraId="3C2939F5">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付款方式及工期：</w:t>
      </w:r>
    </w:p>
    <w:p w14:paraId="2363AF63">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（一）付款方式：</w:t>
      </w:r>
    </w:p>
    <w:p w14:paraId="62452F08">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1.工程款支付：</w:t>
      </w:r>
    </w:p>
    <w:p w14:paraId="515AE3DC">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1-1.根据施工进度拨付进度款，具体以甲乙双方最终签订的合同为准，待工程完工验收合格、经审计部门审定后留审定总价3%的尾款作为质保金，项目缺陷责任期满后退还质保金。</w:t>
      </w:r>
    </w:p>
    <w:p w14:paraId="3357EBBE">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1-2.乙方不得因甲方资金暂时不到位而影响工期。</w:t>
      </w:r>
    </w:p>
    <w:p w14:paraId="72EC2CE8">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2.结算方式：银行转账。</w:t>
      </w:r>
    </w:p>
    <w:p w14:paraId="2F4B47FD">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3.付款方式：乙方在接受每次付款前，开具相应额度发票给甲方。</w:t>
      </w:r>
    </w:p>
    <w:p w14:paraId="571231E9">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（二）工期：</w:t>
      </w:r>
      <w:r>
        <w:rPr>
          <w:rFonts w:hint="eastAsia" w:ascii="宋体" w:hAnsi="宋体" w:eastAsia="宋体" w:cs="宋体"/>
          <w:color w:val="auto"/>
          <w:u w:val="single"/>
          <w:lang w:val="en-US" w:eastAsia="zh-CN"/>
        </w:rPr>
        <w:t xml:space="preserve">     </w:t>
      </w:r>
      <w:r>
        <w:rPr>
          <w:rFonts w:hint="eastAsia" w:ascii="宋体" w:hAnsi="宋体" w:eastAsia="宋体" w:cs="宋体"/>
          <w:color w:val="auto"/>
        </w:rPr>
        <w:t>年</w:t>
      </w:r>
      <w:r>
        <w:rPr>
          <w:rFonts w:hint="eastAsia" w:ascii="宋体" w:hAnsi="宋体" w:eastAsia="宋体" w:cs="宋体"/>
          <w:color w:val="auto"/>
          <w:u w:val="single"/>
        </w:rPr>
        <w:t xml:space="preserve">    </w:t>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eastAsia="宋体" w:cs="宋体"/>
          <w:color w:val="auto"/>
        </w:rPr>
        <w:t xml:space="preserve">日至 </w:t>
      </w:r>
      <w:r>
        <w:rPr>
          <w:rFonts w:hint="eastAsia" w:ascii="宋体" w:hAnsi="宋体" w:eastAsia="宋体" w:cs="宋体"/>
          <w:color w:val="auto"/>
          <w:u w:val="single"/>
          <w:lang w:val="en-US" w:eastAsia="zh-CN"/>
        </w:rPr>
        <w:t xml:space="preserve">     </w:t>
      </w:r>
      <w:r>
        <w:rPr>
          <w:rFonts w:hint="eastAsia" w:ascii="宋体" w:hAnsi="宋体" w:eastAsia="宋体" w:cs="宋体"/>
          <w:color w:val="auto"/>
        </w:rPr>
        <w:t>年</w:t>
      </w:r>
      <w:r>
        <w:rPr>
          <w:rFonts w:hint="eastAsia" w:ascii="宋体" w:hAnsi="宋体" w:eastAsia="宋体" w:cs="宋体"/>
          <w:color w:val="auto"/>
          <w:u w:val="single"/>
        </w:rPr>
        <w:t xml:space="preserve">    </w:t>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eastAsia="宋体" w:cs="宋体"/>
          <w:color w:val="auto"/>
        </w:rPr>
        <w:t>日。</w:t>
      </w:r>
    </w:p>
    <w:p w14:paraId="0B56AACA">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七、质量保证</w:t>
      </w:r>
    </w:p>
    <w:p w14:paraId="3912E145">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工程质量符合国家有关规范，确保达到合格。</w:t>
      </w:r>
    </w:p>
    <w:p w14:paraId="361B00A3">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八、双方责任</w:t>
      </w:r>
    </w:p>
    <w:p w14:paraId="4EF1D5B3">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（一）甲方责任：</w:t>
      </w:r>
    </w:p>
    <w:p w14:paraId="34DFD53F">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1.甲方负责施工场地的提供，排除施工障碍的协调。</w:t>
      </w:r>
    </w:p>
    <w:p w14:paraId="52843526">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2.组织设计、施工单位进行图纸交底，负责设计图纸问题的处理，设计变更及现场签证，工程结算的审定等工作。</w:t>
      </w:r>
    </w:p>
    <w:p w14:paraId="05321570">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3.对工程进度、质量进行监督检查。</w:t>
      </w:r>
    </w:p>
    <w:p w14:paraId="4EEA9B7B">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4.组织有关单位对工程进行竣工验收。</w:t>
      </w:r>
    </w:p>
    <w:p w14:paraId="0468E64F">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5.按时支付工程款。</w:t>
      </w:r>
    </w:p>
    <w:p w14:paraId="756C56F5">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（二）乙方责任：</w:t>
      </w:r>
    </w:p>
    <w:p w14:paraId="7D264717">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1.负责办理完成项目使用审批手续，负责工程安全文明施工、承担一切风险，满足甲方工程的需要。保证甲方正式投入使用，再无其他费用发生。</w:t>
      </w:r>
    </w:p>
    <w:p w14:paraId="1A46C75D">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64889ECE">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3.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352A8379">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4.隐蔽工程在覆盖前必须经甲方代表或现场监理代表验收签章后，方可进行下一道工序。</w:t>
      </w:r>
    </w:p>
    <w:p w14:paraId="60294DF4">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5.遵守甲方施工场地的规章制度和管理，做到安全文明施工，做好成品保护，对甲方提出的问题应在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399BA3AC">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6.采取有效的安全保障措施，确保施工安全，包括悬挂警示标牌、装设围栏、配备安全人员等，并承担事故的全部费用和责任。</w:t>
      </w:r>
    </w:p>
    <w:p w14:paraId="02B47805">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7.工程竣工后提供竣工验收技术资料及竣工图肆套，办理工程竣工结算手续，参加工程竣工验收。</w:t>
      </w:r>
    </w:p>
    <w:p w14:paraId="2F0E8860">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8.已完工的项目，在交工前乙方应负责保管，清理现场达到建筑物无污染，现场无建筑垃圾。</w:t>
      </w:r>
    </w:p>
    <w:p w14:paraId="3051EC00">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9.乙方应在设备运行过程中，对安全隐患进行全面的不定期检查与维护，并对不按安全规程操作的施工单位及时制止，并报甲方进行处理。</w:t>
      </w:r>
    </w:p>
    <w:p w14:paraId="660470D1">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10.乙方不能按合同规定的工期竣工的，应向甲方支付违约金，每逾期一日，支付合同总价款万分之二的违约金，造成甲方损失的，还应赔偿甲方损失。</w:t>
      </w:r>
    </w:p>
    <w:p w14:paraId="7673CDC7">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九、验收</w:t>
      </w:r>
    </w:p>
    <w:p w14:paraId="78AA8709">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（一）主材到现场后，由甲方对其进行验收，确认材料的产地、规格、数量。</w:t>
      </w:r>
    </w:p>
    <w:p w14:paraId="6879C6A7">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（二）乙方工程完工后，进行自检，合格后准备验收文件，并书面通知甲方。</w:t>
      </w:r>
    </w:p>
    <w:p w14:paraId="0720D491">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（三）甲方确认乙方的自检内容，验收合格作为工程的最终认可。</w:t>
      </w:r>
    </w:p>
    <w:p w14:paraId="2F07C683">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（四）验收依据：</w:t>
      </w:r>
    </w:p>
    <w:p w14:paraId="51B1F846">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1.合同、磋商文件、磋商响应文件及承诺。</w:t>
      </w:r>
    </w:p>
    <w:p w14:paraId="7E6ED1B9">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2.国家相关标准、规范及有关技术文件。</w:t>
      </w:r>
    </w:p>
    <w:p w14:paraId="1034B4C7">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十、工程保修</w:t>
      </w:r>
    </w:p>
    <w:p w14:paraId="12AB403D">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本项目保修期参照国家相关规定执行。在保修期限内，对甲方提出的有关维修、维护要求，乙方应在24小时内予以解决。乙方未能按时予以维修、维护的，甲方可另行委托第三方进行，因此而产生的费用由乙方承担，甲方有权从质保金中直接扣除，不足部分由乙方支付，乙方不得提出任何异议，给甲方造成损失的，乙方须给予赔偿。</w:t>
      </w:r>
    </w:p>
    <w:p w14:paraId="5D169534">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十一、争议的解决方式</w:t>
      </w:r>
    </w:p>
    <w:p w14:paraId="4FC5DD07">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合同执行过程中如发生争议，双方应及时协商解决，协商不成，双方均可向项目所在地人民法院起诉。</w:t>
      </w:r>
    </w:p>
    <w:p w14:paraId="2AEB54A7">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十二、其他</w:t>
      </w:r>
    </w:p>
    <w:p w14:paraId="6BCC9A33">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本合同未定事宜，双方可根据具体情况结合有关规定另行签订补充协议，补充协议与本合同具有同等法律效力。</w:t>
      </w:r>
    </w:p>
    <w:p w14:paraId="3965B153">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十三、附则</w:t>
      </w:r>
    </w:p>
    <w:p w14:paraId="447F0F9D">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（一）本合同一式八份，正本两份，甲、乙方各执一份，副本六份，甲方执三份，乙方执三份。</w:t>
      </w:r>
    </w:p>
    <w:p w14:paraId="3B602183">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（二）合同经双方盖章后生效，各条款执行完毕后终止。</w:t>
      </w:r>
    </w:p>
    <w:p w14:paraId="3600A71B">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甲方（公章）：                      乙方（公章）：</w:t>
      </w:r>
    </w:p>
    <w:p w14:paraId="60EC1F31">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法定代表人：                        法定代表人：</w:t>
      </w:r>
    </w:p>
    <w:p w14:paraId="5EC32D2D">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委托代表人：                        委托代表人：</w:t>
      </w:r>
    </w:p>
    <w:p w14:paraId="5F859319">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经办人：                            经办人：</w:t>
      </w:r>
    </w:p>
    <w:p w14:paraId="54CAEB84">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电话：                              电话：</w:t>
      </w:r>
    </w:p>
    <w:p w14:paraId="08DA6B23">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地址：                              地址：</w:t>
      </w:r>
    </w:p>
    <w:p w14:paraId="75D3E6A4">
      <w:pPr>
        <w:pStyle w:val="4"/>
        <w:spacing w:before="0" w:beforeAutospacing="0" w:after="0" w:afterAutospacing="0" w:line="360" w:lineRule="auto"/>
        <w:ind w:firstLine="480" w:firstLineChars="200"/>
        <w:rPr>
          <w:rFonts w:hint="eastAsia" w:ascii="宋体" w:hAnsi="宋体" w:eastAsia="宋体" w:cs="宋体"/>
          <w:color w:val="auto"/>
        </w:rPr>
      </w:pPr>
      <w:r>
        <w:rPr>
          <w:rFonts w:hint="eastAsia" w:ascii="宋体" w:hAnsi="宋体" w:eastAsia="宋体" w:cs="宋体"/>
          <w:color w:val="auto"/>
        </w:rPr>
        <w:t>签订时间：  年   月   日           签订时间：  年   月   日</w:t>
      </w:r>
    </w:p>
    <w:p w14:paraId="68453851">
      <w:pPr>
        <w:spacing w:line="520" w:lineRule="exact"/>
        <w:rPr>
          <w:rFonts w:hint="eastAsia" w:ascii="宋体" w:hAnsi="宋体" w:eastAsia="宋体" w:cs="宋体"/>
          <w:b/>
          <w:bCs/>
          <w:szCs w:val="32"/>
        </w:rPr>
      </w:pPr>
    </w:p>
    <w:p w14:paraId="25784B8F">
      <w:pPr>
        <w:spacing w:line="360" w:lineRule="auto"/>
        <w:ind w:firstLine="960" w:firstLineChars="300"/>
        <w:rPr>
          <w:rFonts w:hint="eastAsia" w:ascii="宋体" w:hAnsi="宋体" w:eastAsia="宋体" w:cs="宋体"/>
          <w:sz w:val="32"/>
          <w:szCs w:val="32"/>
        </w:rPr>
      </w:pPr>
    </w:p>
    <w:p w14:paraId="247734B8">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5A5B6F"/>
    <w:rsid w:val="04490DE5"/>
    <w:rsid w:val="085A5B6F"/>
    <w:rsid w:val="16E67E74"/>
    <w:rsid w:val="19CA3749"/>
    <w:rsid w:val="1C697F99"/>
    <w:rsid w:val="1FD233A8"/>
    <w:rsid w:val="241D7D3C"/>
    <w:rsid w:val="3E4038DB"/>
    <w:rsid w:val="504B3E15"/>
    <w:rsid w:val="57D113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jc w:val="center"/>
      <w:outlineLvl w:val="0"/>
    </w:pPr>
    <w:rPr>
      <w:rFonts w:ascii="黑体" w:eastAsia="黑体"/>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left"/>
    </w:pPr>
    <w:rPr>
      <w:rFonts w:ascii="Copperplate Gothic Bold" w:hAnsi="Copperplate Gothic Bold"/>
      <w:sz w:val="28"/>
    </w:rPr>
  </w:style>
  <w:style w:type="paragraph" w:styleId="4">
    <w:name w:val="Normal (Web)"/>
    <w:basedOn w:val="1"/>
    <w:qFormat/>
    <w:uiPriority w:val="0"/>
    <w:pPr>
      <w:widowControl/>
      <w:spacing w:before="100" w:beforeAutospacing="1" w:after="100" w:afterAutospacing="1"/>
      <w:jc w:val="left"/>
    </w:pPr>
    <w:rPr>
      <w:rFonts w:ascii="宋体" w:hAnsi="宋体" w:cs="宋体"/>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2243</Words>
  <Characters>2273</Characters>
  <Lines>0</Lines>
  <Paragraphs>0</Paragraphs>
  <TotalTime>0</TotalTime>
  <ScaleCrop>false</ScaleCrop>
  <LinksUpToDate>false</LinksUpToDate>
  <CharactersWithSpaces>2610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2025-04-20T06:34:00Z</dcterms:created>
  <dc:creator>墙上的向日葵</dc:creator>
  <cp:lastModifiedBy>丫丫</cp:lastModifiedBy>
  <dcterms:modified xsi:type="dcterms:W3CDTF">2026-05-20T14:45:59Z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2669EB15C35C4351B6DEC807EA0AB459_13</vt:lpwstr>
  </property>
  <property fmtid="{D5CDD505-2E9C-101B-9397-08002B2CF9AE}" pid="4" name="KSOTemplateDocerSaveRecord">
    <vt:lpwstr>eyJoZGlkIjoiNmEyNzE0OTVmNmE2M2FmMDA0OWQ3Y2FjZWYzZTZjZjkiLCJ1c2VySWQiOiI1OTU2MjQxNjEifQ==</vt:lpwstr>
  </property>
</Properties>
</file>