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版本号：THXZB2026—101920260507001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2026年第三方食品安全检验检测及技术咨询服务项目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THXZB2026—1019</w:t>
      </w:r>
      <w:r>
        <w:br/>
      </w:r>
      <w:r>
        <w:br/>
      </w:r>
      <w:r>
        <w:br/>
      </w:r>
    </w:p>
    <w:p>
      <w:pPr>
        <w:pStyle w:val="null3"/>
        <w:jc w:val="center"/>
        <w:outlineLvl w:val="2"/>
      </w:pPr>
      <w:r>
        <w:rPr>
          <w:rFonts w:ascii="仿宋_GB2312" w:hAnsi="仿宋_GB2312" w:cs="仿宋_GB2312" w:eastAsia="仿宋_GB2312"/>
          <w:sz w:val="28"/>
          <w:b/>
        </w:rPr>
        <w:t>西安市阎良区市场监督管理局</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西安市阎良区市场监督管理局</w:t>
      </w:r>
      <w:r>
        <w:rPr>
          <w:rFonts w:ascii="仿宋_GB2312" w:hAnsi="仿宋_GB2312" w:cs="仿宋_GB2312" w:eastAsia="仿宋_GB2312"/>
        </w:rPr>
        <w:t>委托，拟对</w:t>
      </w:r>
      <w:r>
        <w:rPr>
          <w:rFonts w:ascii="仿宋_GB2312" w:hAnsi="仿宋_GB2312" w:cs="仿宋_GB2312" w:eastAsia="仿宋_GB2312"/>
        </w:rPr>
        <w:t>2026年第三方食品安全检验检测及技术咨询服务项目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THXZB2026—1019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2026年第三方食品安全检验检测及技术咨询服务项目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西安市市场监督管理局关于转发《省局关于研提2026年食品安全抽检监测计划任务的通知》的通知要求，下达阎良区2026年食品安全监督抽检任务为不少于1255（其中食用农产品监督抽检任务共计251批次，具体分配：新华路97批次、凤凰路50批次、振兴33批次、关山20批次、武屯19批次、北屯14批次、蓝天路10批次、新兴8批次）批次，食品安全快速检测任务不少于2880批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证明书及授权书：法定代表人直接参加磋商须提交法定代表人证明书，法定代表人授权代表参加磋商的，须出具法定代表人证明书及授权书（授权代表需提供磋商响应文件截止时间前近三个月内任意一个月本单位社会保险缴纳证明）。</w:t>
      </w:r>
    </w:p>
    <w:p>
      <w:pPr>
        <w:pStyle w:val="null3"/>
      </w:pPr>
      <w:r>
        <w:rPr>
          <w:rFonts w:ascii="仿宋_GB2312" w:hAnsi="仿宋_GB2312" w:cs="仿宋_GB2312" w:eastAsia="仿宋_GB2312"/>
        </w:rPr>
        <w:t>3、财务状况：供应商须提供2024年度或2025年度经会计师事务所审计的审计报告（新成立企业可从成立当年开始提供相对应的财务报表）或其磋商截止时间前三个月内基本存款账户开户银行出具的资信证明。</w:t>
      </w:r>
    </w:p>
    <w:p>
      <w:pPr>
        <w:pStyle w:val="null3"/>
      </w:pPr>
      <w:r>
        <w:rPr>
          <w:rFonts w:ascii="仿宋_GB2312" w:hAnsi="仿宋_GB2312" w:cs="仿宋_GB2312" w:eastAsia="仿宋_GB2312"/>
        </w:rPr>
        <w:t>4、税收缴纳证明：供应商须提供自2025年4月1日至今已缴纳的至少一个月的纳税证明或完税证明（依法免税或零申报的供应商须提供相关文件证明；若为新成立企业可提供相应月度的缴税证明）。</w:t>
      </w:r>
    </w:p>
    <w:p>
      <w:pPr>
        <w:pStyle w:val="null3"/>
      </w:pPr>
      <w:r>
        <w:rPr>
          <w:rFonts w:ascii="仿宋_GB2312" w:hAnsi="仿宋_GB2312" w:cs="仿宋_GB2312" w:eastAsia="仿宋_GB2312"/>
        </w:rPr>
        <w:t>5、社会保障资金缴纳证明：供应商须提供自2025年4月1日至今已缴存的任意一个月的社会保障资金缴存单据或社保机构开具的社会保险参保缴费情况证明（依法不需要缴纳社会保障资金的供应商应提供相关文件证明；若为新成立企业可提供相应月度的社会保险缴纳证明）。</w:t>
      </w:r>
    </w:p>
    <w:p>
      <w:pPr>
        <w:pStyle w:val="null3"/>
      </w:pPr>
      <w:r>
        <w:rPr>
          <w:rFonts w:ascii="仿宋_GB2312" w:hAnsi="仿宋_GB2312" w:cs="仿宋_GB2312" w:eastAsia="仿宋_GB2312"/>
        </w:rPr>
        <w:t>6、认定证书：供应商具有检验检测机构资质认定证书CMA（证书附表要包含食品)、农产品质量安全检测机构考核合格证书（CATL）。</w:t>
      </w:r>
    </w:p>
    <w:p>
      <w:pPr>
        <w:pStyle w:val="null3"/>
      </w:pPr>
      <w:r>
        <w:rPr>
          <w:rFonts w:ascii="仿宋_GB2312" w:hAnsi="仿宋_GB2312" w:cs="仿宋_GB2312" w:eastAsia="仿宋_GB2312"/>
        </w:rPr>
        <w:t>7、书面声明：供应商应具备良好的商业信誉，提供参加政府采购活动前3年内在经营活动中没有重大违法记录的书面声明。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8、具有履行合同所必需的设备和专业技术能力的承诺函：供应商须提供具有履行合同所必需的设备和专业技术能力的承诺函。</w:t>
      </w:r>
    </w:p>
    <w:p>
      <w:pPr>
        <w:pStyle w:val="null3"/>
      </w:pPr>
      <w:r>
        <w:rPr>
          <w:rFonts w:ascii="仿宋_GB2312" w:hAnsi="仿宋_GB2312" w:cs="仿宋_GB2312" w:eastAsia="仿宋_GB2312"/>
        </w:rPr>
        <w:t>9、控股管理关系：单位负责人为同一人或存在直接控股、管理关系的不同单位，不得参加同一合同项下的政府采购活动。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10、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证明书及授权书：法定代表人直接参加磋商须提交法定代表人证明书，法定代表人授权代表参加磋商的，须出具法定代表人证明书及授权书（授权代表需提供磋商响应文件截止时间前近三个月内任意一个月本单位社会保险缴纳证明）。</w:t>
      </w:r>
    </w:p>
    <w:p>
      <w:pPr>
        <w:pStyle w:val="null3"/>
      </w:pPr>
      <w:r>
        <w:rPr>
          <w:rFonts w:ascii="仿宋_GB2312" w:hAnsi="仿宋_GB2312" w:cs="仿宋_GB2312" w:eastAsia="仿宋_GB2312"/>
        </w:rPr>
        <w:t>3、财务状况：供应商须提供2024年度或2025年度经会计师事务所审计的审计报告（新成立企业可从成立当年开始提供相对应的财务报表）或其磋商截止时间前三个月内基本存款账户开户银行出具的资信证明。</w:t>
      </w:r>
    </w:p>
    <w:p>
      <w:pPr>
        <w:pStyle w:val="null3"/>
      </w:pPr>
      <w:r>
        <w:rPr>
          <w:rFonts w:ascii="仿宋_GB2312" w:hAnsi="仿宋_GB2312" w:cs="仿宋_GB2312" w:eastAsia="仿宋_GB2312"/>
        </w:rPr>
        <w:t>4、税收缴纳证明：供应商须提供自2025年4月1日至今已缴纳的至少一个月的纳税证明或完税证明（依法免税或零申报的供应商须提供相关文件证明；若为新成立企业可提供相应月度的缴税证明）。</w:t>
      </w:r>
    </w:p>
    <w:p>
      <w:pPr>
        <w:pStyle w:val="null3"/>
      </w:pPr>
      <w:r>
        <w:rPr>
          <w:rFonts w:ascii="仿宋_GB2312" w:hAnsi="仿宋_GB2312" w:cs="仿宋_GB2312" w:eastAsia="仿宋_GB2312"/>
        </w:rPr>
        <w:t>5、社会保障资金缴纳证明：供应商须提供自2025年4月1日至今已缴存的任意一个月的社会保障资金缴存单据或社保机构开具的社会保险参保缴费情况证明（依法不需要缴纳社会保障资金的供应商应提供相关文件证明；若为新成立企业可提供相应月度的社会保险缴纳证明）。</w:t>
      </w:r>
    </w:p>
    <w:p>
      <w:pPr>
        <w:pStyle w:val="null3"/>
      </w:pPr>
      <w:r>
        <w:rPr>
          <w:rFonts w:ascii="仿宋_GB2312" w:hAnsi="仿宋_GB2312" w:cs="仿宋_GB2312" w:eastAsia="仿宋_GB2312"/>
        </w:rPr>
        <w:t>6、认定证书：供应商具有检验检测机构资质认定证书CMA（证书附表要包含食品)、农产品质量安全检测机构考核合格证书（CATL）。</w:t>
      </w:r>
    </w:p>
    <w:p>
      <w:pPr>
        <w:pStyle w:val="null3"/>
      </w:pPr>
      <w:r>
        <w:rPr>
          <w:rFonts w:ascii="仿宋_GB2312" w:hAnsi="仿宋_GB2312" w:cs="仿宋_GB2312" w:eastAsia="仿宋_GB2312"/>
        </w:rPr>
        <w:t>7、书面声明：供应商应具备良好的商业信誉，提供参加政府采购活动前3年内在经营活动中没有重大违法记录的书面声明。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8、具有履行合同所必需的设备和专业技术能力的承诺函：供应商须提供具有履行合同所必需的设备和专业技术能力的承诺函。</w:t>
      </w:r>
    </w:p>
    <w:p>
      <w:pPr>
        <w:pStyle w:val="null3"/>
      </w:pPr>
      <w:r>
        <w:rPr>
          <w:rFonts w:ascii="仿宋_GB2312" w:hAnsi="仿宋_GB2312" w:cs="仿宋_GB2312" w:eastAsia="仿宋_GB2312"/>
        </w:rPr>
        <w:t>9、控股管理关系：单位负责人为同一人或存在直接控股、管理关系的不同单位，不得参加同一合同项下的政府采购活动。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10、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1、具有独立承担民事责任能力：具有独立承担民事责任能力的法人、其他组织或自然人，提供合法有效的统一社会信用代码营业执照（事业单位提供事业单位法人证书，自然人应提供身份证）。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证明书及授权书：法定代表人直接参加磋商须提交法定代表人证明书，法定代表人授权代表参加磋商的，须出具法定代表人证明书及授权书（授权代表需提供磋商响应文件截止时间前近三个月内任意一个月本单位社会保险缴纳证明）。</w:t>
      </w:r>
    </w:p>
    <w:p>
      <w:pPr>
        <w:pStyle w:val="null3"/>
      </w:pPr>
      <w:r>
        <w:rPr>
          <w:rFonts w:ascii="仿宋_GB2312" w:hAnsi="仿宋_GB2312" w:cs="仿宋_GB2312" w:eastAsia="仿宋_GB2312"/>
        </w:rPr>
        <w:t>3、财务状况：供应商须提供2024年度或2025年度经会计师事务所审计的审计报告（新成立企业可从成立当年开始提供相对应的财务报表）或其磋商截止时间前三个月内基本存款账户开户银行出具的资信证明。</w:t>
      </w:r>
    </w:p>
    <w:p>
      <w:pPr>
        <w:pStyle w:val="null3"/>
      </w:pPr>
      <w:r>
        <w:rPr>
          <w:rFonts w:ascii="仿宋_GB2312" w:hAnsi="仿宋_GB2312" w:cs="仿宋_GB2312" w:eastAsia="仿宋_GB2312"/>
        </w:rPr>
        <w:t>4、税收缴纳证明：供应商须提供自2025年4月1日至今已缴纳的至少一个月的纳税证明或完税证明（依法免税或零申报的供应商须提供相关文件证明；若为新成立企业可提供相应月度的缴税证明）。</w:t>
      </w:r>
    </w:p>
    <w:p>
      <w:pPr>
        <w:pStyle w:val="null3"/>
      </w:pPr>
      <w:r>
        <w:rPr>
          <w:rFonts w:ascii="仿宋_GB2312" w:hAnsi="仿宋_GB2312" w:cs="仿宋_GB2312" w:eastAsia="仿宋_GB2312"/>
        </w:rPr>
        <w:t>5、社会保障资金缴纳证明：供应商须提供自2025年4月1日至今已缴存的任意一个月的社会保障资金缴存单据或社保机构开具的社会保险参保缴费情况证明（依法不需要缴纳社会保障资金的供应商应提供相关文件证明；若为新成立企业可提供相应月度的社会保险缴纳证明）。</w:t>
      </w:r>
    </w:p>
    <w:p>
      <w:pPr>
        <w:pStyle w:val="null3"/>
      </w:pPr>
      <w:r>
        <w:rPr>
          <w:rFonts w:ascii="仿宋_GB2312" w:hAnsi="仿宋_GB2312" w:cs="仿宋_GB2312" w:eastAsia="仿宋_GB2312"/>
        </w:rPr>
        <w:t>6、认定证书：供应商具有检验检测机构资质认定证书CMA（证书附表要包含食品)、农产品质量安全检测机构考核合格证书（CATL）。</w:t>
      </w:r>
    </w:p>
    <w:p>
      <w:pPr>
        <w:pStyle w:val="null3"/>
      </w:pPr>
      <w:r>
        <w:rPr>
          <w:rFonts w:ascii="仿宋_GB2312" w:hAnsi="仿宋_GB2312" w:cs="仿宋_GB2312" w:eastAsia="仿宋_GB2312"/>
        </w:rPr>
        <w:t>7、书面声明：供应商应具备良好的商业信誉，提供参加政府采购活动前3年内在经营活动中没有重大违法记录的书面声明。</w:t>
      </w:r>
    </w:p>
    <w:p>
      <w:pPr>
        <w:pStyle w:val="null3"/>
      </w:pPr>
      <w:r>
        <w:rPr>
          <w:rFonts w:ascii="仿宋_GB2312" w:hAnsi="仿宋_GB2312" w:cs="仿宋_GB2312" w:eastAsia="仿宋_GB2312"/>
        </w:rPr>
        <w:t>8、具有履行合同所必需的设备和专业技术能力的承诺函：供应商须提供具有履行合同所必需的设备和专业技术能力的承诺函。</w:t>
      </w:r>
    </w:p>
    <w:p>
      <w:pPr>
        <w:pStyle w:val="null3"/>
      </w:pPr>
      <w:r>
        <w:rPr>
          <w:rFonts w:ascii="仿宋_GB2312" w:hAnsi="仿宋_GB2312" w:cs="仿宋_GB2312" w:eastAsia="仿宋_GB2312"/>
        </w:rPr>
        <w:t>9、控股管理关系：单位负责人为同一人或存在直接控股、管理关系的不同单位，不得参加同一合同项下的政府采购活动。</w:t>
      </w:r>
    </w:p>
    <w:p>
      <w:pPr>
        <w:pStyle w:val="null3"/>
      </w:pPr>
      <w:r>
        <w:rPr>
          <w:rFonts w:ascii="仿宋_GB2312" w:hAnsi="仿宋_GB2312" w:cs="仿宋_GB2312" w:eastAsia="仿宋_GB2312"/>
        </w:rPr>
        <w:t>10、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西安市阎良区人民东路16号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029-86820602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陕西省西安市雁塔区雁南二路西京科创园3号楼25层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029-88210791转809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采购包1：391,209.56元</w:t>
            </w:r>
          </w:p>
          <w:p>
            <w:pPr>
              <w:pStyle w:val="null3"/>
            </w:pPr>
            <w:r>
              <w:rPr>
                <w:rFonts w:ascii="仿宋_GB2312" w:hAnsi="仿宋_GB2312" w:cs="仿宋_GB2312" w:eastAsia="仿宋_GB2312"/>
              </w:rPr>
              <w:t>采购包2：283,442.23元</w:t>
            </w:r>
          </w:p>
          <w:p>
            <w:pPr>
              <w:pStyle w:val="null3"/>
            </w:pPr>
            <w:r>
              <w:rPr>
                <w:rFonts w:ascii="仿宋_GB2312" w:hAnsi="仿宋_GB2312" w:cs="仿宋_GB2312" w:eastAsia="仿宋_GB2312"/>
              </w:rPr>
              <w:t>采购包3：325,348.21元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以预算金额作为基数，差额累进法进行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西安市阎良区市场监督管理局</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联系人：卢工</w:t>
      </w:r>
    </w:p>
    <w:p>
      <w:pPr>
        <w:pStyle w:val="null3"/>
      </w:pPr>
      <w:r>
        <w:rPr>
          <w:rFonts w:ascii="仿宋_GB2312" w:hAnsi="仿宋_GB2312" w:cs="仿宋_GB2312" w:eastAsia="仿宋_GB2312"/>
        </w:rPr>
        <w:t>联系电话：029-88210791转809</w:t>
      </w:r>
    </w:p>
    <w:p>
      <w:pPr>
        <w:pStyle w:val="null3"/>
      </w:pPr>
      <w:r>
        <w:rPr>
          <w:rFonts w:ascii="仿宋_GB2312" w:hAnsi="仿宋_GB2312" w:cs="仿宋_GB2312" w:eastAsia="仿宋_GB2312"/>
        </w:rPr>
        <w:t>地址：陕西省西安市雁塔区雁南二路西京公司西京科创园三号楼25楼</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按照西安市市场监督管理局关于转发《省局关于研提</w:t>
      </w:r>
      <w:r>
        <w:rPr>
          <w:rFonts w:ascii="仿宋_GB2312" w:hAnsi="仿宋_GB2312" w:cs="仿宋_GB2312" w:eastAsia="仿宋_GB2312"/>
        </w:rPr>
        <w:t>2026年食品安全抽检监测计划任务的通知》的通知要求，下达阎良区2026年食品安全监督抽检任务为不少于1255（其中食用农产品监督抽检任务共计251批次，具体分配：新华路97批次、凤凰路50批次、振兴33批次、关山20批次、武屯19批次、北屯14批次、蓝天路10批次、新兴8批次）批次，食品安全快速检测任务不少于2880批次。按照阎良各街办辖区人口数量及经营户数量及工作实际，具体划分标段为：</w:t>
      </w:r>
    </w:p>
    <w:p>
      <w:pPr>
        <w:pStyle w:val="null3"/>
        <w:ind w:firstLine="400"/>
      </w:pPr>
      <w:r>
        <w:rPr>
          <w:rFonts w:ascii="仿宋_GB2312" w:hAnsi="仿宋_GB2312" w:cs="仿宋_GB2312" w:eastAsia="仿宋_GB2312"/>
        </w:rPr>
        <w:t>采购包</w:t>
      </w:r>
      <w:r>
        <w:rPr>
          <w:rFonts w:ascii="仿宋_GB2312" w:hAnsi="仿宋_GB2312" w:cs="仿宋_GB2312" w:eastAsia="仿宋_GB2312"/>
        </w:rPr>
        <w:t>1：凤凰路、振兴、蓝天路监管辖区，任务为食品安全监督抽检不少于468批次（定量），其中食用农产品抽检不高于93批次（具体分配：凤凰路50批次、振兴33批次、蓝天路10批次），采购预算总金额为319209.56元；凤凰路、振兴、蓝天路、北屯辖区每月不少于30批次（定性），每批次快速检测预算平均不超过50元，采购预算总金额为72000.00元；据实结算。</w:t>
      </w:r>
    </w:p>
    <w:p>
      <w:pPr>
        <w:pStyle w:val="null3"/>
        <w:ind w:firstLine="400"/>
      </w:pPr>
      <w:r>
        <w:rPr>
          <w:rFonts w:ascii="仿宋_GB2312" w:hAnsi="仿宋_GB2312" w:cs="仿宋_GB2312" w:eastAsia="仿宋_GB2312"/>
        </w:rPr>
        <w:t>采购包</w:t>
      </w:r>
      <w:r>
        <w:rPr>
          <w:rFonts w:ascii="仿宋_GB2312" w:hAnsi="仿宋_GB2312" w:cs="仿宋_GB2312" w:eastAsia="仿宋_GB2312"/>
        </w:rPr>
        <w:t>2：新华路监管辖区，任务为食品安全监督抽检不少于310批次（定量），其中农产品抽检不高于97批次，采购预算总金额为211442.23元,据实结算。新华路、新兴、关山、武屯监管辖区快速检测任务每月每辖区不少于30批次（定性），每批次快速检测平均预算不超过50元每批次，采购预算总金额为72000.00元；以上据实结算。</w:t>
      </w:r>
    </w:p>
    <w:p>
      <w:pPr>
        <w:pStyle w:val="null3"/>
      </w:pPr>
      <w:r>
        <w:rPr>
          <w:rFonts w:ascii="仿宋_GB2312" w:hAnsi="仿宋_GB2312" w:cs="仿宋_GB2312" w:eastAsia="仿宋_GB2312"/>
          <w:sz w:val="21"/>
        </w:rPr>
        <w:t>采购包</w:t>
      </w:r>
      <w:r>
        <w:rPr>
          <w:rFonts w:ascii="仿宋_GB2312" w:hAnsi="仿宋_GB2312" w:cs="仿宋_GB2312" w:eastAsia="仿宋_GB2312"/>
          <w:sz w:val="21"/>
        </w:rPr>
        <w:t>3：新兴、关山、武屯、北屯监管辖区，任务为食品安全监督抽检不少于477批次（定量），其中农产品抽检不高于61批次（具体分配：新兴8批次、关山20批次、武屯19批次、北屯14批次），采购预算总金额为325348.21元；以上据实结算。</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391,209.56</w:t>
      </w:r>
    </w:p>
    <w:p>
      <w:pPr>
        <w:pStyle w:val="null3"/>
      </w:pPr>
      <w:r>
        <w:rPr>
          <w:rFonts w:ascii="仿宋_GB2312" w:hAnsi="仿宋_GB2312" w:cs="仿宋_GB2312" w:eastAsia="仿宋_GB2312"/>
        </w:rPr>
        <w:t>采购包最高限价（元）: 391,209.56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凤凰路振兴蓝天路监管辖区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391,209.56</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283,442.23</w:t>
      </w:r>
    </w:p>
    <w:p>
      <w:pPr>
        <w:pStyle w:val="null3"/>
      </w:pPr>
      <w:r>
        <w:rPr>
          <w:rFonts w:ascii="仿宋_GB2312" w:hAnsi="仿宋_GB2312" w:cs="仿宋_GB2312" w:eastAsia="仿宋_GB2312"/>
        </w:rPr>
        <w:t>采购包最高限价（元）: 283,442.23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新华路监管辖区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283,442.23</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325,348.21</w:t>
      </w:r>
    </w:p>
    <w:p>
      <w:pPr>
        <w:pStyle w:val="null3"/>
      </w:pPr>
      <w:r>
        <w:rPr>
          <w:rFonts w:ascii="仿宋_GB2312" w:hAnsi="仿宋_GB2312" w:cs="仿宋_GB2312" w:eastAsia="仿宋_GB2312"/>
        </w:rPr>
        <w:t>采购包最高限价（元）: 325,348.21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新兴关山武屯北屯监管辖区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325,348.21</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标的名称：凤凰路振兴蓝天路监管辖区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color w:val="000000"/>
              </w:rPr>
              <w:t>一、服务内容及要求：</w:t>
            </w:r>
          </w:p>
          <w:p>
            <w:pPr>
              <w:pStyle w:val="null3"/>
            </w:pPr>
            <w:r>
              <w:rPr>
                <w:rFonts w:ascii="仿宋_GB2312" w:hAnsi="仿宋_GB2312" w:cs="仿宋_GB2312" w:eastAsia="仿宋_GB2312"/>
                <w:sz w:val="22"/>
                <w:color w:val="000000"/>
              </w:rPr>
              <w:t>1、人员配置：</w:t>
            </w:r>
          </w:p>
          <w:p>
            <w:pPr>
              <w:pStyle w:val="null3"/>
            </w:pPr>
            <w:r>
              <w:rPr>
                <w:rFonts w:ascii="仿宋_GB2312" w:hAnsi="仿宋_GB2312" w:cs="仿宋_GB2312" w:eastAsia="仿宋_GB2312"/>
                <w:sz w:val="22"/>
                <w:color w:val="000000"/>
              </w:rPr>
              <w:t xml:space="preserve">    须设立不少于一组由采购方统一管理调配的食品监督抽检采样组（组长</w:t>
            </w:r>
            <w:r>
              <w:rPr>
                <w:rFonts w:ascii="仿宋_GB2312" w:hAnsi="仿宋_GB2312" w:cs="仿宋_GB2312" w:eastAsia="仿宋_GB2312"/>
                <w:sz w:val="22"/>
                <w:color w:val="000000"/>
              </w:rPr>
              <w:t xml:space="preserve">1名、组员不少于2名），抽样组人员具备化学分析或食品安全检验检测大专及以上院校毕业的专职采样人员，且具有满足法律法规资历要求。  </w:t>
            </w:r>
          </w:p>
          <w:p>
            <w:pPr>
              <w:pStyle w:val="null3"/>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须设立区域负责人</w:t>
            </w:r>
            <w:r>
              <w:rPr>
                <w:rFonts w:ascii="仿宋_GB2312" w:hAnsi="仿宋_GB2312" w:cs="仿宋_GB2312" w:eastAsia="仿宋_GB2312"/>
                <w:sz w:val="22"/>
                <w:color w:val="000000"/>
              </w:rPr>
              <w:t>1名，须具有化学分析或食品相关的高级工程师，具有一定的风险分析能力，统计调研能力，能够每月对采样人员进行培训、考核。能够牵头对接采购方技术需求，调动其检测机构内部人员、检验任务管理等职权能力。</w:t>
            </w:r>
          </w:p>
          <w:p>
            <w:pPr>
              <w:pStyle w:val="null3"/>
            </w:pPr>
            <w:r>
              <w:rPr>
                <w:rFonts w:ascii="仿宋_GB2312" w:hAnsi="仿宋_GB2312" w:cs="仿宋_GB2312" w:eastAsia="仿宋_GB2312"/>
                <w:sz w:val="22"/>
                <w:color w:val="000000"/>
              </w:rPr>
              <w:t>2、抽样检验专业设备：</w:t>
            </w:r>
          </w:p>
          <w:p>
            <w:pPr>
              <w:pStyle w:val="null3"/>
            </w:pPr>
            <w:r>
              <w:rPr>
                <w:rFonts w:ascii="仿宋_GB2312" w:hAnsi="仿宋_GB2312" w:cs="仿宋_GB2312" w:eastAsia="仿宋_GB2312"/>
                <w:sz w:val="22"/>
                <w:color w:val="000000"/>
              </w:rPr>
              <w:t xml:space="preserve">    具有专业的采样设备，具有能满足《国家食品安全监督抽检细则》规定的大型检测仪器及设备，如：液相色谱/质谱联用仪-三重四级杆（LC/MS/MS）、气质联用仪（GC/MS）、三重四极杆气相-质谱联用仪（GC-MS/MS）、原子吸收分光光度计（AAS）、电感耦合等离子体质谱仪（ICP/MS）、高效液相色谱仪（HPLC）、气相色谱仪（GC）等大型仪器设备。具有食品安全快速检测综合仪器（分光光度法）、快速检测胶体金及试剂耗材；采样车辆具备冷藏运输功能，能够全链条记录样品运输数据及采样耗材能满足采样、送样等工作要求。</w:t>
            </w:r>
          </w:p>
          <w:p>
            <w:pPr>
              <w:pStyle w:val="null3"/>
            </w:pPr>
            <w:r>
              <w:rPr>
                <w:rFonts w:ascii="仿宋_GB2312" w:hAnsi="仿宋_GB2312" w:cs="仿宋_GB2312" w:eastAsia="仿宋_GB2312"/>
                <w:sz w:val="22"/>
                <w:color w:val="000000"/>
              </w:rPr>
              <w:t>3、服务标准：</w:t>
            </w:r>
          </w:p>
          <w:p>
            <w:pPr>
              <w:pStyle w:val="null3"/>
            </w:pPr>
            <w:r>
              <w:rPr>
                <w:rFonts w:ascii="仿宋_GB2312" w:hAnsi="仿宋_GB2312" w:cs="仿宋_GB2312" w:eastAsia="仿宋_GB2312"/>
                <w:sz w:val="22"/>
                <w:color w:val="000000"/>
              </w:rPr>
              <w:t xml:space="preserve">    样品检测应依照国家标准。若没有国家标准，可按照地方标准、卫生标准和相关的行业标准、企业标准、产品标签明示值或国家明文规定的限量值及国家指定的特定检验方法等进行检验。20天内出具检验检测报告；检出重大危险源能够响应24小时报告制；具有应急响应机制，确保甲方区域内发生应急时间，2小时内到场开展抽样工作，7个工作以内出具检测数据或结论。食品快速检测任务能配合采购方开展不少于4次的培训，能够陪同采购方开展进社区、进村组、进校园、进机关、进超市等活动，并且要有活动所需的组织能力、技术展演能力等；采样抽样期间，服务企业能派驻技术人员在甲方驻地开展技术帮扶、指导、服务等。</w:t>
            </w:r>
          </w:p>
          <w:p>
            <w:pPr>
              <w:pStyle w:val="null3"/>
            </w:pPr>
            <w:r>
              <w:rPr>
                <w:rFonts w:ascii="仿宋_GB2312" w:hAnsi="仿宋_GB2312" w:cs="仿宋_GB2312" w:eastAsia="仿宋_GB2312"/>
                <w:sz w:val="22"/>
              </w:rPr>
              <w:t>4、企业自身具有检验检测数据库，能每月对自身大数据进行统计分析，对已抽检的数据进行汇总分析，为日常食品监管提供“技术支撑”意见和建议。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二、主要检测项目</w:t>
            </w:r>
          </w:p>
          <w:tbl>
            <w:tblPr>
              <w:tblBorders>
                <w:top w:val="none" w:color="000000" w:sz="4"/>
                <w:left w:val="none" w:color="000000" w:sz="4"/>
                <w:bottom w:val="none" w:color="000000" w:sz="4"/>
                <w:right w:val="none" w:color="000000" w:sz="4"/>
                <w:insideH w:val="none"/>
                <w:insideV w:val="none"/>
              </w:tblBorders>
            </w:tblPr>
            <w:tblGrid>
              <w:gridCol w:w="264"/>
              <w:gridCol w:w="1112"/>
              <w:gridCol w:w="264"/>
              <w:gridCol w:w="913"/>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序号</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检测项目名称</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序号</w:t>
                  </w:r>
                </w:p>
              </w:tc>
              <w:tc>
                <w:tcPr>
                  <w:tcW w:type="dxa" w:w="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检测项目名称</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镉（以</w:t>
                  </w:r>
                  <w:r>
                    <w:rPr>
                      <w:rFonts w:ascii="仿宋_GB2312" w:hAnsi="仿宋_GB2312" w:cs="仿宋_GB2312" w:eastAsia="仿宋_GB2312"/>
                      <w:sz w:val="21"/>
                      <w:color w:val="0F1115"/>
                    </w:rPr>
                    <w:t>Cd计）</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139</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钙</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苯并</w:t>
                  </w:r>
                  <w:r>
                    <w:rPr>
                      <w:rFonts w:ascii="仿宋_GB2312" w:hAnsi="仿宋_GB2312" w:cs="仿宋_GB2312" w:eastAsia="仿宋_GB2312"/>
                      <w:sz w:val="21"/>
                      <w:color w:val="0F1115"/>
                    </w:rPr>
                    <w:t>[a]芘</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肌醇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玉米赤霉烯酮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绿原酸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脱氧雪腐镰刀菌烯醇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赭曲霉毒素</w:t>
                  </w:r>
                  <w:r>
                    <w:rPr>
                      <w:rFonts w:ascii="仿宋_GB2312" w:hAnsi="仿宋_GB2312" w:cs="仿宋_GB2312" w:eastAsia="仿宋_GB2312"/>
                      <w:sz w:val="21"/>
                      <w:color w:val="0F1115"/>
                    </w:rPr>
                    <w:t>A</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黄曲霉毒素</w:t>
                  </w:r>
                  <w:r>
                    <w:rPr>
                      <w:rFonts w:ascii="仿宋_GB2312" w:hAnsi="仿宋_GB2312" w:cs="仿宋_GB2312" w:eastAsia="仿宋_GB2312"/>
                      <w:sz w:val="21"/>
                      <w:color w:val="0F1115"/>
                    </w:rPr>
                    <w:t>B₁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偶氮甲酰胺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B₂</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过氧化苯甲酰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铅（以</w:t>
                  </w:r>
                  <w:r>
                    <w:rPr>
                      <w:rFonts w:ascii="仿宋_GB2312" w:hAnsi="仿宋_GB2312" w:cs="仿宋_GB2312" w:eastAsia="仿宋_GB2312"/>
                      <w:sz w:val="21"/>
                      <w:color w:val="0F1115"/>
                    </w:rPr>
                    <w:t>Pb计）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C</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脱氢乙酸及其钠盐（以脱氢乙酸计）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D</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柠檬黄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E</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日落黄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硒</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喹啉黄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锌</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亮蓝</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烟酰胺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靛蓝</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叶酸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胭脂红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免疫球蛋白</w:t>
                  </w:r>
                  <w:r>
                    <w:rPr>
                      <w:rFonts w:ascii="仿宋_GB2312" w:hAnsi="仿宋_GB2312" w:cs="仿宋_GB2312" w:eastAsia="仿宋_GB2312"/>
                      <w:sz w:val="21"/>
                      <w:color w:val="0F1115"/>
                    </w:rPr>
                    <w:t>IgG</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诱惑红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总黄酮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苋菜红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总皂苷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酸性红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总蒽醌</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新红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吡啶甲酸铬</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赤藓红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芦荟苷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总汞（以</w:t>
                  </w:r>
                  <w:r>
                    <w:rPr>
                      <w:rFonts w:ascii="仿宋_GB2312" w:hAnsi="仿宋_GB2312" w:cs="仿宋_GB2312" w:eastAsia="仿宋_GB2312"/>
                      <w:sz w:val="21"/>
                      <w:color w:val="0F1115"/>
                    </w:rPr>
                    <w:t>Hg计）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总三萜</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铬（以</w:t>
                  </w:r>
                  <w:r>
                    <w:rPr>
                      <w:rFonts w:ascii="仿宋_GB2312" w:hAnsi="仿宋_GB2312" w:cs="仿宋_GB2312" w:eastAsia="仿宋_GB2312"/>
                      <w:sz w:val="21"/>
                      <w:color w:val="0F1115"/>
                    </w:rPr>
                    <w:t>Cr计）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崩解时限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苯甲酸及其钠盐（以苯甲酸计）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灰分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山梨酸及其钾盐（以山梨酸计）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硬胶囊壳中的铬</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二氧化硫残留量</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极性组分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糖精钠（以糖精计）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阴离子合成洗涤剂（以十二烷基苯磺酸钠计）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甜蜜素（以环己基氨基磺酸计）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克伦特罗</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安赛蜜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莱克多巴胺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菌落总数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沙丁胺醇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大肠菌群</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喹乙醇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酸价</w:t>
                  </w:r>
                  <w:r>
                    <w:rPr>
                      <w:rFonts w:ascii="仿宋_GB2312" w:hAnsi="仿宋_GB2312" w:cs="仿宋_GB2312" w:eastAsia="仿宋_GB2312"/>
                      <w:sz w:val="21"/>
                      <w:color w:val="0F1115"/>
                    </w:rPr>
                    <w:t>/酸值</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恩诺沙星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过氧化值（以脂肪计）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替米考星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溶剂残留量</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磺胺类（总量）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特丁基对苯二酚（</w:t>
                  </w:r>
                  <w:r>
                    <w:rPr>
                      <w:rFonts w:ascii="仿宋_GB2312" w:hAnsi="仿宋_GB2312" w:cs="仿宋_GB2312" w:eastAsia="仿宋_GB2312"/>
                      <w:sz w:val="21"/>
                      <w:color w:val="0F1115"/>
                    </w:rPr>
                    <w:t>TBHQ）</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甲氧苄啶</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乙基麦芽酚</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氟苯尼考</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丙二醛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多西环素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霉菌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地塞米松</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酵母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氯丙嗪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氨基酸态氮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林可霉素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全氮（以氮计）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土霉素</w:t>
                  </w:r>
                  <w:r>
                    <w:rPr>
                      <w:rFonts w:ascii="仿宋_GB2312" w:hAnsi="仿宋_GB2312" w:cs="仿宋_GB2312" w:eastAsia="仿宋_GB2312"/>
                      <w:sz w:val="21"/>
                      <w:color w:val="0F1115"/>
                    </w:rPr>
                    <w:t>/金霉素/四环素（组合含量）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铵盐</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倍他米松</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对羟基苯甲酸酯类及其钠盐（以对羟基苯甲酸计）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环丙氨嗪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防腐剂混合使用时各自用量占其最大使用量的比例之和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培氟沙星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三氯蔗糖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沙拉沙星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总酸（以乙酸计）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尼卡巴嗪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不挥发酸（以乳酸计）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4-氯苯氧乙酸钠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罗丹明</w:t>
                  </w:r>
                  <w:r>
                    <w:rPr>
                      <w:rFonts w:ascii="仿宋_GB2312" w:hAnsi="仿宋_GB2312" w:cs="仿宋_GB2312" w:eastAsia="仿宋_GB2312"/>
                      <w:sz w:val="21"/>
                      <w:color w:val="0F1115"/>
                    </w:rPr>
                    <w:t>B</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6-苄基腺嘌呤</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亚硫酸盐（以</w:t>
                  </w:r>
                  <w:r>
                    <w:rPr>
                      <w:rFonts w:ascii="仿宋_GB2312" w:hAnsi="仿宋_GB2312" w:cs="仿宋_GB2312" w:eastAsia="仿宋_GB2312"/>
                      <w:sz w:val="21"/>
                      <w:color w:val="0F1115"/>
                    </w:rPr>
                    <w:t>SO₂计）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百菌清</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III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除虫脲</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IV</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阿维菌素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沙门氏菌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敌敌畏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金黄色葡萄球菌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二甲戊灵</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丙溴磷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氟虫腈</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氯氰菊酯和高效氯氰菊酯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腐霉利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多菌灵</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甲胺磷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毒死蜱</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乐果</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克百威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六六六</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谷氨酸钠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辛硫磷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呈味核苷酸二钠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罂粟碱</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甲基异柳磷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吗啡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噻虫嗪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可待因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戊唑醇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那可丁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噻虫胺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阿斯巴甜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甲氨基阿维菌素苯甲酸盐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氟氯氰菊酯和高效氟氯氰菊酯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相同色泽着色剂混合使用时各自用量占其最大使用量的比例之和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苯醚甲环唑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腈菌唑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钡（以</w:t>
                  </w:r>
                  <w:r>
                    <w:rPr>
                      <w:rFonts w:ascii="仿宋_GB2312" w:hAnsi="仿宋_GB2312" w:cs="仿宋_GB2312" w:eastAsia="仿宋_GB2312"/>
                      <w:sz w:val="21"/>
                      <w:color w:val="0F1115"/>
                    </w:rPr>
                    <w:t>Ba计）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吡唑醚菌酯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碘（以</w:t>
                  </w:r>
                  <w:r>
                    <w:rPr>
                      <w:rFonts w:ascii="仿宋_GB2312" w:hAnsi="仿宋_GB2312" w:cs="仿宋_GB2312" w:eastAsia="仿宋_GB2312"/>
                      <w:sz w:val="21"/>
                      <w:color w:val="0F1115"/>
                    </w:rPr>
                    <w:t>I计）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霜霉威和霜霉威盐酸盐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总砷（以</w:t>
                  </w:r>
                  <w:r>
                    <w:rPr>
                      <w:rFonts w:ascii="仿宋_GB2312" w:hAnsi="仿宋_GB2312" w:cs="仿宋_GB2312" w:eastAsia="仿宋_GB2312"/>
                      <w:sz w:val="21"/>
                      <w:color w:val="0F1115"/>
                    </w:rPr>
                    <w:t>As计）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倍硫磷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亚铁氰化钾</w:t>
                  </w:r>
                  <w:r>
                    <w:rPr>
                      <w:rFonts w:ascii="仿宋_GB2312" w:hAnsi="仿宋_GB2312" w:cs="仿宋_GB2312" w:eastAsia="仿宋_GB2312"/>
                      <w:sz w:val="21"/>
                      <w:color w:val="0F1115"/>
                    </w:rPr>
                    <w:t>/亚铁氰化钠（以亚铁氰根计）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呋虫胺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氯化钾</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杀扑磷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亚硝酸盐（以亚硝酸钠计）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哒螨灵</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乙螨唑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纳他霉素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异丙威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单核细胞增生李斯特氏菌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灭蝇胺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N-二甲基亚硝胺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烯酰吗啉</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商业无菌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咪鲜胺和咪鲜胺锰盐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蛋白质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涕灭威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泛酸</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氯唑磷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孔雀石绿</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脂肪</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五氯酚钠（以五氯酚计）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三聚氰胺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地西泮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丙二醇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氟硅唑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复原乳酸度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溴氰菊酯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杂质度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2,4-滴和2,4-滴钠盐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水分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狄氏剂</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界限指标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联苯肼酯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己唑醇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溴酸盐</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氯吡脲</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硝酸盐（以</w:t>
                  </w:r>
                  <w:r>
                    <w:rPr>
                      <w:rFonts w:ascii="仿宋_GB2312" w:hAnsi="仿宋_GB2312" w:cs="仿宋_GB2312" w:eastAsia="仿宋_GB2312"/>
                      <w:sz w:val="21"/>
                      <w:color w:val="0F1115"/>
                    </w:rPr>
                    <w:t>NO₃⁻计）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腈苯唑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铜绿假单胞菌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戊菌唑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电导率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烯唑醇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耗氧量（以</w:t>
                  </w:r>
                  <w:r>
                    <w:rPr>
                      <w:rFonts w:ascii="仿宋_GB2312" w:hAnsi="仿宋_GB2312" w:cs="仿宋_GB2312" w:eastAsia="仿宋_GB2312"/>
                      <w:sz w:val="21"/>
                      <w:color w:val="0F1115"/>
                    </w:rPr>
                    <w:t>O₂计）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噻唑膦</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余氯（游离氯）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噻嗪酮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三氯甲烷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氰霜唑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展青霉素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氟吗啉</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乳酸菌数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地美硝唑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蔗糖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甲砜霉素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茶多酚</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地克珠利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咖啡因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托曲珠利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氰化物（以</w:t>
                  </w:r>
                  <w:r>
                    <w:rPr>
                      <w:rFonts w:ascii="仿宋_GB2312" w:hAnsi="仿宋_GB2312" w:cs="仿宋_GB2312" w:eastAsia="仿宋_GB2312"/>
                      <w:sz w:val="21"/>
                      <w:color w:val="0F1115"/>
                    </w:rPr>
                    <w:t>HCN计）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环丙唑醇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铝的残留量（干样品，以</w:t>
                  </w:r>
                  <w:r>
                    <w:rPr>
                      <w:rFonts w:ascii="仿宋_GB2312" w:hAnsi="仿宋_GB2312" w:cs="仿宋_GB2312" w:eastAsia="仿宋_GB2312"/>
                      <w:sz w:val="21"/>
                      <w:color w:val="0F1115"/>
                    </w:rPr>
                    <w:t>Al计）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粗多糖</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组胺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辅酶</w:t>
                  </w:r>
                  <w:r>
                    <w:rPr>
                      <w:rFonts w:ascii="仿宋_GB2312" w:hAnsi="仿宋_GB2312" w:cs="仿宋_GB2312" w:eastAsia="仿宋_GB2312"/>
                      <w:sz w:val="21"/>
                      <w:color w:val="0F1115"/>
                    </w:rPr>
                    <w:t>Q</w:t>
                  </w:r>
                  <w:r>
                    <w:rPr>
                      <w:rFonts w:ascii="仿宋_GB2312" w:hAnsi="仿宋_GB2312" w:cs="仿宋_GB2312" w:eastAsia="仿宋_GB2312"/>
                      <w:sz w:val="21"/>
                      <w:color w:val="0F1115"/>
                      <w:vertAlign w:val="subscript"/>
                    </w:rPr>
                    <w:t>10</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乙二胺四乙酸二钠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硫酸软骨素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挥发性盐基氮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赤霉素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副溶血性弧菌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氟唑菌酰胺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草甘膦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敌百虫</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吡虫啉</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久效磷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乙酰甲胺磷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硼酸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联苯菊酯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西地那非</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灭多威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他达拉非</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三氯杀螨醇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红</w:t>
                  </w:r>
                  <w:r>
                    <w:rPr>
                      <w:rFonts w:ascii="仿宋_GB2312" w:hAnsi="仿宋_GB2312" w:cs="仿宋_GB2312" w:eastAsia="仿宋_GB2312"/>
                      <w:sz w:val="21"/>
                      <w:color w:val="0F1115"/>
                    </w:rPr>
                    <w:t>2G</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氰戊菊酯和</w:t>
                  </w:r>
                  <w:r>
                    <w:rPr>
                      <w:rFonts w:ascii="仿宋_GB2312" w:hAnsi="仿宋_GB2312" w:cs="仿宋_GB2312" w:eastAsia="仿宋_GB2312"/>
                      <w:sz w:val="21"/>
                      <w:color w:val="0F1115"/>
                    </w:rPr>
                    <w:t>S-氰戊菊酯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西布曲明</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甲拌磷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总糖分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水胺硫磷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还原糖分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氧乐果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色值</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啶虫脒</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总氮（以</w:t>
                  </w:r>
                  <w:r>
                    <w:rPr>
                      <w:rFonts w:ascii="仿宋_GB2312" w:hAnsi="仿宋_GB2312" w:cs="仿宋_GB2312" w:eastAsia="仿宋_GB2312"/>
                      <w:sz w:val="21"/>
                      <w:color w:val="0F1115"/>
                    </w:rPr>
                    <w:t>N计）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茚虫威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硫酸盐（以</w:t>
                  </w:r>
                  <w:r>
                    <w:rPr>
                      <w:rFonts w:ascii="仿宋_GB2312" w:hAnsi="仿宋_GB2312" w:cs="仿宋_GB2312" w:eastAsia="仿宋_GB2312"/>
                      <w:sz w:val="21"/>
                      <w:color w:val="0F1115"/>
                    </w:rPr>
                    <w:t>SO₄²⁻计）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氯氟氰菊酯和高效氯氟氰菊酯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铵盐（以</w:t>
                  </w:r>
                  <w:r>
                    <w:rPr>
                      <w:rFonts w:ascii="仿宋_GB2312" w:hAnsi="仿宋_GB2312" w:cs="仿宋_GB2312" w:eastAsia="仿宋_GB2312"/>
                      <w:sz w:val="21"/>
                      <w:color w:val="0F1115"/>
                    </w:rPr>
                    <w:t>NH₄⁺计）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三唑磷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pH值</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酒精度（乙醇浓度）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氯化物（以</w:t>
                  </w:r>
                  <w:r>
                    <w:rPr>
                      <w:rFonts w:ascii="仿宋_GB2312" w:hAnsi="仿宋_GB2312" w:cs="仿宋_GB2312" w:eastAsia="仿宋_GB2312"/>
                      <w:sz w:val="21"/>
                      <w:color w:val="0F1115"/>
                    </w:rPr>
                    <w:t>Cl⁻计）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非脂乳固体</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氟啶虫酰胺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蔗糖分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二氧化碳气容量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干燥失重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螨</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不溶于水杂质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氰化物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葛根素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铝的残留量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干物质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10-羟基-2-癸烯酸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硫酸灰分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二十二碳六烯酸（</w:t>
                  </w:r>
                  <w:r>
                    <w:rPr>
                      <w:rFonts w:ascii="仿宋_GB2312" w:hAnsi="仿宋_GB2312" w:cs="仿宋_GB2312" w:eastAsia="仿宋_GB2312"/>
                      <w:sz w:val="21"/>
                      <w:color w:val="0F1115"/>
                    </w:rPr>
                    <w:t>DHA）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丙酸及其钠盐、钙盐（以丙酸计）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二十碳五烯酸（</w:t>
                  </w:r>
                  <w:r>
                    <w:rPr>
                      <w:rFonts w:ascii="仿宋_GB2312" w:hAnsi="仿宋_GB2312" w:cs="仿宋_GB2312" w:eastAsia="仿宋_GB2312"/>
                      <w:sz w:val="21"/>
                      <w:color w:val="0F1115"/>
                    </w:rPr>
                    <w:t>EPA）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碱性嫩黄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甲硝唑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果糖和葡萄糖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双甲脒</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诺氟沙星</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呋喃它酮代谢物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呋喃西林代谢物</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呋喃妥因代谢物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呋喃唑酮代谢物</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b/>
              </w:rPr>
              <w:t>三、快速检测项目：</w:t>
            </w:r>
          </w:p>
          <w:tbl>
            <w:tblPr>
              <w:tblInd w:type="dxa" w:w="240"/>
              <w:tblBorders>
                <w:top w:val="none" w:color="000000" w:sz="4"/>
                <w:left w:val="none" w:color="000000" w:sz="4"/>
                <w:bottom w:val="none" w:color="000000" w:sz="4"/>
                <w:right w:val="none" w:color="000000" w:sz="4"/>
                <w:insideH w:val="none"/>
                <w:insideV w:val="none"/>
              </w:tblBorders>
            </w:tblPr>
            <w:tblGrid>
              <w:gridCol w:w="393"/>
              <w:gridCol w:w="1451"/>
              <w:gridCol w:w="709"/>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检测项目名称</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农药残留（分光光度法）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兽药残留（分光光度法）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洁净度方法</w:t>
                  </w:r>
                  <w:r>
                    <w:rPr>
                      <w:rFonts w:ascii="仿宋_GB2312" w:hAnsi="仿宋_GB2312" w:cs="仿宋_GB2312" w:eastAsia="仿宋_GB2312"/>
                      <w:sz w:val="24"/>
                    </w:rPr>
                    <w:t>ATP法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中心温度（测试仪）</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孔雀石绿（胶体金）</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二氧化硫（分光光度法）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荧光增白剂紫外法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苏丹红</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甲醛</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吊白块</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硼砂</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木耳硫酸镁</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紫外线照射强度</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过氧化值</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面制品过氧化苯酰</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酸价</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新鲜度</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4-氯苯氧乙酸钠</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标的名称：新华路监管辖区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一、服务内容及要求：</w:t>
            </w:r>
          </w:p>
          <w:p>
            <w:pPr>
              <w:pStyle w:val="null3"/>
            </w:pPr>
            <w:r>
              <w:rPr>
                <w:rFonts w:ascii="仿宋_GB2312" w:hAnsi="仿宋_GB2312" w:cs="仿宋_GB2312" w:eastAsia="仿宋_GB2312"/>
              </w:rPr>
              <w:t>1、人员配置：</w:t>
            </w:r>
          </w:p>
          <w:p>
            <w:pPr>
              <w:pStyle w:val="null3"/>
            </w:pPr>
            <w:r>
              <w:rPr>
                <w:rFonts w:ascii="仿宋_GB2312" w:hAnsi="仿宋_GB2312" w:cs="仿宋_GB2312" w:eastAsia="仿宋_GB2312"/>
              </w:rPr>
              <w:t xml:space="preserve">    须设立不少于一组由采购方统一管理调配的食品监督抽检采样组（组长1名、组员不少于2名），抽样组人员具备化学分析或食品安全检验检测大专及以上院校毕业的专职采样人员，且具有满足法律法规资历要求。  </w:t>
            </w:r>
          </w:p>
          <w:p>
            <w:pPr>
              <w:pStyle w:val="null3"/>
            </w:pPr>
            <w:r>
              <w:rPr>
                <w:rFonts w:ascii="仿宋_GB2312" w:hAnsi="仿宋_GB2312" w:cs="仿宋_GB2312" w:eastAsia="仿宋_GB2312"/>
              </w:rPr>
              <w:t xml:space="preserve">    须设立区域负责人1名，须具有化学分析或食品相关的高级工程师，具有一定的风险分析能力，统计调研能力，能够每月对采样人员进行培训、考核。能够牵头对接采购方技术需求，调动其检测机构内部人员、检验任务管理等职权能力。</w:t>
            </w:r>
          </w:p>
          <w:p>
            <w:pPr>
              <w:pStyle w:val="null3"/>
            </w:pPr>
            <w:r>
              <w:rPr>
                <w:rFonts w:ascii="仿宋_GB2312" w:hAnsi="仿宋_GB2312" w:cs="仿宋_GB2312" w:eastAsia="仿宋_GB2312"/>
              </w:rPr>
              <w:t>2、抽样检验专业设备：</w:t>
            </w:r>
          </w:p>
          <w:p>
            <w:pPr>
              <w:pStyle w:val="null3"/>
            </w:pPr>
            <w:r>
              <w:rPr>
                <w:rFonts w:ascii="仿宋_GB2312" w:hAnsi="仿宋_GB2312" w:cs="仿宋_GB2312" w:eastAsia="仿宋_GB2312"/>
              </w:rPr>
              <w:t xml:space="preserve">    具有专业的采样设备，具有能满足《国家食品安全监督抽检细则》规定的大型检测仪器及设备，如：液相色谱/质谱联用仪-三重四级杆（LC/MS/MS）、气质联用仪（GC/MS）、三重四极杆气相-质谱联用仪（GC-MS/MS）、原子吸收分光光度计（AAS）、电感耦合等离子体质谱仪（ICP/MS）、高效液相色谱仪（HPLC）、气相色谱仪（GC）等大型仪器设备。具有食品安全快速检测综合仪器（分光光度法）、快速检测胶体金及试剂耗材；采样车辆具备冷藏运输功能，能够全链条记录样品运输数据及采样耗材能满足采样、送样等工作要求。</w:t>
            </w:r>
          </w:p>
          <w:p>
            <w:pPr>
              <w:pStyle w:val="null3"/>
            </w:pPr>
            <w:r>
              <w:rPr>
                <w:rFonts w:ascii="仿宋_GB2312" w:hAnsi="仿宋_GB2312" w:cs="仿宋_GB2312" w:eastAsia="仿宋_GB2312"/>
              </w:rPr>
              <w:t>3、服务标准：</w:t>
            </w:r>
          </w:p>
          <w:p>
            <w:pPr>
              <w:pStyle w:val="null3"/>
            </w:pPr>
            <w:r>
              <w:rPr>
                <w:rFonts w:ascii="仿宋_GB2312" w:hAnsi="仿宋_GB2312" w:cs="仿宋_GB2312" w:eastAsia="仿宋_GB2312"/>
              </w:rPr>
              <w:t xml:space="preserve">    样品检测应依照国家标准。若没有国家标准，可按照地方标准、卫生标准和相关的行业标准、企业标准、产品标签明示值或国家明文规定的限量值及国家指定的特定检验方法等进行检验。20天内出具检验检测报告；检出重大危险源能够响应24小时报告制；具有应急响应机制，确保甲方区域内发生应急时间，2小时内到场开展抽样工作，7个工作以内出具检测数据或结论。食品快速检测任务能配合采购方开展不少于4次的培训，能够陪同采购方开展进社区、进村组、进校园、进机关、进超市等活动，并且要有活动所需的组织能力、技术展演能力等；采样抽样期间，服务企业能派驻技术人员在甲方驻地开展技术帮扶、指导、服务等。</w:t>
            </w:r>
          </w:p>
          <w:p>
            <w:pPr>
              <w:pStyle w:val="null3"/>
            </w:pPr>
            <w:r>
              <w:rPr>
                <w:rFonts w:ascii="仿宋_GB2312" w:hAnsi="仿宋_GB2312" w:cs="仿宋_GB2312" w:eastAsia="仿宋_GB2312"/>
              </w:rPr>
              <w:t>4、企业自身具有检验检测数据库，能每月对自身大数据进行统计分析，对已抽检的数据进行汇总分析，为日常食品监管提供“技术支撑”意见和建议。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二、主要检测项目</w:t>
            </w:r>
          </w:p>
          <w:tbl>
            <w:tblPr>
              <w:tblBorders>
                <w:top w:val="none" w:color="000000" w:sz="4"/>
                <w:left w:val="none" w:color="000000" w:sz="4"/>
                <w:bottom w:val="none" w:color="000000" w:sz="4"/>
                <w:right w:val="none" w:color="000000" w:sz="4"/>
                <w:insideH w:val="none"/>
                <w:insideV w:val="none"/>
              </w:tblBorders>
            </w:tblPr>
            <w:tblGrid>
              <w:gridCol w:w="264"/>
              <w:gridCol w:w="1112"/>
              <w:gridCol w:w="264"/>
              <w:gridCol w:w="913"/>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序号</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检测项目名称</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序号</w:t>
                  </w:r>
                </w:p>
              </w:tc>
              <w:tc>
                <w:tcPr>
                  <w:tcW w:type="dxa" w:w="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检测项目名称</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镉（以</w:t>
                  </w:r>
                  <w:r>
                    <w:rPr>
                      <w:rFonts w:ascii="仿宋_GB2312" w:hAnsi="仿宋_GB2312" w:cs="仿宋_GB2312" w:eastAsia="仿宋_GB2312"/>
                      <w:sz w:val="21"/>
                      <w:color w:val="0F1115"/>
                    </w:rPr>
                    <w:t>Cd计）</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139</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钙</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苯并</w:t>
                  </w:r>
                  <w:r>
                    <w:rPr>
                      <w:rFonts w:ascii="仿宋_GB2312" w:hAnsi="仿宋_GB2312" w:cs="仿宋_GB2312" w:eastAsia="仿宋_GB2312"/>
                      <w:sz w:val="21"/>
                      <w:color w:val="0F1115"/>
                    </w:rPr>
                    <w:t>[a]芘</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肌醇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玉米赤霉烯酮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绿原酸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脱氧雪腐镰刀菌烯醇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赭曲霉毒素</w:t>
                  </w:r>
                  <w:r>
                    <w:rPr>
                      <w:rFonts w:ascii="仿宋_GB2312" w:hAnsi="仿宋_GB2312" w:cs="仿宋_GB2312" w:eastAsia="仿宋_GB2312"/>
                      <w:sz w:val="21"/>
                      <w:color w:val="0F1115"/>
                    </w:rPr>
                    <w:t>A</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黄曲霉毒素</w:t>
                  </w:r>
                  <w:r>
                    <w:rPr>
                      <w:rFonts w:ascii="仿宋_GB2312" w:hAnsi="仿宋_GB2312" w:cs="仿宋_GB2312" w:eastAsia="仿宋_GB2312"/>
                      <w:sz w:val="21"/>
                      <w:color w:val="0F1115"/>
                    </w:rPr>
                    <w:t>B₁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偶氮甲酰胺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B₂</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过氧化苯甲酰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铅（以</w:t>
                  </w:r>
                  <w:r>
                    <w:rPr>
                      <w:rFonts w:ascii="仿宋_GB2312" w:hAnsi="仿宋_GB2312" w:cs="仿宋_GB2312" w:eastAsia="仿宋_GB2312"/>
                      <w:sz w:val="21"/>
                      <w:color w:val="0F1115"/>
                    </w:rPr>
                    <w:t>Pb计）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C</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脱氢乙酸及其钠盐（以脱氢乙酸计）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D</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柠檬黄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E</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日落黄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硒</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喹啉黄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锌</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亮蓝</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烟酰胺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靛蓝</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叶酸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胭脂红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免疫球蛋白</w:t>
                  </w:r>
                  <w:r>
                    <w:rPr>
                      <w:rFonts w:ascii="仿宋_GB2312" w:hAnsi="仿宋_GB2312" w:cs="仿宋_GB2312" w:eastAsia="仿宋_GB2312"/>
                      <w:sz w:val="21"/>
                      <w:color w:val="0F1115"/>
                    </w:rPr>
                    <w:t>IgG</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诱惑红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总黄酮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苋菜红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总皂苷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酸性红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总蒽醌</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新红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吡啶甲酸铬</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赤藓红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芦荟苷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总汞（以</w:t>
                  </w:r>
                  <w:r>
                    <w:rPr>
                      <w:rFonts w:ascii="仿宋_GB2312" w:hAnsi="仿宋_GB2312" w:cs="仿宋_GB2312" w:eastAsia="仿宋_GB2312"/>
                      <w:sz w:val="21"/>
                      <w:color w:val="0F1115"/>
                    </w:rPr>
                    <w:t>Hg计）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总三萜</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铬（以</w:t>
                  </w:r>
                  <w:r>
                    <w:rPr>
                      <w:rFonts w:ascii="仿宋_GB2312" w:hAnsi="仿宋_GB2312" w:cs="仿宋_GB2312" w:eastAsia="仿宋_GB2312"/>
                      <w:sz w:val="21"/>
                      <w:color w:val="0F1115"/>
                    </w:rPr>
                    <w:t>Cr计）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崩解时限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苯甲酸及其钠盐（以苯甲酸计）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灰分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山梨酸及其钾盐（以山梨酸计）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硬胶囊壳中的铬</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二氧化硫残留量</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极性组分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糖精钠（以糖精计）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阴离子合成洗涤剂（以十二烷基苯磺酸钠计）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甜蜜素（以环己基氨基磺酸计）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克伦特罗</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安赛蜜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莱克多巴胺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菌落总数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沙丁胺醇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大肠菌群</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喹乙醇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酸价</w:t>
                  </w:r>
                  <w:r>
                    <w:rPr>
                      <w:rFonts w:ascii="仿宋_GB2312" w:hAnsi="仿宋_GB2312" w:cs="仿宋_GB2312" w:eastAsia="仿宋_GB2312"/>
                      <w:sz w:val="21"/>
                      <w:color w:val="0F1115"/>
                    </w:rPr>
                    <w:t>/酸值</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恩诺沙星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过氧化值（以脂肪计）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替米考星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溶剂残留量</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磺胺类（总量）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特丁基对苯二酚（</w:t>
                  </w:r>
                  <w:r>
                    <w:rPr>
                      <w:rFonts w:ascii="仿宋_GB2312" w:hAnsi="仿宋_GB2312" w:cs="仿宋_GB2312" w:eastAsia="仿宋_GB2312"/>
                      <w:sz w:val="21"/>
                      <w:color w:val="0F1115"/>
                    </w:rPr>
                    <w:t>TBHQ）</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甲氧苄啶</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乙基麦芽酚</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氟苯尼考</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丙二醛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多西环素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霉菌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地塞米松</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酵母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氯丙嗪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氨基酸态氮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林可霉素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全氮（以氮计）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土霉素</w:t>
                  </w:r>
                  <w:r>
                    <w:rPr>
                      <w:rFonts w:ascii="仿宋_GB2312" w:hAnsi="仿宋_GB2312" w:cs="仿宋_GB2312" w:eastAsia="仿宋_GB2312"/>
                      <w:sz w:val="21"/>
                      <w:color w:val="0F1115"/>
                    </w:rPr>
                    <w:t>/金霉素/四环素（组合含量）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铵盐</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倍他米松</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对羟基苯甲酸酯类及其钠盐（以对羟基苯甲酸计）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环丙氨嗪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防腐剂混合使用时各自用量占其最大使用量的比例之和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培氟沙星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三氯蔗糖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沙拉沙星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总酸（以乙酸计）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尼卡巴嗪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不挥发酸（以乳酸计）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4-氯苯氧乙酸钠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罗丹明</w:t>
                  </w:r>
                  <w:r>
                    <w:rPr>
                      <w:rFonts w:ascii="仿宋_GB2312" w:hAnsi="仿宋_GB2312" w:cs="仿宋_GB2312" w:eastAsia="仿宋_GB2312"/>
                      <w:sz w:val="21"/>
                      <w:color w:val="0F1115"/>
                    </w:rPr>
                    <w:t>B</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6-苄基腺嘌呤</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亚硫酸盐（以</w:t>
                  </w:r>
                  <w:r>
                    <w:rPr>
                      <w:rFonts w:ascii="仿宋_GB2312" w:hAnsi="仿宋_GB2312" w:cs="仿宋_GB2312" w:eastAsia="仿宋_GB2312"/>
                      <w:sz w:val="21"/>
                      <w:color w:val="0F1115"/>
                    </w:rPr>
                    <w:t>SO₂计）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百菌清</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III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除虫脲</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IV</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阿维菌素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沙门氏菌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敌敌畏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金黄色葡萄球菌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二甲戊灵</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丙溴磷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氟虫腈</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氯氰菊酯和高效氯氰菊酯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腐霉利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多菌灵</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甲胺磷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毒死蜱</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乐果</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克百威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六六六</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谷氨酸钠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辛硫磷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呈味核苷酸二钠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罂粟碱</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甲基异柳磷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吗啡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噻虫嗪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可待因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戊唑醇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那可丁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噻虫胺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阿斯巴甜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甲氨基阿维菌素苯甲酸盐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氟氯氰菊酯和高效氟氯氰菊酯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相同色泽着色剂混合使用时各自用量占其最大使用量的比例之和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苯醚甲环唑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腈菌唑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钡（以</w:t>
                  </w:r>
                  <w:r>
                    <w:rPr>
                      <w:rFonts w:ascii="仿宋_GB2312" w:hAnsi="仿宋_GB2312" w:cs="仿宋_GB2312" w:eastAsia="仿宋_GB2312"/>
                      <w:sz w:val="21"/>
                      <w:color w:val="0F1115"/>
                    </w:rPr>
                    <w:t>Ba计）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吡唑醚菌酯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碘（以</w:t>
                  </w:r>
                  <w:r>
                    <w:rPr>
                      <w:rFonts w:ascii="仿宋_GB2312" w:hAnsi="仿宋_GB2312" w:cs="仿宋_GB2312" w:eastAsia="仿宋_GB2312"/>
                      <w:sz w:val="21"/>
                      <w:color w:val="0F1115"/>
                    </w:rPr>
                    <w:t>I计）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霜霉威和霜霉威盐酸盐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总砷（以</w:t>
                  </w:r>
                  <w:r>
                    <w:rPr>
                      <w:rFonts w:ascii="仿宋_GB2312" w:hAnsi="仿宋_GB2312" w:cs="仿宋_GB2312" w:eastAsia="仿宋_GB2312"/>
                      <w:sz w:val="21"/>
                      <w:color w:val="0F1115"/>
                    </w:rPr>
                    <w:t>As计）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倍硫磷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亚铁氰化钾</w:t>
                  </w:r>
                  <w:r>
                    <w:rPr>
                      <w:rFonts w:ascii="仿宋_GB2312" w:hAnsi="仿宋_GB2312" w:cs="仿宋_GB2312" w:eastAsia="仿宋_GB2312"/>
                      <w:sz w:val="21"/>
                      <w:color w:val="0F1115"/>
                    </w:rPr>
                    <w:t>/亚铁氰化钠（以亚铁氰根计）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呋虫胺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氯化钾</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杀扑磷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亚硝酸盐（以亚硝酸钠计）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哒螨灵</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乙螨唑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纳他霉素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异丙威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单核细胞增生李斯特氏菌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灭蝇胺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N-二甲基亚硝胺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烯酰吗啉</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商业无菌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咪鲜胺和咪鲜胺锰盐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蛋白质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涕灭威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泛酸</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氯唑磷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孔雀石绿</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脂肪</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五氯酚钠（以五氯酚计）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三聚氰胺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地西泮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丙二醇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氟硅唑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复原乳酸度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溴氰菊酯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杂质度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2,4-滴和2,4-滴钠盐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水分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狄氏剂</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界限指标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联苯肼酯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己唑醇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溴酸盐</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氯吡脲</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硝酸盐（以</w:t>
                  </w:r>
                  <w:r>
                    <w:rPr>
                      <w:rFonts w:ascii="仿宋_GB2312" w:hAnsi="仿宋_GB2312" w:cs="仿宋_GB2312" w:eastAsia="仿宋_GB2312"/>
                      <w:sz w:val="21"/>
                      <w:color w:val="0F1115"/>
                    </w:rPr>
                    <w:t>NO₃⁻计）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腈苯唑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铜绿假单胞菌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戊菌唑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电导率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烯唑醇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耗氧量（以</w:t>
                  </w:r>
                  <w:r>
                    <w:rPr>
                      <w:rFonts w:ascii="仿宋_GB2312" w:hAnsi="仿宋_GB2312" w:cs="仿宋_GB2312" w:eastAsia="仿宋_GB2312"/>
                      <w:sz w:val="21"/>
                      <w:color w:val="0F1115"/>
                    </w:rPr>
                    <w:t>O₂计）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噻唑膦</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余氯（游离氯）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噻嗪酮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三氯甲烷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氰霜唑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展青霉素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氟吗啉</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乳酸菌数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地美硝唑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蔗糖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甲砜霉素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茶多酚</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地克珠利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咖啡因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托曲珠利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氰化物（以</w:t>
                  </w:r>
                  <w:r>
                    <w:rPr>
                      <w:rFonts w:ascii="仿宋_GB2312" w:hAnsi="仿宋_GB2312" w:cs="仿宋_GB2312" w:eastAsia="仿宋_GB2312"/>
                      <w:sz w:val="21"/>
                      <w:color w:val="0F1115"/>
                    </w:rPr>
                    <w:t>HCN计）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环丙唑醇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铝的残留量（干样品，以</w:t>
                  </w:r>
                  <w:r>
                    <w:rPr>
                      <w:rFonts w:ascii="仿宋_GB2312" w:hAnsi="仿宋_GB2312" w:cs="仿宋_GB2312" w:eastAsia="仿宋_GB2312"/>
                      <w:sz w:val="21"/>
                      <w:color w:val="0F1115"/>
                    </w:rPr>
                    <w:t>Al计）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粗多糖</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组胺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辅酶</w:t>
                  </w:r>
                  <w:r>
                    <w:rPr>
                      <w:rFonts w:ascii="仿宋_GB2312" w:hAnsi="仿宋_GB2312" w:cs="仿宋_GB2312" w:eastAsia="仿宋_GB2312"/>
                      <w:sz w:val="21"/>
                      <w:color w:val="0F1115"/>
                    </w:rPr>
                    <w:t>Q</w:t>
                  </w:r>
                  <w:r>
                    <w:rPr>
                      <w:rFonts w:ascii="仿宋_GB2312" w:hAnsi="仿宋_GB2312" w:cs="仿宋_GB2312" w:eastAsia="仿宋_GB2312"/>
                      <w:sz w:val="21"/>
                      <w:color w:val="0F1115"/>
                      <w:vertAlign w:val="subscript"/>
                    </w:rPr>
                    <w:t>10</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乙二胺四乙酸二钠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硫酸软骨素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挥发性盐基氮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赤霉素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副溶血性弧菌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氟唑菌酰胺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草甘膦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敌百虫</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吡虫啉</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久效磷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乙酰甲胺磷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硼酸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联苯菊酯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西地那非</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灭多威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他达拉非</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三氯杀螨醇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红</w:t>
                  </w:r>
                  <w:r>
                    <w:rPr>
                      <w:rFonts w:ascii="仿宋_GB2312" w:hAnsi="仿宋_GB2312" w:cs="仿宋_GB2312" w:eastAsia="仿宋_GB2312"/>
                      <w:sz w:val="21"/>
                      <w:color w:val="0F1115"/>
                    </w:rPr>
                    <w:t>2G</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氰戊菊酯和</w:t>
                  </w:r>
                  <w:r>
                    <w:rPr>
                      <w:rFonts w:ascii="仿宋_GB2312" w:hAnsi="仿宋_GB2312" w:cs="仿宋_GB2312" w:eastAsia="仿宋_GB2312"/>
                      <w:sz w:val="21"/>
                      <w:color w:val="0F1115"/>
                    </w:rPr>
                    <w:t>S-氰戊菊酯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西布曲明</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甲拌磷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总糖分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水胺硫磷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还原糖分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氧乐果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色值</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啶虫脒</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总氮（以</w:t>
                  </w:r>
                  <w:r>
                    <w:rPr>
                      <w:rFonts w:ascii="仿宋_GB2312" w:hAnsi="仿宋_GB2312" w:cs="仿宋_GB2312" w:eastAsia="仿宋_GB2312"/>
                      <w:sz w:val="21"/>
                      <w:color w:val="0F1115"/>
                    </w:rPr>
                    <w:t>N计）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茚虫威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硫酸盐（以</w:t>
                  </w:r>
                  <w:r>
                    <w:rPr>
                      <w:rFonts w:ascii="仿宋_GB2312" w:hAnsi="仿宋_GB2312" w:cs="仿宋_GB2312" w:eastAsia="仿宋_GB2312"/>
                      <w:sz w:val="21"/>
                      <w:color w:val="0F1115"/>
                    </w:rPr>
                    <w:t>SO₄²⁻计）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氯氟氰菊酯和高效氯氟氰菊酯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铵盐（以</w:t>
                  </w:r>
                  <w:r>
                    <w:rPr>
                      <w:rFonts w:ascii="仿宋_GB2312" w:hAnsi="仿宋_GB2312" w:cs="仿宋_GB2312" w:eastAsia="仿宋_GB2312"/>
                      <w:sz w:val="21"/>
                      <w:color w:val="0F1115"/>
                    </w:rPr>
                    <w:t>NH₄⁺计）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三唑磷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pH值</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酒精度（乙醇浓度）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氯化物（以</w:t>
                  </w:r>
                  <w:r>
                    <w:rPr>
                      <w:rFonts w:ascii="仿宋_GB2312" w:hAnsi="仿宋_GB2312" w:cs="仿宋_GB2312" w:eastAsia="仿宋_GB2312"/>
                      <w:sz w:val="21"/>
                      <w:color w:val="0F1115"/>
                    </w:rPr>
                    <w:t>Cl⁻计）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非脂乳固体</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氟啶虫酰胺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蔗糖分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二氧化碳气容量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干燥失重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螨</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不溶于水杂质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氰化物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葛根素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铝的残留量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干物质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10-羟基-2-癸烯酸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硫酸灰分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二十二碳六烯酸（</w:t>
                  </w:r>
                  <w:r>
                    <w:rPr>
                      <w:rFonts w:ascii="仿宋_GB2312" w:hAnsi="仿宋_GB2312" w:cs="仿宋_GB2312" w:eastAsia="仿宋_GB2312"/>
                      <w:sz w:val="21"/>
                      <w:color w:val="0F1115"/>
                    </w:rPr>
                    <w:t>DHA）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丙酸及其钠盐、钙盐（以丙酸计）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二十碳五烯酸（</w:t>
                  </w:r>
                  <w:r>
                    <w:rPr>
                      <w:rFonts w:ascii="仿宋_GB2312" w:hAnsi="仿宋_GB2312" w:cs="仿宋_GB2312" w:eastAsia="仿宋_GB2312"/>
                      <w:sz w:val="21"/>
                      <w:color w:val="0F1115"/>
                    </w:rPr>
                    <w:t>EPA）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碱性嫩黄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甲硝唑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果糖和葡萄糖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双甲脒</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诺氟沙星</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呋喃它酮代谢物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呋喃西林代谢物</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呋喃妥因代谢物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呋喃唑酮代谢物</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b/>
              </w:rPr>
              <w:t>三、快速检测项目：</w:t>
            </w:r>
          </w:p>
          <w:tbl>
            <w:tblPr>
              <w:tblInd w:type="dxa" w:w="240"/>
              <w:tblBorders>
                <w:top w:val="none" w:color="000000" w:sz="4"/>
                <w:left w:val="none" w:color="000000" w:sz="4"/>
                <w:bottom w:val="none" w:color="000000" w:sz="4"/>
                <w:right w:val="none" w:color="000000" w:sz="4"/>
                <w:insideH w:val="none"/>
                <w:insideV w:val="none"/>
              </w:tblBorders>
            </w:tblPr>
            <w:tblGrid>
              <w:gridCol w:w="393"/>
              <w:gridCol w:w="1451"/>
              <w:gridCol w:w="709"/>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检测项目名称</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农药残留（分光光度法）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兽药残留（分光光度法）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洁净度方法</w:t>
                  </w:r>
                  <w:r>
                    <w:rPr>
                      <w:rFonts w:ascii="仿宋_GB2312" w:hAnsi="仿宋_GB2312" w:cs="仿宋_GB2312" w:eastAsia="仿宋_GB2312"/>
                      <w:sz w:val="24"/>
                    </w:rPr>
                    <w:t>ATP法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中心温度（测试仪）</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孔雀石绿（胶体金）</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二氧化硫（分光光度法）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荧光增白剂紫外法</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苏丹红</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甲醛</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吊白块</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硼砂</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木耳硫酸镁</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紫外线照射强度</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过氧化值</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面制品过氧化苯酰</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酸价</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新鲜度</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4-氯苯氧乙酸钠</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批次</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标的名称：新兴关山武屯北屯监管辖区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一、服务内容及要求：</w:t>
            </w:r>
          </w:p>
          <w:p>
            <w:pPr>
              <w:pStyle w:val="null3"/>
            </w:pPr>
            <w:r>
              <w:rPr>
                <w:rFonts w:ascii="仿宋_GB2312" w:hAnsi="仿宋_GB2312" w:cs="仿宋_GB2312" w:eastAsia="仿宋_GB2312"/>
              </w:rPr>
              <w:t>1、人员配置：</w:t>
            </w:r>
          </w:p>
          <w:p>
            <w:pPr>
              <w:pStyle w:val="null3"/>
            </w:pPr>
            <w:r>
              <w:rPr>
                <w:rFonts w:ascii="仿宋_GB2312" w:hAnsi="仿宋_GB2312" w:cs="仿宋_GB2312" w:eastAsia="仿宋_GB2312"/>
              </w:rPr>
              <w:t xml:space="preserve">    须设立不少于一组由采购方统一管理调配的食品监督抽检采样组（组长1名、组员不少于2名），抽样组人员具备化学分析或食品安全检验检测大专及以上院校毕业的专职采样人员，且具有满足法律法规资历要求。  </w:t>
            </w:r>
          </w:p>
          <w:p>
            <w:pPr>
              <w:pStyle w:val="null3"/>
            </w:pPr>
            <w:r>
              <w:rPr>
                <w:rFonts w:ascii="仿宋_GB2312" w:hAnsi="仿宋_GB2312" w:cs="仿宋_GB2312" w:eastAsia="仿宋_GB2312"/>
              </w:rPr>
              <w:t xml:space="preserve">    须设立区域负责人1名，须具有化学分析或食品相关的高级工程师，具有一定的风险分析能力，统计调研能力，能够每月对采样人员进行培训、考核。能够牵头对接采购方技术需求，调动其检测机构内部人员、检验任务管理等职权能力。</w:t>
            </w:r>
          </w:p>
          <w:p>
            <w:pPr>
              <w:pStyle w:val="null3"/>
            </w:pPr>
            <w:r>
              <w:rPr>
                <w:rFonts w:ascii="仿宋_GB2312" w:hAnsi="仿宋_GB2312" w:cs="仿宋_GB2312" w:eastAsia="仿宋_GB2312"/>
              </w:rPr>
              <w:t>2、抽样检验专业设备：</w:t>
            </w:r>
          </w:p>
          <w:p>
            <w:pPr>
              <w:pStyle w:val="null3"/>
            </w:pPr>
            <w:r>
              <w:rPr>
                <w:rFonts w:ascii="仿宋_GB2312" w:hAnsi="仿宋_GB2312" w:cs="仿宋_GB2312" w:eastAsia="仿宋_GB2312"/>
              </w:rPr>
              <w:t xml:space="preserve">    具有专业的采样设备，具有能满足《国家食品安全监督抽检细则》规定的大型检测仪器及设备，如：液相色谱/质谱联用仪-三重四级杆（LC/MS/MS）、气质联用仪（GC/MS）、三重四极杆气相-质谱联用仪（GC-MS/MS）、原子吸收分光光度计（AAS）、电感耦合等离子体质谱仪（ICP/MS）、高效液相色谱仪（HPLC）、气相色谱仪（GC）等大型仪器设备。具有食品安全快速检测综合仪器（分光光度法）、快速检测胶体金及试剂耗材；采样车辆具备冷藏运输功能，能够全链条记录样品运输数据及采样耗材能满足采样、送样等工作要求。</w:t>
            </w:r>
          </w:p>
          <w:p>
            <w:pPr>
              <w:pStyle w:val="null3"/>
            </w:pPr>
            <w:r>
              <w:rPr>
                <w:rFonts w:ascii="仿宋_GB2312" w:hAnsi="仿宋_GB2312" w:cs="仿宋_GB2312" w:eastAsia="仿宋_GB2312"/>
              </w:rPr>
              <w:t>3、服务标准：</w:t>
            </w:r>
          </w:p>
          <w:p>
            <w:pPr>
              <w:pStyle w:val="null3"/>
            </w:pPr>
            <w:r>
              <w:rPr>
                <w:rFonts w:ascii="仿宋_GB2312" w:hAnsi="仿宋_GB2312" w:cs="仿宋_GB2312" w:eastAsia="仿宋_GB2312"/>
              </w:rPr>
              <w:t xml:space="preserve">    样品检测应依照国家标准。若没有国家标准，可按照地方标准、卫生标准和相关的行业标准、企业标准、产品标签明示值或国家明文规定的限量值及国家指定的特定检验方法等进行检验。20天内出具检验检测报告；检出重大危险源能够响应24小时报告制；具有应急响应机制，确保甲方区域内发生应急时间，2小时内到场开展抽样工作，7个工作以内出具检测数据或结论。食品快速检测任务能配合采购方开展不少于4次的培训，能够陪同采购方开展进社区、进村组、进校园、进机关、进超市等活动，并且要有活动所需的组织能力、技术展演能力等；采样抽样期间，服务企业能派驻技术人员在甲方驻地开展技术帮扶、指导、服务等。</w:t>
            </w:r>
          </w:p>
          <w:p>
            <w:pPr>
              <w:pStyle w:val="null3"/>
            </w:pPr>
            <w:r>
              <w:rPr>
                <w:rFonts w:ascii="仿宋_GB2312" w:hAnsi="仿宋_GB2312" w:cs="仿宋_GB2312" w:eastAsia="仿宋_GB2312"/>
              </w:rPr>
              <w:t>4、企业自身具有检验检测数据库，能每月对自身大数据进行统计分析，对已抽检的数据进行汇总分析，为日常食品监管提供“技术支撑”意见和建议。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二、主要检测项目</w:t>
            </w:r>
          </w:p>
          <w:tbl>
            <w:tblPr>
              <w:tblBorders>
                <w:top w:val="none" w:color="000000" w:sz="4"/>
                <w:left w:val="none" w:color="000000" w:sz="4"/>
                <w:bottom w:val="none" w:color="000000" w:sz="4"/>
                <w:right w:val="none" w:color="000000" w:sz="4"/>
                <w:insideH w:val="none"/>
                <w:insideV w:val="none"/>
              </w:tblBorders>
            </w:tblPr>
            <w:tblGrid>
              <w:gridCol w:w="264"/>
              <w:gridCol w:w="1112"/>
              <w:gridCol w:w="264"/>
              <w:gridCol w:w="913"/>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序号</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检测项目名称</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序号</w:t>
                  </w:r>
                </w:p>
              </w:tc>
              <w:tc>
                <w:tcPr>
                  <w:tcW w:type="dxa" w:w="9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F1115"/>
                    </w:rPr>
                    <w:t>检测项目名称</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镉（以</w:t>
                  </w:r>
                  <w:r>
                    <w:rPr>
                      <w:rFonts w:ascii="仿宋_GB2312" w:hAnsi="仿宋_GB2312" w:cs="仿宋_GB2312" w:eastAsia="仿宋_GB2312"/>
                      <w:sz w:val="21"/>
                      <w:color w:val="0F1115"/>
                    </w:rPr>
                    <w:t>Cd计）</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139</w:t>
                  </w: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钙</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苯并</w:t>
                  </w:r>
                  <w:r>
                    <w:rPr>
                      <w:rFonts w:ascii="仿宋_GB2312" w:hAnsi="仿宋_GB2312" w:cs="仿宋_GB2312" w:eastAsia="仿宋_GB2312"/>
                      <w:sz w:val="21"/>
                      <w:color w:val="0F1115"/>
                    </w:rPr>
                    <w:t>[a]芘</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肌醇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玉米赤霉烯酮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绿原酸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脱氧雪腐镰刀菌烯醇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赭曲霉毒素</w:t>
                  </w:r>
                  <w:r>
                    <w:rPr>
                      <w:rFonts w:ascii="仿宋_GB2312" w:hAnsi="仿宋_GB2312" w:cs="仿宋_GB2312" w:eastAsia="仿宋_GB2312"/>
                      <w:sz w:val="21"/>
                      <w:color w:val="0F1115"/>
                    </w:rPr>
                    <w:t>A</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黄曲霉毒素</w:t>
                  </w:r>
                  <w:r>
                    <w:rPr>
                      <w:rFonts w:ascii="仿宋_GB2312" w:hAnsi="仿宋_GB2312" w:cs="仿宋_GB2312" w:eastAsia="仿宋_GB2312"/>
                      <w:sz w:val="21"/>
                      <w:color w:val="0F1115"/>
                    </w:rPr>
                    <w:t>B₁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偶氮甲酰胺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B₂</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过氧化苯甲酰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B₆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铅（以</w:t>
                  </w:r>
                  <w:r>
                    <w:rPr>
                      <w:rFonts w:ascii="仿宋_GB2312" w:hAnsi="仿宋_GB2312" w:cs="仿宋_GB2312" w:eastAsia="仿宋_GB2312"/>
                      <w:sz w:val="21"/>
                      <w:color w:val="0F1115"/>
                    </w:rPr>
                    <w:t>Pb计）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C</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脱氢乙酸及其钠盐（以脱氢乙酸计）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D</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柠檬黄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149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维生素</w:t>
                  </w:r>
                  <w:r>
                    <w:rPr>
                      <w:rFonts w:ascii="仿宋_GB2312" w:hAnsi="仿宋_GB2312" w:cs="仿宋_GB2312" w:eastAsia="仿宋_GB2312"/>
                      <w:sz w:val="21"/>
                      <w:color w:val="0F1115"/>
                    </w:rPr>
                    <w:t>E</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日落黄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硒</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喹啉黄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锌</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亮蓝</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烟酰胺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靛蓝</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叶酸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胭脂红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免疫球蛋白</w:t>
                  </w:r>
                  <w:r>
                    <w:rPr>
                      <w:rFonts w:ascii="仿宋_GB2312" w:hAnsi="仿宋_GB2312" w:cs="仿宋_GB2312" w:eastAsia="仿宋_GB2312"/>
                      <w:sz w:val="21"/>
                      <w:color w:val="0F1115"/>
                    </w:rPr>
                    <w:t>IgG</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诱惑红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总黄酮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苋菜红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总皂苷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酸性红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总蒽醌</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新红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吡啶甲酸铬</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赤藓红</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159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芦荟苷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总汞（以</w:t>
                  </w:r>
                  <w:r>
                    <w:rPr>
                      <w:rFonts w:ascii="仿宋_GB2312" w:hAnsi="仿宋_GB2312" w:cs="仿宋_GB2312" w:eastAsia="仿宋_GB2312"/>
                      <w:sz w:val="21"/>
                      <w:color w:val="0F1115"/>
                    </w:rPr>
                    <w:t>Hg计）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总三萜</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铬（以</w:t>
                  </w:r>
                  <w:r>
                    <w:rPr>
                      <w:rFonts w:ascii="仿宋_GB2312" w:hAnsi="仿宋_GB2312" w:cs="仿宋_GB2312" w:eastAsia="仿宋_GB2312"/>
                      <w:sz w:val="21"/>
                      <w:color w:val="0F1115"/>
                    </w:rPr>
                    <w:t>Cr计）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崩解时限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苯甲酸及其钠盐（以苯甲酸计）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灰分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山梨酸及其钾盐（以山梨酸计）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硬胶囊壳中的铬</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二氧化硫残留量</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极性组分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糖精钠（以糖精计）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阴离子合成洗涤剂（以十二烷基苯磺酸钠计）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甜蜜素（以环己基氨基磺酸计）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克伦特罗</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安赛蜜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莱克多巴胺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菌落总数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沙丁胺醇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大肠菌群</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169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喹乙醇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酸价</w:t>
                  </w:r>
                  <w:r>
                    <w:rPr>
                      <w:rFonts w:ascii="仿宋_GB2312" w:hAnsi="仿宋_GB2312" w:cs="仿宋_GB2312" w:eastAsia="仿宋_GB2312"/>
                      <w:sz w:val="21"/>
                      <w:color w:val="0F1115"/>
                    </w:rPr>
                    <w:t>/酸值</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恩诺沙星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过氧化值（以脂肪计）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替米考星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溶剂残留量</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磺胺类（总量）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特丁基对苯二酚（</w:t>
                  </w:r>
                  <w:r>
                    <w:rPr>
                      <w:rFonts w:ascii="仿宋_GB2312" w:hAnsi="仿宋_GB2312" w:cs="仿宋_GB2312" w:eastAsia="仿宋_GB2312"/>
                      <w:sz w:val="21"/>
                      <w:color w:val="0F1115"/>
                    </w:rPr>
                    <w:t>TBHQ）</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甲氧苄啶</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乙基麦芽酚</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氟苯尼考</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丙二醛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多西环素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霉菌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地塞米松</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39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酵母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氯丙嗪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氨基酸态氮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林可霉素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全氮（以氮计）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179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土霉素</w:t>
                  </w:r>
                  <w:r>
                    <w:rPr>
                      <w:rFonts w:ascii="仿宋_GB2312" w:hAnsi="仿宋_GB2312" w:cs="仿宋_GB2312" w:eastAsia="仿宋_GB2312"/>
                      <w:sz w:val="21"/>
                      <w:color w:val="0F1115"/>
                    </w:rPr>
                    <w:t>/金霉素/四环素（组合含量）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铵盐</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倍他米松</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对羟基苯甲酸酯类及其钠盐（以对羟基苯甲酸计）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环丙氨嗪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防腐剂混合使用时各自用量占其最大使用量的比例之和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培氟沙星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三氯蔗糖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沙拉沙星</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总酸（以乙酸计）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尼卡巴嗪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不挥发酸（以乳酸计）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4-氯苯氧乙酸钠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罗丹明</w:t>
                  </w:r>
                  <w:r>
                    <w:rPr>
                      <w:rFonts w:ascii="仿宋_GB2312" w:hAnsi="仿宋_GB2312" w:cs="仿宋_GB2312" w:eastAsia="仿宋_GB2312"/>
                      <w:sz w:val="21"/>
                      <w:color w:val="0F1115"/>
                    </w:rPr>
                    <w:t>B</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6-苄基腺嘌呤</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49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亚硫酸盐（以</w:t>
                  </w:r>
                  <w:r>
                    <w:rPr>
                      <w:rFonts w:ascii="仿宋_GB2312" w:hAnsi="仿宋_GB2312" w:cs="仿宋_GB2312" w:eastAsia="仿宋_GB2312"/>
                      <w:sz w:val="21"/>
                      <w:color w:val="0F1115"/>
                    </w:rPr>
                    <w:t>SO₂计）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百菌清</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III</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189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除虫脲</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苏丹红</w:t>
                  </w:r>
                  <w:r>
                    <w:rPr>
                      <w:rFonts w:ascii="仿宋_GB2312" w:hAnsi="仿宋_GB2312" w:cs="仿宋_GB2312" w:eastAsia="仿宋_GB2312"/>
                      <w:sz w:val="21"/>
                      <w:color w:val="0F1115"/>
                    </w:rPr>
                    <w:t>IV</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阿维菌素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沙门氏菌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敌敌畏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金黄色葡萄球菌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二甲戊灵</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丙溴磷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氟虫腈</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氯氰菊酯和高效氯氰菊酯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腐霉利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多菌灵</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甲胺磷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毒死蜱</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乐果</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59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克百威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六六六</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谷氨酸钠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辛硫磷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呈味核苷酸二钠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199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罂粟碱</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甲基异柳磷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吗啡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噻虫嗪</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可待因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戊唑醇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那可丁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噻虫胺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阿斯巴甜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甲氨基阿维菌素苯甲酸盐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氟氯氰菊酯和高效氟氯氰菊酯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相同色泽着色剂混合使用时各自用量占其最大使用量的比例之和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苯醚甲环唑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69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腈菌唑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钡（以</w:t>
                  </w:r>
                  <w:r>
                    <w:rPr>
                      <w:rFonts w:ascii="仿宋_GB2312" w:hAnsi="仿宋_GB2312" w:cs="仿宋_GB2312" w:eastAsia="仿宋_GB2312"/>
                      <w:sz w:val="21"/>
                      <w:color w:val="0F1115"/>
                    </w:rPr>
                    <w:t>Ba计）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吡唑醚菌酯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碘（以</w:t>
                  </w:r>
                  <w:r>
                    <w:rPr>
                      <w:rFonts w:ascii="仿宋_GB2312" w:hAnsi="仿宋_GB2312" w:cs="仿宋_GB2312" w:eastAsia="仿宋_GB2312"/>
                      <w:sz w:val="21"/>
                      <w:color w:val="0F1115"/>
                    </w:rPr>
                    <w:t>I计）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209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霜霉威和霜霉威盐酸盐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总砷（以</w:t>
                  </w:r>
                  <w:r>
                    <w:rPr>
                      <w:rFonts w:ascii="仿宋_GB2312" w:hAnsi="仿宋_GB2312" w:cs="仿宋_GB2312" w:eastAsia="仿宋_GB2312"/>
                      <w:sz w:val="21"/>
                      <w:color w:val="0F1115"/>
                    </w:rPr>
                    <w:t>As计）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倍硫磷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亚铁氰化钾</w:t>
                  </w:r>
                  <w:r>
                    <w:rPr>
                      <w:rFonts w:ascii="仿宋_GB2312" w:hAnsi="仿宋_GB2312" w:cs="仿宋_GB2312" w:eastAsia="仿宋_GB2312"/>
                      <w:sz w:val="21"/>
                      <w:color w:val="0F1115"/>
                    </w:rPr>
                    <w:t>/亚铁氰化钠（以亚铁氰根计）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呋虫胺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氯化钾</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杀扑磷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亚硝酸盐（以亚硝酸钠计）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哒螨灵</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乙螨唑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纳他霉素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异丙威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单核细胞增生李斯特氏菌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灭蝇胺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79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N-二甲基亚硝胺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烯酰吗啉</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商业无菌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咪鲜胺和咪鲜胺锰盐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蛋白质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219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涕灭威</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泛酸</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氯唑磷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酸度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孔雀石绿</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脂肪</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五氯酚钠（以五氯酚计）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三聚氰胺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地西泮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丙二醇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氟硅唑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复原乳酸度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溴氰菊酯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杂质度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2,4-滴和2,4-滴钠盐</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89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水分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狄氏剂</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界限指标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联苯肼酯</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229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己唑醇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溴酸盐</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氯吡脲</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硝酸盐（以</w:t>
                  </w:r>
                  <w:r>
                    <w:rPr>
                      <w:rFonts w:ascii="仿宋_GB2312" w:hAnsi="仿宋_GB2312" w:cs="仿宋_GB2312" w:eastAsia="仿宋_GB2312"/>
                      <w:sz w:val="21"/>
                      <w:color w:val="0F1115"/>
                    </w:rPr>
                    <w:t>NO₃⁻计）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腈苯唑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铜绿假单胞菌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戊菌唑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电导率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烯唑醇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耗氧量（以</w:t>
                  </w:r>
                  <w:r>
                    <w:rPr>
                      <w:rFonts w:ascii="仿宋_GB2312" w:hAnsi="仿宋_GB2312" w:cs="仿宋_GB2312" w:eastAsia="仿宋_GB2312"/>
                      <w:sz w:val="21"/>
                      <w:color w:val="0F1115"/>
                    </w:rPr>
                    <w:t>O₂计）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噻唑膦</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余氯（游离氯）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噻嗪酮</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三氯甲烷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氰霜唑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99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展青霉素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氟吗啉</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乳酸菌数</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地美硝唑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蔗糖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239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甲砜霉素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茶多酚</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地克珠利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咖啡因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托曲珠利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氰化物（以</w:t>
                  </w:r>
                  <w:r>
                    <w:rPr>
                      <w:rFonts w:ascii="仿宋_GB2312" w:hAnsi="仿宋_GB2312" w:cs="仿宋_GB2312" w:eastAsia="仿宋_GB2312"/>
                      <w:sz w:val="21"/>
                      <w:color w:val="0F1115"/>
                    </w:rPr>
                    <w:t>HCN计）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环丙唑醇</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铝的残留量（干样品，以</w:t>
                  </w:r>
                  <w:r>
                    <w:rPr>
                      <w:rFonts w:ascii="仿宋_GB2312" w:hAnsi="仿宋_GB2312" w:cs="仿宋_GB2312" w:eastAsia="仿宋_GB2312"/>
                      <w:sz w:val="21"/>
                      <w:color w:val="0F1115"/>
                    </w:rPr>
                    <w:t>Al计）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粗多糖</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组胺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辅酶</w:t>
                  </w:r>
                  <w:r>
                    <w:rPr>
                      <w:rFonts w:ascii="仿宋_GB2312" w:hAnsi="仿宋_GB2312" w:cs="仿宋_GB2312" w:eastAsia="仿宋_GB2312"/>
                      <w:sz w:val="21"/>
                      <w:color w:val="0F1115"/>
                    </w:rPr>
                    <w:t>Q</w:t>
                  </w:r>
                  <w:r>
                    <w:rPr>
                      <w:rFonts w:ascii="仿宋_GB2312" w:hAnsi="仿宋_GB2312" w:cs="仿宋_GB2312" w:eastAsia="仿宋_GB2312"/>
                      <w:sz w:val="21"/>
                      <w:color w:val="0F1115"/>
                      <w:vertAlign w:val="subscript"/>
                    </w:rPr>
                    <w:t>10</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乙二胺四乙酸二钠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硫酸软骨素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挥发性盐基氮</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赤霉素</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副溶血性弧菌</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氟唑菌酰胺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草甘膦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敌百虫</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吡虫啉</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249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久效磷</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乙酰甲胺磷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硼酸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联苯菊酯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西地那非</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灭多威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他达拉非</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三氯杀螨醇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红</w:t>
                  </w:r>
                  <w:r>
                    <w:rPr>
                      <w:rFonts w:ascii="仿宋_GB2312" w:hAnsi="仿宋_GB2312" w:cs="仿宋_GB2312" w:eastAsia="仿宋_GB2312"/>
                      <w:sz w:val="21"/>
                      <w:color w:val="0F1115"/>
                    </w:rPr>
                    <w:t>2G</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氰戊菊酯和</w:t>
                  </w:r>
                  <w:r>
                    <w:rPr>
                      <w:rFonts w:ascii="仿宋_GB2312" w:hAnsi="仿宋_GB2312" w:cs="仿宋_GB2312" w:eastAsia="仿宋_GB2312"/>
                      <w:sz w:val="21"/>
                      <w:color w:val="0F1115"/>
                    </w:rPr>
                    <w:t>S-氰戊菊酯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西布曲明</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甲拌磷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总糖分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水胺硫磷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还原糖分</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119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氧乐果</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色值</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啶虫脒</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总氮（以</w:t>
                  </w:r>
                  <w:r>
                    <w:rPr>
                      <w:rFonts w:ascii="仿宋_GB2312" w:hAnsi="仿宋_GB2312" w:cs="仿宋_GB2312" w:eastAsia="仿宋_GB2312"/>
                      <w:sz w:val="21"/>
                      <w:color w:val="0F1115"/>
                    </w:rPr>
                    <w:t>N计）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茚虫威</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259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硫酸盐（以</w:t>
                  </w:r>
                  <w:r>
                    <w:rPr>
                      <w:rFonts w:ascii="仿宋_GB2312" w:hAnsi="仿宋_GB2312" w:cs="仿宋_GB2312" w:eastAsia="仿宋_GB2312"/>
                      <w:sz w:val="21"/>
                      <w:color w:val="0F1115"/>
                    </w:rPr>
                    <w:t>SO₄²⁻计）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氯氟氰菊酯和高效氯氟氰菊酯</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铵盐（以</w:t>
                  </w:r>
                  <w:r>
                    <w:rPr>
                      <w:rFonts w:ascii="仿宋_GB2312" w:hAnsi="仿宋_GB2312" w:cs="仿宋_GB2312" w:eastAsia="仿宋_GB2312"/>
                      <w:sz w:val="21"/>
                      <w:color w:val="0F1115"/>
                    </w:rPr>
                    <w:t>NH₄⁺计）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三唑磷</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pH值</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酒精度（乙醇浓度）</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氯化物（以</w:t>
                  </w:r>
                  <w:r>
                    <w:rPr>
                      <w:rFonts w:ascii="仿宋_GB2312" w:hAnsi="仿宋_GB2312" w:cs="仿宋_GB2312" w:eastAsia="仿宋_GB2312"/>
                      <w:sz w:val="21"/>
                      <w:color w:val="0F1115"/>
                    </w:rPr>
                    <w:t>Cl⁻计）</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甲醇</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非脂乳固体</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甲醛</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氟啶虫酰胺</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蔗糖分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二氧化碳气容量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干燥失重</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266</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螨</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129</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不溶于水杂质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267</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氰化物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130</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葛根素</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268</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铝的残留量</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131</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干物质</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269</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10-羟基-2-癸烯酸</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132</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硫酸灰分</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270</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二十二碳六烯酸（</w:t>
                  </w:r>
                  <w:r>
                    <w:rPr>
                      <w:rFonts w:ascii="仿宋_GB2312" w:hAnsi="仿宋_GB2312" w:cs="仿宋_GB2312" w:eastAsia="仿宋_GB2312"/>
                      <w:sz w:val="21"/>
                      <w:color w:val="0F1115"/>
                    </w:rPr>
                    <w:t>DHA）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133</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丙酸及其钠盐、钙盐（以丙酸计）</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271</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二十碳五烯酸（</w:t>
                  </w:r>
                  <w:r>
                    <w:rPr>
                      <w:rFonts w:ascii="仿宋_GB2312" w:hAnsi="仿宋_GB2312" w:cs="仿宋_GB2312" w:eastAsia="仿宋_GB2312"/>
                      <w:sz w:val="21"/>
                      <w:color w:val="0F1115"/>
                    </w:rPr>
                    <w:t>EPA）</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134</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碱性嫩黄</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272</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甲硝唑</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135</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果糖和葡萄糖</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273</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双甲脒</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136</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诺氟沙星</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274</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呋喃它酮代谢物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137</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呋喃西林代谢物</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F1115"/>
                    </w:rPr>
                    <w:t>275</w:t>
                  </w:r>
                </w:p>
              </w:tc>
              <w:tc>
                <w:tcPr>
                  <w:tcW w:type="dxa" w:w="9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呋喃妥因代谢物</w:t>
                  </w:r>
                </w:p>
              </w:tc>
            </w:tr>
            <w:tr>
              <w:tc>
                <w:tcPr>
                  <w:tcW w:type="dxa" w:w="2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138</w:t>
                  </w:r>
                </w:p>
              </w:tc>
              <w:tc>
                <w:tcPr>
                  <w:tcW w:type="dxa" w:w="11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F1115"/>
                    </w:rPr>
                    <w:t>呋喃唑酮代谢物</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1、甲方可根据乙方服务质量，调整中标单位实际承担任务的数量。 2、甲方有权对乙方服务行为进行监督管理，乙方无条件接受甲方奖惩。 3、乙方在全年食品安全监督抽检平均每批次结算单价不高于预算单价682元/批次；如批次综合单价之和超过682元，甲方将按682元进行结算，如批次综合单价之和未超过682元，甲方将按照实际综合单价之和进行结算。 4、对于食品安全快速检测每批次结算单价不高于预算单价50元/批次，超出预算单价部分由乙方承担。 5、供应商检验检测项目未达到100%时，应承诺其余项目在服务合同签订后2个月内完成扩项，若中标后未能及时完成扩项，采购人有权终止合同。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1、甲方可根据乙方服务质量，调整中标单位实际承担任务的数量。 2、甲方有权对乙方服务行为进行监督管理，乙方无条件接受甲方奖惩。 3、乙方在全年食品安全监督抽检平均每批次结算单价不高于预算单价682元/批次；如批次综合单价之和超过682元，甲方将按682元进行结算，如批次综合单价之和未超过682元，甲方将按照实际综合单价之和进行结算。 4、对于食品安全快速检测每批次结算单价不高于预算单价50元/批次，超出预算单价部分由乙方承担。 5、供应商检验检测项目未达到100%时，应承诺其余项目在服务合同签订后2个月内完成扩项，若中标后未能及时完成扩项，采购人有权终止合同。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1、甲方可根据乙方服务质量，调整中标单位实际承担任务的数量。 2、甲方有权对乙方服务行为进行监督管理，乙方无条件接受甲方奖惩。 3、乙方在全年食品安全监督抽检平均每批次结算单价不高于预算单价682元/批次；如批次综合单价之和超过682元，甲方将按682元进行结算，如该批次综合单价之和未超过682元，甲方将按照实际综合单价之和进行结算。 4、供应商检验检测项目未达到100%时，应承诺其余项目在服务合同签订后2个月内完成扩项，若中标后未能及时完成扩项，采购人有权终止合同。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自合同签订之日起12个月，甲方可根据乙方服务质量延长一年合同期，无法满足甲方需求的，下一年度甲方可另行招采。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自合同签订之日起12个月，甲方可根据乙方服务质量延长一年合同期，无法满足甲方需求的，下一年度甲方可另行招采。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自合同签订之日起12个月，甲方可根据乙方服务质量延长一年合同期，无法满足甲方需求的，下一年度甲方可另行招采。</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符合国家标准、行业标准以及有关技术规范要求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合同签订服务完成后，乙方向甲方提供所有检测报告及结算文件后，经甲方结算完成后，如因财政预算不到位，乙方能予以理解并给与顺延，且待支付期间不得投诉、滋事闹事，否则甲方有权从结算中扣除5万元</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合同签订服务完成后，乙方向甲方提供所有检测报告及结算文件后，经甲方结算完成后 ，如因财政预算不到位，乙方能予以理解并给与顺延，且待支付期间不得投诉、滋事闹事，否则甲方有权从结算中扣除5万元</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合同签订服务完成后，乙方向甲方提供所有检测报告及结算文件后，经甲方结算完成后 ，如因财政预算不到位，乙方能予以理解并给与顺延，且待支付期间不得投诉、滋事闹事，否则甲方有权从结算中扣除5万元</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1.本协议适用中华人民共和国法律及其相关规定，如双方约定的内容与国家法律及相关规定相抵触时，双方可依法经协商一致后变更本协议。 2.在本协议履行过程中，双方当事人因本协议发生任何争议的，双方应尽最大努力协商解决；如协商未果，任何一方可以向阎良区人民法院申请仲裁或者提起诉讼。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1.本协议适用中华人民共和国法律及其相关规定，如双方约定的内容与国家法律及相关规定相抵触时，双方可依法经协商一致后变更本协议。 2.在本协议履行过程中，双方当事人因本协议发生任何争议的，双方应尽最大努力协商解决；如协商未果，任何一方可以向阎良区人民法院申请仲裁或者提起诉讼。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1.本协议适用中华人民共和国法律及其相关规定，如双方约定的内容与国家法律及相关规定相抵触时，双方可依法经协商一致后变更本协议。 2.在本协议履行过程中，双方当事人因本协议发生任何争议的，双方应尽最大努力协商解决；如协商未果，任何一方可以向阎良区人民法院申请仲裁或者提起诉讼。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1.本项目采购标的所属行业为：其他未列明行业 。（按照《工信部 国家统计局 发改委 财政部 工信部联企业》中小企业划型标准（〔2011〕300号）规定：从业人员300人以下的为中小微型企业。其中，从业人员100人及以上的为中型企业；从业人员10人及以上的为小型企业；从业人员10人以下的为微型企业。） 2.成交供应商在领取成交通知书时须提供跟开标时上传的电子响应文件一致的纸质版响应文件一正二副用于备案。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供应商特定资格证明文件.docx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供应商特定资格证明文件.docx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供应商特定资格证明文件.docx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供应商特定资格证明文件.docx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供应商特定资格证明文件.docx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供应商特定资格证明文件.docx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参加磋商须提交法定代表人证明书，法定代表人授权代表参加磋商的，须出具法定代表人证明书及授权书（授权代表需提供磋商响应文件截止时间前近三个月内任意一个月本单位社会保险缴纳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供应商须提供2024年度或2025年度经会计师事务所审计的审计报告（新成立企业可从成立当年开始提供相对应的财务报表）或其磋商截止时间前三个月内基本存款账户开户银行出具的资信证明。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供应商须提供自2025年4月1日至今已缴纳的至少一个月的纳税证明或完税证明（依法免税或零申报的供应商须提供相关文件证明；若为新成立企业可提供相应月度的缴税证明）。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自2025年4月1日至今已缴存的任意一个月的社会保障资金缴存单据或社保机构开具的社会保险参保缴费情况证明（依法不需要缴纳社会保障资金的供应商应提供相关文件证明；若为新成立企业可提供相应月度的社会保险缴纳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认定证书</w:t>
            </w:r>
          </w:p>
        </w:tc>
        <w:tc>
          <w:tcPr>
            <w:tcW w:type="dxa" w:w="3322"/>
          </w:tcPr>
          <w:p>
            <w:pPr>
              <w:pStyle w:val="null3"/>
            </w:pPr>
            <w:r>
              <w:rPr>
                <w:rFonts w:ascii="仿宋_GB2312" w:hAnsi="仿宋_GB2312" w:cs="仿宋_GB2312" w:eastAsia="仿宋_GB2312"/>
              </w:rPr>
              <w:t>供应商具有检验检测机构资质认定证书CMA（证书附表要包含食品)、农产品质量安全检测机构考核合格证书（CATL）。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参加磋商须提交法定代表人证明书，法定代表人授权代表参加磋商的，须出具法定代表人证明书及授权书（授权代表需提供磋商响应文件截止时间前近三个月内任意一个月本单位社会保险缴纳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供应商须提供2024年度或2025年度经会计师事务所审计的审计报告（新成立企业可从成立当年开始提供相对应的财务报表）或其磋商截止时间前三个月内基本存款账户开户银行出具的资信证明。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供应商须提供自2025年4月1日至今已缴纳的至少一个月的纳税证明或完税证明（依法免税或零申报的供应商须提供相关文件证明；若为新成立企业可提供相应月度的缴税证明）。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自2025年4月1日至今已缴存的任意一个月的社会保障资金缴存单据或社保机构开具的社会保险参保缴费情况证明（依法不需要缴纳社会保障资金的供应商应提供相关文件证明；若为新成立企业可提供相应月度的社会保险缴纳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认定证书</w:t>
            </w:r>
          </w:p>
        </w:tc>
        <w:tc>
          <w:tcPr>
            <w:tcW w:type="dxa" w:w="3322"/>
          </w:tcPr>
          <w:p>
            <w:pPr>
              <w:pStyle w:val="null3"/>
            </w:pPr>
            <w:r>
              <w:rPr>
                <w:rFonts w:ascii="仿宋_GB2312" w:hAnsi="仿宋_GB2312" w:cs="仿宋_GB2312" w:eastAsia="仿宋_GB2312"/>
              </w:rPr>
              <w:t>供应商具有检验检测机构资质认定证书CMA（证书附表要包含食品)、农产品质量安全检测机构考核合格证书（CATL）。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直接参加磋商须提交法定代表人证明书，法定代表人授权代表参加磋商的，须出具法定代表人证明书及授权书（授权代表需提供磋商响应文件截止时间前近三个月内任意一个月本单位社会保险缴纳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供应商须提供2024年度或2025年度经会计师事务所审计的审计报告（新成立企业可从成立当年开始提供相对应的财务报表）或其磋商截止时间前三个月内基本存款账户开户银行出具的资信证明。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供应商须提供自2025年4月1日至今已缴纳的至少一个月的纳税证明或完税证明（依法免税或零申报的供应商须提供相关文件证明；若为新成立企业可提供相应月度的缴税证明）。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自2025年4月1日至今已缴存的任意一个月的社会保障资金缴存单据或社保机构开具的社会保险参保缴费情况证明（依法不需要缴纳社会保障资金的供应商应提供相关文件证明；若为新成立企业可提供相应月度的社会保险缴纳证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认定证书</w:t>
            </w:r>
          </w:p>
        </w:tc>
        <w:tc>
          <w:tcPr>
            <w:tcW w:type="dxa" w:w="3322"/>
          </w:tcPr>
          <w:p>
            <w:pPr>
              <w:pStyle w:val="null3"/>
            </w:pPr>
            <w:r>
              <w:rPr>
                <w:rFonts w:ascii="仿宋_GB2312" w:hAnsi="仿宋_GB2312" w:cs="仿宋_GB2312" w:eastAsia="仿宋_GB2312"/>
              </w:rPr>
              <w:t>供应商具有检验检测机构资质认定证书CMA（证书附表要包含食品)、农产品质量安全检测机构考核合格证书（CATL）。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供应商特定资格证明文件.docx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此条无需提供，采购代理机构在评标现场查询）。</w:t>
            </w:r>
          </w:p>
        </w:tc>
        <w:tc>
          <w:tcPr>
            <w:tcW w:type="dxa" w:w="1661"/>
          </w:tcPr>
          <w:p>
            <w:pPr>
              <w:pStyle w:val="null3"/>
            </w:pPr>
            <w:r>
              <w:rPr>
                <w:rFonts w:ascii="仿宋_GB2312" w:hAnsi="仿宋_GB2312" w:cs="仿宋_GB2312" w:eastAsia="仿宋_GB2312"/>
              </w:rPr>
              <w:t>供应商特定资格证明文件.docx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磋商响应文件中项目名称、项目编号与本项目一致，无遗漏；</w:t>
            </w:r>
          </w:p>
        </w:tc>
        <w:tc>
          <w:tcPr>
            <w:tcW w:type="dxa" w:w="1661"/>
          </w:tcPr>
          <w:p>
            <w:pPr>
              <w:pStyle w:val="null3"/>
            </w:pPr>
            <w:r>
              <w:rPr>
                <w:rFonts w:ascii="仿宋_GB2312" w:hAnsi="仿宋_GB2312" w:cs="仿宋_GB2312" w:eastAsia="仿宋_GB2312"/>
              </w:rPr>
              <w:t>响应文件封面 服务响应偏差表.docx 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分项报价表.docx 供应商特定资格证明文件.docx 服务响应偏差表.docx 供应商承诺书.docx 商务响应表.docx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磋商报价符合唯一性要求；磋商报价未超出采购预算或采购最高限价；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磋商内容与要求</w:t>
            </w:r>
          </w:p>
        </w:tc>
        <w:tc>
          <w:tcPr>
            <w:tcW w:type="dxa" w:w="3322"/>
          </w:tcPr>
          <w:p>
            <w:pPr>
              <w:pStyle w:val="null3"/>
            </w:pPr>
            <w:r>
              <w:rPr>
                <w:rFonts w:ascii="仿宋_GB2312" w:hAnsi="仿宋_GB2312" w:cs="仿宋_GB2312" w:eastAsia="仿宋_GB2312"/>
              </w:rPr>
              <w:t>磋商内容未出现漏项；数量与要求相符；</w:t>
            </w:r>
          </w:p>
        </w:tc>
        <w:tc>
          <w:tcPr>
            <w:tcW w:type="dxa" w:w="1661"/>
          </w:tcPr>
          <w:p>
            <w:pPr>
              <w:pStyle w:val="null3"/>
            </w:pPr>
            <w:r>
              <w:rPr>
                <w:rFonts w:ascii="仿宋_GB2312" w:hAnsi="仿宋_GB2312" w:cs="仿宋_GB2312" w:eastAsia="仿宋_GB2312"/>
              </w:rPr>
              <w:t>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响应服务的技术指标</w:t>
            </w:r>
          </w:p>
        </w:tc>
        <w:tc>
          <w:tcPr>
            <w:tcW w:type="dxa" w:w="3322"/>
          </w:tcPr>
          <w:p>
            <w:pPr>
              <w:pStyle w:val="null3"/>
            </w:pPr>
            <w:r>
              <w:rPr>
                <w:rFonts w:ascii="仿宋_GB2312" w:hAnsi="仿宋_GB2312" w:cs="仿宋_GB2312" w:eastAsia="仿宋_GB2312"/>
              </w:rPr>
              <w:t>响应服务的技术指标无重大偏离，未造成服务档次降低或严重影响服务质量；</w:t>
            </w:r>
          </w:p>
        </w:tc>
        <w:tc>
          <w:tcPr>
            <w:tcW w:type="dxa" w:w="1661"/>
          </w:tcPr>
          <w:p>
            <w:pPr>
              <w:pStyle w:val="null3"/>
            </w:pPr>
            <w:r>
              <w:rPr>
                <w:rFonts w:ascii="仿宋_GB2312" w:hAnsi="仿宋_GB2312" w:cs="仿宋_GB2312" w:eastAsia="仿宋_GB2312"/>
              </w:rPr>
              <w:t>服务响应偏差表.docx 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“无效磋商”的情形及未实质性响应磋商文件的情况</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分项报价表.docx 供应商承诺书.docx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磋商响应文件中项目名称、项目编号与本项目一致，无遗漏；</w:t>
            </w:r>
          </w:p>
        </w:tc>
        <w:tc>
          <w:tcPr>
            <w:tcW w:type="dxa" w:w="1661"/>
          </w:tcPr>
          <w:p>
            <w:pPr>
              <w:pStyle w:val="null3"/>
            </w:pPr>
            <w:r>
              <w:rPr>
                <w:rFonts w:ascii="仿宋_GB2312" w:hAnsi="仿宋_GB2312" w:cs="仿宋_GB2312" w:eastAsia="仿宋_GB2312"/>
              </w:rPr>
              <w:t>响应文件封面 供应商特定资格证明文件.docx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供应商特定资格证明文件.docx 分项报价表.docx 标的清单 服务响应偏差表.docx 商务响应表.docx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磋商报价符合唯一性要求；磋商报价未超出采购预算或采购最高限价；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磋商内容与要求</w:t>
            </w:r>
          </w:p>
        </w:tc>
        <w:tc>
          <w:tcPr>
            <w:tcW w:type="dxa" w:w="3322"/>
          </w:tcPr>
          <w:p>
            <w:pPr>
              <w:pStyle w:val="null3"/>
            </w:pPr>
            <w:r>
              <w:rPr>
                <w:rFonts w:ascii="仿宋_GB2312" w:hAnsi="仿宋_GB2312" w:cs="仿宋_GB2312" w:eastAsia="仿宋_GB2312"/>
              </w:rPr>
              <w:t>磋商内容未出现漏项；数量与要求相符；</w:t>
            </w:r>
          </w:p>
        </w:tc>
        <w:tc>
          <w:tcPr>
            <w:tcW w:type="dxa" w:w="1661"/>
          </w:tcPr>
          <w:p>
            <w:pPr>
              <w:pStyle w:val="null3"/>
            </w:pPr>
            <w:r>
              <w:rPr>
                <w:rFonts w:ascii="仿宋_GB2312" w:hAnsi="仿宋_GB2312" w:cs="仿宋_GB2312" w:eastAsia="仿宋_GB2312"/>
              </w:rPr>
              <w:t>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响应服务的技术指标</w:t>
            </w:r>
          </w:p>
        </w:tc>
        <w:tc>
          <w:tcPr>
            <w:tcW w:type="dxa" w:w="3322"/>
          </w:tcPr>
          <w:p>
            <w:pPr>
              <w:pStyle w:val="null3"/>
            </w:pPr>
            <w:r>
              <w:rPr>
                <w:rFonts w:ascii="仿宋_GB2312" w:hAnsi="仿宋_GB2312" w:cs="仿宋_GB2312" w:eastAsia="仿宋_GB2312"/>
              </w:rPr>
              <w:t>响应服务的技术指标无重大偏离，未造成服务档次降低或严重影响服务质量；</w:t>
            </w:r>
          </w:p>
        </w:tc>
        <w:tc>
          <w:tcPr>
            <w:tcW w:type="dxa" w:w="1661"/>
          </w:tcPr>
          <w:p>
            <w:pPr>
              <w:pStyle w:val="null3"/>
            </w:pPr>
            <w:r>
              <w:rPr>
                <w:rFonts w:ascii="仿宋_GB2312" w:hAnsi="仿宋_GB2312" w:cs="仿宋_GB2312" w:eastAsia="仿宋_GB2312"/>
              </w:rPr>
              <w:t>服务响应偏差表.docx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“无效磋商”的情形及未实质性响应磋商文件的情况</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供应商承诺书.docx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磋商响应文件中项目名称、项目编号与本项目一致，无遗漏；</w:t>
            </w:r>
          </w:p>
        </w:tc>
        <w:tc>
          <w:tcPr>
            <w:tcW w:type="dxa" w:w="1661"/>
          </w:tcPr>
          <w:p>
            <w:pPr>
              <w:pStyle w:val="null3"/>
            </w:pPr>
            <w:r>
              <w:rPr>
                <w:rFonts w:ascii="仿宋_GB2312" w:hAnsi="仿宋_GB2312" w:cs="仿宋_GB2312" w:eastAsia="仿宋_GB2312"/>
              </w:rPr>
              <w:t>响应文件封面 供应商特定资格证明文件.docx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分项报价表.docx 供应商特定资格证明文件.docx 标的清单 响应函 服务响应偏差表.docx 商务响应表.docx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磋商报价符合唯一性要求；磋商报价未超出采购预算或采购最高限价；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磋商内容与要求</w:t>
            </w:r>
          </w:p>
        </w:tc>
        <w:tc>
          <w:tcPr>
            <w:tcW w:type="dxa" w:w="3322"/>
          </w:tcPr>
          <w:p>
            <w:pPr>
              <w:pStyle w:val="null3"/>
            </w:pPr>
            <w:r>
              <w:rPr>
                <w:rFonts w:ascii="仿宋_GB2312" w:hAnsi="仿宋_GB2312" w:cs="仿宋_GB2312" w:eastAsia="仿宋_GB2312"/>
              </w:rPr>
              <w:t>磋商内容未出现漏项；数量与要求相符；</w:t>
            </w:r>
          </w:p>
        </w:tc>
        <w:tc>
          <w:tcPr>
            <w:tcW w:type="dxa" w:w="1661"/>
          </w:tcPr>
          <w:p>
            <w:pPr>
              <w:pStyle w:val="null3"/>
            </w:pPr>
            <w:r>
              <w:rPr>
                <w:rFonts w:ascii="仿宋_GB2312" w:hAnsi="仿宋_GB2312" w:cs="仿宋_GB2312" w:eastAsia="仿宋_GB2312"/>
              </w:rPr>
              <w:t>服务响应偏差表.docx 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响应服务的技术指标</w:t>
            </w:r>
          </w:p>
        </w:tc>
        <w:tc>
          <w:tcPr>
            <w:tcW w:type="dxa" w:w="3322"/>
          </w:tcPr>
          <w:p>
            <w:pPr>
              <w:pStyle w:val="null3"/>
            </w:pPr>
            <w:r>
              <w:rPr>
                <w:rFonts w:ascii="仿宋_GB2312" w:hAnsi="仿宋_GB2312" w:cs="仿宋_GB2312" w:eastAsia="仿宋_GB2312"/>
              </w:rPr>
              <w:t>响应服务的技术指标无重大偏离，未造成服务档次降低或严重影响服务质量；</w:t>
            </w:r>
          </w:p>
        </w:tc>
        <w:tc>
          <w:tcPr>
            <w:tcW w:type="dxa" w:w="1661"/>
          </w:tcPr>
          <w:p>
            <w:pPr>
              <w:pStyle w:val="null3"/>
            </w:pPr>
            <w:r>
              <w:rPr>
                <w:rFonts w:ascii="仿宋_GB2312" w:hAnsi="仿宋_GB2312" w:cs="仿宋_GB2312" w:eastAsia="仿宋_GB2312"/>
              </w:rPr>
              <w:t>服务响应偏差表.docx 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“无效磋商”的情形及未实质性响应磋商文件的情况</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 年 4 月 1 日至今同类项目业绩，以合同签订时间为准，每提供1个业绩计1分，最高计5分。须提供合同复印件加盖公章，否则不计分。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业绩及相关证明材料.docx</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供应商提供的 CMA 证书能力附表的技术参数内容覆盖招标品种指定检验项目（单独附本项目要求的资质认证项目附表复印件并明确标注，加盖供应商公章）。 检测能力覆盖率≥98%的，得12分; 98%&lt;检测能力覆盖率≥95%的，得8分；检测能力覆盖率&lt;95%的不得分。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磋商响应方案-实验室技术能力.docx</w:t>
            </w:r>
          </w:p>
        </w:tc>
      </w:tr>
      <w:tr>
        <w:tc>
          <w:tcPr>
            <w:tcW w:type="dxa" w:w="831"/>
            <w:vMerge/>
          </w:tcPr>
          <w:p/>
        </w:tc>
        <w:tc>
          <w:tcPr>
            <w:tcW w:type="dxa" w:w="1661"/>
          </w:tcPr>
          <w:p>
            <w:pPr>
              <w:pStyle w:val="null3"/>
            </w:pPr>
            <w:r>
              <w:rPr>
                <w:rFonts w:ascii="仿宋_GB2312" w:hAnsi="仿宋_GB2312" w:cs="仿宋_GB2312" w:eastAsia="仿宋_GB2312"/>
              </w:rPr>
              <w:t>技术能力</w:t>
            </w:r>
          </w:p>
        </w:tc>
        <w:tc>
          <w:tcPr>
            <w:tcW w:type="dxa" w:w="2492"/>
          </w:tcPr>
          <w:p>
            <w:pPr>
              <w:pStyle w:val="null3"/>
            </w:pPr>
            <w:r>
              <w:rPr>
                <w:rFonts w:ascii="仿宋_GB2312" w:hAnsi="仿宋_GB2312" w:cs="仿宋_GB2312" w:eastAsia="仿宋_GB2312"/>
              </w:rPr>
              <w:t>连续三年（2023年、2024年、2025年）参加过国家、省或市级市场监督管理局组织的食品检验机构能力验证考核或监督检查等，以市场监督管理局检查结果文件为准。文件中全部满意得 10 分；参加考核项目中存在问题较多、结果可疑、偏离度大的，1 项扣 5 分，扣完为止。提供虚假资料按废标处理。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磋商响应方案-技术能力.docx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1.检验人员具备专业背景，机构的授权签字人具有2名中级及以上专业技术职称或同等能力人员，并取得授权签字人资格，得2分；每增加一人加1分，本项最高得5分。 2.机构技术人员具有3名中级及以上专业技术职称或同等能力人员，全面负责技术运作，得3分；每增加一人加1分，本项最高得5分。 说明：以上人员须提供本单位的缴纳社保证明，提供材料与人员一一对应，资料不全或出现不对应情况不得分。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磋商响应方案-人员配备.docx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针对本项目提供具体可行的整体服务方案，包括但不限于①工作内容的部署；②抽样（抽检分离）方案；③样品接收及核查、检验、报告出具及送达方案；④异议处理方案；⑤保密工作方案；⑥应急工作方案。 二、评审标准： 1、完整性：方案须全面，对评审内容中的各项要求有详细描述及说明； 2、可实施性及针对性：方案能够紧扣项目实际情况，实施步骤清晰、合理，内容科学合理。 三、赋分标准： ①工作内容的部署：每完全满足一项评审标准得1分，满分2分； ②抽样（抽检分离）方案：每完全满足一项评审标准得1分，满分2分； ③样品接收及核查、检验、报告出具及送达方案：每完全满足一项评审标准得1分，满分2分； ④异议处理方案：每完全满足一项评审标准得1分，满分2分； ⑤保密工作方案：每完全满足一项评审标准得1分，满分2分； ⑥应急工作方案：每完全满足一项评审标准得1分，满分2分。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磋商响应方案-整体服务方案.docx</w:t>
            </w:r>
          </w:p>
        </w:tc>
      </w:tr>
      <w:tr>
        <w:tc>
          <w:tcPr>
            <w:tcW w:type="dxa" w:w="831"/>
            <w:vMerge/>
          </w:tcPr>
          <w:p/>
        </w:tc>
        <w:tc>
          <w:tcPr>
            <w:tcW w:type="dxa" w:w="1661"/>
          </w:tcPr>
          <w:p>
            <w:pPr>
              <w:pStyle w:val="null3"/>
            </w:pPr>
            <w:r>
              <w:rPr>
                <w:rFonts w:ascii="仿宋_GB2312" w:hAnsi="仿宋_GB2312" w:cs="仿宋_GB2312" w:eastAsia="仿宋_GB2312"/>
              </w:rPr>
              <w:t>管理能力与质量控制</w:t>
            </w:r>
          </w:p>
        </w:tc>
        <w:tc>
          <w:tcPr>
            <w:tcW w:type="dxa" w:w="2492"/>
          </w:tcPr>
          <w:p>
            <w:pPr>
              <w:pStyle w:val="null3"/>
            </w:pPr>
            <w:r>
              <w:rPr>
                <w:rFonts w:ascii="仿宋_GB2312" w:hAnsi="仿宋_GB2312" w:cs="仿宋_GB2312" w:eastAsia="仿宋_GB2312"/>
              </w:rPr>
              <w:t>一、评审内容： 针对本项目提供管理能力与质量控制方案，包括但不限于①抽样和样品控制，包括但不限于：建立抽样与样品管理控制程序，抽样应确保检验检测结果的有效性、按规定和相关标准取样并留证，样品管理和流转不影响检验结果，且具有可溯性； ②提供有效的质控程序，包括但不限于：设备、试剂的期间核查，报告数据审核、参加能力验证、不同实验室之间比对、机构内部比对、盲样检验等； ③建立抽检记录控制程序，确保每一项检验记录信息完整、准确、真实且具有溯源性。 二、评审标准： 1、完整性：方案须全面，对评审内容中的各项要求有详细描述及说明； 2、可实施性及针对性：方案能够紧扣项目实际情况，实施步骤清晰、合理，内容科学合理。 三、赋分标准： ①抽样和样品控制：每完全满足一项评审标准得1分，满分2分； ②提供有效的质控程序：每完全满足一项评审标准得1分，满分2分； ③建立抽检记录控制程序：每完全满足一项评审标准得1分，满分2分。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磋商响应方案-管理能力与质量控制.docx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质量保证方案，包括但不限于：①实验室体系管理：供应商应建立、实施和保持与实际情况相适应管理体系，具备完整适用的体系文件，包括：管理体系文件、程序文件、作业指导书、文件控制、记录控制、对风险的应对、改进和纠正措施、内部审核和管理评审。②质量保障承诺。 二、评审标准 1、完整性：方案须全面，对评审内容中的各项要求有详细描述及说明； 2、可实施性：切合本项目实际情况，实施步骤清晰、合理； 3、针对性：方案能够紧扣项目实际情况，内容科学合理。 三、赋分标准： ①实验室体系管理：每完全满足一项评审标准得1分，满分3分； ②质量保障承诺：每完全满足一项评审标准得1分，满分3分。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磋商响应方案-质量保证.docx</w:t>
            </w:r>
          </w:p>
        </w:tc>
      </w:tr>
      <w:tr>
        <w:tc>
          <w:tcPr>
            <w:tcW w:type="dxa" w:w="831"/>
            <w:vMerge/>
          </w:tcPr>
          <w:p/>
        </w:tc>
        <w:tc>
          <w:tcPr>
            <w:tcW w:type="dxa" w:w="1661"/>
          </w:tcPr>
          <w:p>
            <w:pPr>
              <w:pStyle w:val="null3"/>
            </w:pPr>
            <w:r>
              <w:rPr>
                <w:rFonts w:ascii="仿宋_GB2312" w:hAnsi="仿宋_GB2312" w:cs="仿宋_GB2312" w:eastAsia="仿宋_GB2312"/>
              </w:rPr>
              <w:t>实验室保障</w:t>
            </w:r>
          </w:p>
        </w:tc>
        <w:tc>
          <w:tcPr>
            <w:tcW w:type="dxa" w:w="2492"/>
          </w:tcPr>
          <w:p>
            <w:pPr>
              <w:pStyle w:val="null3"/>
            </w:pPr>
            <w:r>
              <w:rPr>
                <w:rFonts w:ascii="仿宋_GB2312" w:hAnsi="仿宋_GB2312" w:cs="仿宋_GB2312" w:eastAsia="仿宋_GB2312"/>
              </w:rPr>
              <w:t>一、评审内容： 针对本项目提供实验室保障方案，包括但不限于： ①供应商具备与承检品种、项目相适应的场所、环境。场所、环境满足抽样、检验、各类存贮需求，且功能齐全，布局合理。 ②检验机构有与本项目相适应的仪器设备。（供应商提供每台仪器设备的发票、图片及校准证书等的复印件并加盖供应商公章）。 ③供应商能够及时响应检测要求，具有本地化服务能力，提供能力保障证明资料。 二、评审标准 1、完整性：方案须全面，对评审内容中的各项要求有详细描述及说明； 2、可实施性：切合本项目实际情况，实施步骤清晰、合理； 3、针对性：方案能够紧扣项目实际情况，内容科学合理。 三、赋分标准： ①供应商具备与承检品种、项目相适应的场所、环境：每完全满足一项评审标准得1分，满分3分； ②检验机构有与本项目相适应的仪器设备：每完全满足一项评审标准得1分，满分3分； ③供应商能够及时响应检测要求，具有本地化服务能力：每完全满足一项评审标准得1分，满分3分。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磋商响应方案-实验室保障.docx</w:t>
            </w:r>
          </w:p>
          <w:p>
            <w:pPr>
              <w:pStyle w:val="null3"/>
            </w:pPr>
            <w:r>
              <w:rPr>
                <w:rFonts w:ascii="仿宋_GB2312" w:hAnsi="仿宋_GB2312" w:cs="仿宋_GB2312" w:eastAsia="仿宋_GB2312"/>
              </w:rPr>
              <w:t>供应商需要说明的其他内容.docx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满足磋商文件要求且磋商价格最低的磋商报价为评标基准价，其价格分为满分。高于评标基准价的磋商供应商的价格分按照下列公式计算 ： 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符合《政府采购促进中小企业发展管理办法》（财库〔2020〕46号）规定的小型、微型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 年 4 月 1 日至今同类项目业绩，以合同签订时间为准，每提供1个业绩计1分，最高计5分。须提供合同复印件加盖公章，否则不计分。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业绩及相关证明材料.docx</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供应商提供的 CMA 证书能力附表的技术参数内容覆盖招标品种指定检验项目（单独附本项目要求的资质认证项目附表复印件并明确标注，加盖供应商公章）。 检测能力覆盖率≥98%的，得12分; 98%&lt;检测能力覆盖率≥95%的，得8分；检测能力覆盖率&lt;95%的不得分。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磋商响应方案-实验室技术能力.docx</w:t>
            </w:r>
          </w:p>
          <w:p>
            <w:pPr>
              <w:pStyle w:val="null3"/>
            </w:pPr>
            <w:r>
              <w:rPr>
                <w:rFonts w:ascii="仿宋_GB2312" w:hAnsi="仿宋_GB2312" w:cs="仿宋_GB2312" w:eastAsia="仿宋_GB2312"/>
              </w:rPr>
              <w:t>供应商需要说明的其他内容.docx</w:t>
            </w:r>
          </w:p>
        </w:tc>
      </w:tr>
      <w:tr>
        <w:tc>
          <w:tcPr>
            <w:tcW w:type="dxa" w:w="831"/>
            <w:vMerge/>
          </w:tcPr>
          <w:p/>
        </w:tc>
        <w:tc>
          <w:tcPr>
            <w:tcW w:type="dxa" w:w="1661"/>
          </w:tcPr>
          <w:p>
            <w:pPr>
              <w:pStyle w:val="null3"/>
            </w:pPr>
            <w:r>
              <w:rPr>
                <w:rFonts w:ascii="仿宋_GB2312" w:hAnsi="仿宋_GB2312" w:cs="仿宋_GB2312" w:eastAsia="仿宋_GB2312"/>
              </w:rPr>
              <w:t>技术能力</w:t>
            </w:r>
          </w:p>
        </w:tc>
        <w:tc>
          <w:tcPr>
            <w:tcW w:type="dxa" w:w="2492"/>
          </w:tcPr>
          <w:p>
            <w:pPr>
              <w:pStyle w:val="null3"/>
            </w:pPr>
            <w:r>
              <w:rPr>
                <w:rFonts w:ascii="仿宋_GB2312" w:hAnsi="仿宋_GB2312" w:cs="仿宋_GB2312" w:eastAsia="仿宋_GB2312"/>
              </w:rPr>
              <w:t>连续三年（2023年、2024年、2025年）参加过国家、省或市级市场监督管理局组织的食品检验机构能力验证考核或监督检查等，以市场监督管理局检查结果文件为准。文件中全部满意得 10 分；参加考核项目中存在问题较多、结果可疑、偏离度大的，1 项扣 5 分，扣完为止。提供虚假资料按废标处理。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磋商响应方案-技术能力.docx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1.检验人员具备专业背景，机构的授权签字人具有2名中级及以上专业技术职称或同等能力人员，并取得授权签字人资格，得2分；每增加一人加1分，本项最高得5分。 2.机构技术人员具有3名中级及以上专业技术职称或同等能力人员，全面负责技术运作，得3分；每增加一人加1分，本项最高得5分。 说明：以上人员须提供本单位的缴纳社保证明，提供材料与人员一一对应，资料不全或出现不对应情况不得分。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磋商响应方案-人员配备.docx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针对本项目提供具体可行的整体服务方案，包括但不限于①工作内容的部署；②抽样（抽检分离）方案；③样品接收及核查、检验、报告出具及送达方案；④异议处理方案；⑤保密工作方案；⑥应急工作方案。 二、评审标准： 1、完整性：方案须全面，对评审内容中的各项要求有详细描述及说明； 2、可实施性及针对性：方案能够紧扣项目实际情况，实施步骤清晰、合理，内容科学合理。 三、赋分标准： ①工作内容的部署：每完全满足一项评审标准得1分，满分2分； ②抽样（抽检分离）方案：每完全满足一项评审标准得1分，满分2分； ③样品接收及核查、检验、报告出具及送达方案：每完全满足一项评审标准得1分，满分2分； ④异议处理方案：每完全满足一项评审标准得1分，满分2分； ⑤保密工作方案：每完全满足一项评审标准得1分，满分2分； ⑥应急工作方案：每完全满足一项评审标准得1分，满分2分。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磋商响应方案-整体服务方案.docx</w:t>
            </w:r>
          </w:p>
        </w:tc>
      </w:tr>
      <w:tr>
        <w:tc>
          <w:tcPr>
            <w:tcW w:type="dxa" w:w="831"/>
            <w:vMerge/>
          </w:tcPr>
          <w:p/>
        </w:tc>
        <w:tc>
          <w:tcPr>
            <w:tcW w:type="dxa" w:w="1661"/>
          </w:tcPr>
          <w:p>
            <w:pPr>
              <w:pStyle w:val="null3"/>
            </w:pPr>
            <w:r>
              <w:rPr>
                <w:rFonts w:ascii="仿宋_GB2312" w:hAnsi="仿宋_GB2312" w:cs="仿宋_GB2312" w:eastAsia="仿宋_GB2312"/>
              </w:rPr>
              <w:t>管理能力与质量控制</w:t>
            </w:r>
          </w:p>
        </w:tc>
        <w:tc>
          <w:tcPr>
            <w:tcW w:type="dxa" w:w="2492"/>
          </w:tcPr>
          <w:p>
            <w:pPr>
              <w:pStyle w:val="null3"/>
            </w:pPr>
            <w:r>
              <w:rPr>
                <w:rFonts w:ascii="仿宋_GB2312" w:hAnsi="仿宋_GB2312" w:cs="仿宋_GB2312" w:eastAsia="仿宋_GB2312"/>
              </w:rPr>
              <w:t>一、评审内容： 针对本项目提供管理能力与质量控制方案，包括但不限于①抽样和样品控制，包括但不限于：建立抽样与样品管理控制程序，抽样应确保检验检测结果的有效性、按规定和相关标准取样并留证，样品管理和流转不影响检验结果，且具有可溯性； ②提供有效的质控程序，包括但不限于：设备、试剂的期间核查，报告数据审核、参加能力验证、不同实验室之间比对、机构内部比对、盲样检验等； ③建立抽检记录控制程序，确保每一项检验记录信息完整、准确、真实且具有溯源性。 二、评审标准： 1、完整性：方案须全面，对评审内容中的各项要求有详细描述及说明； 2、可实施性及针对性：方案能够紧扣项目实际情况，实施步骤清晰、合理，内容科学合理。 三、赋分标准： ①抽样和样品控制：每完全满足一项评审标准得1分，满分2分； ②提供有效的质控程序：每完全满足一项评审标准得1分，满分2分； ③建立抽检记录控制程序：每完全满足一项评审标准得1分，满分2分。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磋商响应方案-管理能力与质量控制.docx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质量保证方案，包括但不限于：①实验室体系管理：供应商应建立、实施和保持与实际情况相适应管理体系，具备完整适用的体系文件，包括：管理体系文件、程序文件、作业指导书、文件控制、记录控制、对风险的应对、改进和纠正措施、内部审核和管理评审。②质量保障承诺。 二、评审标准 1、完整性：方案须全面，对评审内容中的各项要求有详细描述及说明； 2、可实施性：切合本项目实际情况，实施步骤清晰、合理； 3、针对性：方案能够紧扣项目实际情况，内容科学合理。 三、赋分标准： ①实验室体系管理：每完全满足一项评审标准得1分，满分3分； ②质量保障承诺：每完全满足一项评审标准得1分，满分3分。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磋商响应方案-质量保证.docx</w:t>
            </w:r>
          </w:p>
        </w:tc>
      </w:tr>
      <w:tr>
        <w:tc>
          <w:tcPr>
            <w:tcW w:type="dxa" w:w="831"/>
            <w:vMerge/>
          </w:tcPr>
          <w:p/>
        </w:tc>
        <w:tc>
          <w:tcPr>
            <w:tcW w:type="dxa" w:w="1661"/>
          </w:tcPr>
          <w:p>
            <w:pPr>
              <w:pStyle w:val="null3"/>
            </w:pPr>
            <w:r>
              <w:rPr>
                <w:rFonts w:ascii="仿宋_GB2312" w:hAnsi="仿宋_GB2312" w:cs="仿宋_GB2312" w:eastAsia="仿宋_GB2312"/>
              </w:rPr>
              <w:t>实验室保障</w:t>
            </w:r>
          </w:p>
        </w:tc>
        <w:tc>
          <w:tcPr>
            <w:tcW w:type="dxa" w:w="2492"/>
          </w:tcPr>
          <w:p>
            <w:pPr>
              <w:pStyle w:val="null3"/>
            </w:pPr>
            <w:r>
              <w:rPr>
                <w:rFonts w:ascii="仿宋_GB2312" w:hAnsi="仿宋_GB2312" w:cs="仿宋_GB2312" w:eastAsia="仿宋_GB2312"/>
              </w:rPr>
              <w:t>一、评审内容： 针对本项目提供实验室保障方案，包括但不限于： ①供应商具备与承检品种、项目相适应的场所、环境。场所、环境满足抽样、检验、各类存贮需求，且功能齐全，布局合理。 ②检验机构有与本项目相适应的仪器设备。（供应商提供每台仪器设备的发票、图片及校准证书等的复印件并加盖供应商公章）。 ③供应商能够及时响应检测要求，具有本地化服务能力，提供能力保障证明资料。 二、评审标准 1、完整性：方案须全面，对评审内容中的各项要求有详细描述及说明； 2、可实施性：切合本项目实际情况，实施步骤清晰、合理； 3、针对性：方案能够紧扣项目实际情况，内容科学合理。 三、赋分标准： ①供应商具备与承检品种、项目相适应的场所、环境：每完全满足一项评审标准得1分，满分3分； ②检验机构有与本项目相适应的仪器设备：每完全满足一项评审标准得1分，满分3分； ③供应商能够及时响应检测要求，具有本地化服务能力：每完全满足一项评审标准得1分，满分3分。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磋商响应方案-实验室保障.docx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满足磋商文件要求且磋商价格最低的磋商报价为评标基准价，其价格分为满分。高于评标基准价的磋商供应商的价格分按照下列公式计算 ： 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符合《政府采购促进中小企业发展管理办法》（财库〔2020〕46号）规定的小型、微型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 年 4 月 1 日至今同类项目业绩，以合同签订时间为准，每提供1个业绩计1分，最高计5分。须提供合同复印件加盖公章，否则不计分。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业绩及相关证明材料.docx</w:t>
            </w:r>
          </w:p>
        </w:tc>
      </w:tr>
      <w:tr>
        <w:tc>
          <w:tcPr>
            <w:tcW w:type="dxa" w:w="831"/>
            <w:vMerge/>
          </w:tcPr>
          <w:p/>
        </w:tc>
        <w:tc>
          <w:tcPr>
            <w:tcW w:type="dxa" w:w="1661"/>
          </w:tcPr>
          <w:p>
            <w:pPr>
              <w:pStyle w:val="null3"/>
            </w:pPr>
            <w:r>
              <w:rPr>
                <w:rFonts w:ascii="仿宋_GB2312" w:hAnsi="仿宋_GB2312" w:cs="仿宋_GB2312" w:eastAsia="仿宋_GB2312"/>
              </w:rPr>
              <w:t>实验室技术能力</w:t>
            </w:r>
          </w:p>
        </w:tc>
        <w:tc>
          <w:tcPr>
            <w:tcW w:type="dxa" w:w="2492"/>
          </w:tcPr>
          <w:p>
            <w:pPr>
              <w:pStyle w:val="null3"/>
            </w:pPr>
            <w:r>
              <w:rPr>
                <w:rFonts w:ascii="仿宋_GB2312" w:hAnsi="仿宋_GB2312" w:cs="仿宋_GB2312" w:eastAsia="仿宋_GB2312"/>
              </w:rPr>
              <w:t>供应商提供的 CMA 证书能力附表的技术参数内容覆盖招标品种指定检验项目（单独附本项目要求的资质认证项目附表复印件并明确标注，加盖供应商公章）。 检测能力覆盖率≥98%的，得12分; 98%&lt;检测能力覆盖率≥95%的，得8分；检测能力覆盖率&lt;95%的不得分。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磋商响应方案-实验室技术能力.docx</w:t>
            </w:r>
          </w:p>
        </w:tc>
      </w:tr>
      <w:tr>
        <w:tc>
          <w:tcPr>
            <w:tcW w:type="dxa" w:w="831"/>
            <w:vMerge/>
          </w:tcPr>
          <w:p/>
        </w:tc>
        <w:tc>
          <w:tcPr>
            <w:tcW w:type="dxa" w:w="1661"/>
          </w:tcPr>
          <w:p>
            <w:pPr>
              <w:pStyle w:val="null3"/>
            </w:pPr>
            <w:r>
              <w:rPr>
                <w:rFonts w:ascii="仿宋_GB2312" w:hAnsi="仿宋_GB2312" w:cs="仿宋_GB2312" w:eastAsia="仿宋_GB2312"/>
              </w:rPr>
              <w:t>技术能力</w:t>
            </w:r>
          </w:p>
        </w:tc>
        <w:tc>
          <w:tcPr>
            <w:tcW w:type="dxa" w:w="2492"/>
          </w:tcPr>
          <w:p>
            <w:pPr>
              <w:pStyle w:val="null3"/>
            </w:pPr>
            <w:r>
              <w:rPr>
                <w:rFonts w:ascii="仿宋_GB2312" w:hAnsi="仿宋_GB2312" w:cs="仿宋_GB2312" w:eastAsia="仿宋_GB2312"/>
              </w:rPr>
              <w:t>连续三年（2023年、2024年、2025年）参加过国家、省或市级市场监督管理局组织的食品检验机构能力验证考核或监督检查等，以市场监督管理局检查结果文件为准。文件中全部满意得 10 分；参加考核项目中存在问题较多、结果可疑、偏离度大的，1 项扣 5 分，扣完为止。提供虚假资料按废标处理。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磋商响应方案-技术能力.docx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1.检验人员具备专业背景，机构的授权签字人具有2名中级及以上专业技术职称或同等能力人员，并取得授权签字人资格，得2分；每增加一人加1分，本项最高得5分。 2.机构技术人员具有3名中级及以上专业技术职称或同等能力人员，全面负责技术运作，得3分；每增加一人加1分，本项最高得5分。 说明：以上人员须提供本单位的缴纳社保证明，提供材料与人员一一对应，资料不全或出现不对应情况不得分。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磋商响应方案-人员配备.docx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针对本项目提供具体可行的整体服务方案，包括但不限于①工作内容的部署；②抽样（抽检分离）方案；③样品接收及核查、检验、报告出具及送达方案；④异议处理方案；⑤保密工作方案；⑥应急工作方案。 二、评审标准： 1、完整性：方案须全面，对评审内容中的各项要求有详细描述及说明； 2、可实施性及针对性：方案能够紧扣项目实际情况，实施步骤清晰、合理，内容科学合理。 三、赋分标准： ①工作内容的部署：每完全满足一项评审标准得1分，满分2分； ②抽样（抽检分离）方案：每完全满足一项评审标准得1分，满分2分； ③样品接收及核查、检验、报告出具及送达方案：每完全满足一项评审标准得1分，满分2分； ④异议处理方案：每完全满足一项评审标准得1分，满分2分； ⑤保密工作方案：每完全满足一项评审标准得1分，满分2分； ⑥应急工作方案：每完全满足一项评审标准得1分，满分2分。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磋商响应方案-整体服务方案.docx</w:t>
            </w:r>
          </w:p>
        </w:tc>
      </w:tr>
      <w:tr>
        <w:tc>
          <w:tcPr>
            <w:tcW w:type="dxa" w:w="831"/>
            <w:vMerge/>
          </w:tcPr>
          <w:p/>
        </w:tc>
        <w:tc>
          <w:tcPr>
            <w:tcW w:type="dxa" w:w="1661"/>
          </w:tcPr>
          <w:p>
            <w:pPr>
              <w:pStyle w:val="null3"/>
            </w:pPr>
            <w:r>
              <w:rPr>
                <w:rFonts w:ascii="仿宋_GB2312" w:hAnsi="仿宋_GB2312" w:cs="仿宋_GB2312" w:eastAsia="仿宋_GB2312"/>
              </w:rPr>
              <w:t>管理能力与质量控制</w:t>
            </w:r>
          </w:p>
        </w:tc>
        <w:tc>
          <w:tcPr>
            <w:tcW w:type="dxa" w:w="2492"/>
          </w:tcPr>
          <w:p>
            <w:pPr>
              <w:pStyle w:val="null3"/>
            </w:pPr>
            <w:r>
              <w:rPr>
                <w:rFonts w:ascii="仿宋_GB2312" w:hAnsi="仿宋_GB2312" w:cs="仿宋_GB2312" w:eastAsia="仿宋_GB2312"/>
              </w:rPr>
              <w:t>一、评审内容： 针对本项目提供管理能力与质量控制方案，包括但不限于①抽样和样品控制，包括但不限于：建立抽样与样品管理控制程序，抽样应确保检验检测结果的有效性、按规定和相关标准取样并留证，样品管理和流转不影响检验结果，且具有可溯性； ②提供有效的质控程序，包括但不限于：设备、试剂的期间核查，报告数据审核、参加能力验证、不同实验室之间比对、机构内部比对、盲样检验等； ③建立抽检记录控制程序，确保每一项检验记录信息完整、准确、真实且具有溯源性。 二、评审标准： 1、完整性：方案须全面，对评审内容中的各项要求有详细描述及说明； 2、可实施性及针对性：方案能够紧扣项目实际情况，实施步骤清晰、合理，内容科学合理。 三、赋分标准： ①抽样和样品控制：每完全满足一项评审标准得1分，满分2分； ②提供有效的质控程序：每完全满足一项评审标准得1分，满分2分； ③建立抽检记录控制程序：每完全满足一项评审标准得1分，满分2分。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磋商响应方案-管理能力与质量控制.docx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质量保证方案，包括但不限于：①实验室体系管理：供应商应建立、实施和保持与实际情况相适应管理体系，具备完整适用的体系文件，包括：管理体系文件、程序文件、作业指导书、文件控制、记录控制、对风险的应对、改进和纠正措施、内部审核和管理评审。②质量保障承诺。 二、评审标准 1、完整性：方案须全面，对评审内容中的各项要求有详细描述及说明； 2、可实施性：切合本项目实际情况，实施步骤清晰、合理； 3、针对性：方案能够紧扣项目实际情况，内容科学合理。 三、赋分标准： ①实验室体系管理：每完全满足一项评审标准得1分，满分3分； ②质量保障承诺：每完全满足一项评审标准得1分，满分3分。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磋商响应方案-质量保证.docx</w:t>
            </w:r>
          </w:p>
        </w:tc>
      </w:tr>
      <w:tr>
        <w:tc>
          <w:tcPr>
            <w:tcW w:type="dxa" w:w="831"/>
            <w:vMerge/>
          </w:tcPr>
          <w:p/>
        </w:tc>
        <w:tc>
          <w:tcPr>
            <w:tcW w:type="dxa" w:w="1661"/>
          </w:tcPr>
          <w:p>
            <w:pPr>
              <w:pStyle w:val="null3"/>
            </w:pPr>
            <w:r>
              <w:rPr>
                <w:rFonts w:ascii="仿宋_GB2312" w:hAnsi="仿宋_GB2312" w:cs="仿宋_GB2312" w:eastAsia="仿宋_GB2312"/>
              </w:rPr>
              <w:t>实验室保障</w:t>
            </w:r>
          </w:p>
        </w:tc>
        <w:tc>
          <w:tcPr>
            <w:tcW w:type="dxa" w:w="2492"/>
          </w:tcPr>
          <w:p>
            <w:pPr>
              <w:pStyle w:val="null3"/>
            </w:pPr>
            <w:r>
              <w:rPr>
                <w:rFonts w:ascii="仿宋_GB2312" w:hAnsi="仿宋_GB2312" w:cs="仿宋_GB2312" w:eastAsia="仿宋_GB2312"/>
              </w:rPr>
              <w:t>一、评审内容： 针对本项目提供实验室保障方案，包括但不限于： ①供应商具备与承检品种、项目相适应的场所、环境。场所、环境满足抽样、检验、各类存贮需求，且功能齐全，布局合理。 ②检验机构有与本项目相适应的仪器设备。（供应商提供每台仪器设备的发票、图片及校准证书等的复印件并加盖供应商公章）。 ③供应商能够及时响应检测要求，具有本地化服务能力，提供能力保障证明资料。 二、评审标准 1、完整性：方案须全面，对评审内容中的各项要求有详细描述及说明； 2、可实施性：切合本项目实际情况，实施步骤清晰、合理； 3、针对性：方案能够紧扣项目实际情况，内容科学合理。 三、赋分标准： ①供应商具备与承检品种、项目相适应的场所、环境：每完全满足一项评审标准得1分，满分3分； ②检验机构有与本项目相适应的仪器设备：每完全满足一项评审标准得1分，满分3分； ③供应商能够及时响应检测要求，具有本地化服务能力：每完全满足一项评审标准得1分，满分3分。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磋商响应方案-实验室保障.docx</w:t>
            </w:r>
          </w:p>
          <w:p>
            <w:pPr>
              <w:pStyle w:val="null3"/>
            </w:pPr>
            <w:r>
              <w:rPr>
                <w:rFonts w:ascii="仿宋_GB2312" w:hAnsi="仿宋_GB2312" w:cs="仿宋_GB2312" w:eastAsia="仿宋_GB2312"/>
              </w:rPr>
              <w:t>供应商需要说明的其他内容.docx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满足磋商文件要求且磋商价格最低的磋商报价为评标基准价，其价格分为满分。高于评标基准价的磋商供应商的价格分按照下列公式计算 ： 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符合《政府采购促进中小企业发展管理办法》（财库〔2020〕46号）规定的小型、微型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详见附件：磋商响应方案-整体服务方案.docx</w:t>
      </w:r>
    </w:p>
    <w:p>
      <w:pPr>
        <w:pStyle w:val="null3"/>
        <w:ind w:firstLine="960"/>
      </w:pPr>
      <w:r>
        <w:rPr>
          <w:rFonts w:ascii="仿宋_GB2312" w:hAnsi="仿宋_GB2312" w:cs="仿宋_GB2312" w:eastAsia="仿宋_GB2312"/>
        </w:rPr>
        <w:t>详见附件：磋商响应方案-管理能力与质量控制.docx</w:t>
      </w:r>
    </w:p>
    <w:p>
      <w:pPr>
        <w:pStyle w:val="null3"/>
        <w:ind w:firstLine="960"/>
      </w:pPr>
      <w:r>
        <w:rPr>
          <w:rFonts w:ascii="仿宋_GB2312" w:hAnsi="仿宋_GB2312" w:cs="仿宋_GB2312" w:eastAsia="仿宋_GB2312"/>
        </w:rPr>
        <w:t>详见附件：磋商响应方案-质量保证.docx</w:t>
      </w:r>
    </w:p>
    <w:p>
      <w:pPr>
        <w:pStyle w:val="null3"/>
        <w:ind w:firstLine="960"/>
      </w:pPr>
      <w:r>
        <w:rPr>
          <w:rFonts w:ascii="仿宋_GB2312" w:hAnsi="仿宋_GB2312" w:cs="仿宋_GB2312" w:eastAsia="仿宋_GB2312"/>
        </w:rPr>
        <w:t>详见附件：磋商响应方案-实验室保障.docx</w:t>
      </w:r>
    </w:p>
    <w:p>
      <w:pPr>
        <w:pStyle w:val="null3"/>
        <w:ind w:firstLine="960"/>
      </w:pPr>
      <w:r>
        <w:rPr>
          <w:rFonts w:ascii="仿宋_GB2312" w:hAnsi="仿宋_GB2312" w:cs="仿宋_GB2312" w:eastAsia="仿宋_GB2312"/>
        </w:rPr>
        <w:t>详见附件：磋商响应方案-实验室技术能力.docx</w:t>
      </w:r>
    </w:p>
    <w:p>
      <w:pPr>
        <w:pStyle w:val="null3"/>
        <w:ind w:firstLine="960"/>
      </w:pPr>
      <w:r>
        <w:rPr>
          <w:rFonts w:ascii="仿宋_GB2312" w:hAnsi="仿宋_GB2312" w:cs="仿宋_GB2312" w:eastAsia="仿宋_GB2312"/>
        </w:rPr>
        <w:t>详见附件：磋商响应方案-技术能力.docx</w:t>
      </w:r>
    </w:p>
    <w:p>
      <w:pPr>
        <w:pStyle w:val="null3"/>
        <w:ind w:firstLine="960"/>
      </w:pPr>
      <w:r>
        <w:rPr>
          <w:rFonts w:ascii="仿宋_GB2312" w:hAnsi="仿宋_GB2312" w:cs="仿宋_GB2312" w:eastAsia="仿宋_GB2312"/>
        </w:rPr>
        <w:t>详见附件：磋商响应方案-人员配备.docx</w:t>
      </w:r>
    </w:p>
    <w:p>
      <w:pPr>
        <w:pStyle w:val="null3"/>
        <w:ind w:firstLine="960"/>
      </w:pPr>
      <w:r>
        <w:rPr>
          <w:rFonts w:ascii="仿宋_GB2312" w:hAnsi="仿宋_GB2312" w:cs="仿宋_GB2312" w:eastAsia="仿宋_GB2312"/>
        </w:rPr>
        <w:t>详见附件：业绩及相关证明材料.docx</w:t>
      </w:r>
    </w:p>
    <w:p>
      <w:pPr>
        <w:pStyle w:val="null3"/>
        <w:ind w:firstLine="960"/>
      </w:pPr>
      <w:r>
        <w:rPr>
          <w:rFonts w:ascii="仿宋_GB2312" w:hAnsi="仿宋_GB2312" w:cs="仿宋_GB2312" w:eastAsia="仿宋_GB2312"/>
        </w:rPr>
        <w:t>详见附件：供应商需要说明的其他内容.docx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详见附件：磋商响应方案-整体服务方案.docx</w:t>
      </w:r>
    </w:p>
    <w:p>
      <w:pPr>
        <w:pStyle w:val="null3"/>
        <w:ind w:firstLine="960"/>
      </w:pPr>
      <w:r>
        <w:rPr>
          <w:rFonts w:ascii="仿宋_GB2312" w:hAnsi="仿宋_GB2312" w:cs="仿宋_GB2312" w:eastAsia="仿宋_GB2312"/>
        </w:rPr>
        <w:t>详见附件：磋商响应方案-管理能力与质量控制.docx</w:t>
      </w:r>
    </w:p>
    <w:p>
      <w:pPr>
        <w:pStyle w:val="null3"/>
        <w:ind w:firstLine="960"/>
      </w:pPr>
      <w:r>
        <w:rPr>
          <w:rFonts w:ascii="仿宋_GB2312" w:hAnsi="仿宋_GB2312" w:cs="仿宋_GB2312" w:eastAsia="仿宋_GB2312"/>
        </w:rPr>
        <w:t>详见附件：磋商响应方案-质量保证.docx</w:t>
      </w:r>
    </w:p>
    <w:p>
      <w:pPr>
        <w:pStyle w:val="null3"/>
        <w:ind w:firstLine="960"/>
      </w:pPr>
      <w:r>
        <w:rPr>
          <w:rFonts w:ascii="仿宋_GB2312" w:hAnsi="仿宋_GB2312" w:cs="仿宋_GB2312" w:eastAsia="仿宋_GB2312"/>
        </w:rPr>
        <w:t>详见附件：磋商响应方案-实验室保障.docx</w:t>
      </w:r>
    </w:p>
    <w:p>
      <w:pPr>
        <w:pStyle w:val="null3"/>
        <w:ind w:firstLine="960"/>
      </w:pPr>
      <w:r>
        <w:rPr>
          <w:rFonts w:ascii="仿宋_GB2312" w:hAnsi="仿宋_GB2312" w:cs="仿宋_GB2312" w:eastAsia="仿宋_GB2312"/>
        </w:rPr>
        <w:t>详见附件：磋商响应方案-实验室技术能力.docx</w:t>
      </w:r>
    </w:p>
    <w:p>
      <w:pPr>
        <w:pStyle w:val="null3"/>
        <w:ind w:firstLine="960"/>
      </w:pPr>
      <w:r>
        <w:rPr>
          <w:rFonts w:ascii="仿宋_GB2312" w:hAnsi="仿宋_GB2312" w:cs="仿宋_GB2312" w:eastAsia="仿宋_GB2312"/>
        </w:rPr>
        <w:t>详见附件：磋商响应方案-技术能力.docx</w:t>
      </w:r>
    </w:p>
    <w:p>
      <w:pPr>
        <w:pStyle w:val="null3"/>
        <w:ind w:firstLine="960"/>
      </w:pPr>
      <w:r>
        <w:rPr>
          <w:rFonts w:ascii="仿宋_GB2312" w:hAnsi="仿宋_GB2312" w:cs="仿宋_GB2312" w:eastAsia="仿宋_GB2312"/>
        </w:rPr>
        <w:t>详见附件：磋商响应方案-人员配备.docx</w:t>
      </w:r>
    </w:p>
    <w:p>
      <w:pPr>
        <w:pStyle w:val="null3"/>
        <w:ind w:firstLine="960"/>
      </w:pPr>
      <w:r>
        <w:rPr>
          <w:rFonts w:ascii="仿宋_GB2312" w:hAnsi="仿宋_GB2312" w:cs="仿宋_GB2312" w:eastAsia="仿宋_GB2312"/>
        </w:rPr>
        <w:t>详见附件：业绩及相关证明材料.docx</w:t>
      </w:r>
    </w:p>
    <w:p>
      <w:pPr>
        <w:pStyle w:val="null3"/>
        <w:ind w:firstLine="960"/>
      </w:pPr>
      <w:r>
        <w:rPr>
          <w:rFonts w:ascii="仿宋_GB2312" w:hAnsi="仿宋_GB2312" w:cs="仿宋_GB2312" w:eastAsia="仿宋_GB2312"/>
        </w:rPr>
        <w:t>详见附件：供应商需要说明的其他内容.docx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详见附件：供应商特定资格证明文件.docx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详见附件：服务响应偏差表.docx</w:t>
      </w:r>
    </w:p>
    <w:p>
      <w:pPr>
        <w:pStyle w:val="null3"/>
        <w:ind w:firstLine="960"/>
      </w:pPr>
      <w:r>
        <w:rPr>
          <w:rFonts w:ascii="仿宋_GB2312" w:hAnsi="仿宋_GB2312" w:cs="仿宋_GB2312" w:eastAsia="仿宋_GB2312"/>
        </w:rPr>
        <w:t>详见附件：磋商响应方案-整体服务方案.docx</w:t>
      </w:r>
    </w:p>
    <w:p>
      <w:pPr>
        <w:pStyle w:val="null3"/>
        <w:ind w:firstLine="960"/>
      </w:pPr>
      <w:r>
        <w:rPr>
          <w:rFonts w:ascii="仿宋_GB2312" w:hAnsi="仿宋_GB2312" w:cs="仿宋_GB2312" w:eastAsia="仿宋_GB2312"/>
        </w:rPr>
        <w:t>详见附件：磋商响应方案-管理能力与质量控制.docx</w:t>
      </w:r>
    </w:p>
    <w:p>
      <w:pPr>
        <w:pStyle w:val="null3"/>
        <w:ind w:firstLine="960"/>
      </w:pPr>
      <w:r>
        <w:rPr>
          <w:rFonts w:ascii="仿宋_GB2312" w:hAnsi="仿宋_GB2312" w:cs="仿宋_GB2312" w:eastAsia="仿宋_GB2312"/>
        </w:rPr>
        <w:t>详见附件：磋商响应方案-质量保证.docx</w:t>
      </w:r>
    </w:p>
    <w:p>
      <w:pPr>
        <w:pStyle w:val="null3"/>
        <w:ind w:firstLine="960"/>
      </w:pPr>
      <w:r>
        <w:rPr>
          <w:rFonts w:ascii="仿宋_GB2312" w:hAnsi="仿宋_GB2312" w:cs="仿宋_GB2312" w:eastAsia="仿宋_GB2312"/>
        </w:rPr>
        <w:t>详见附件：磋商响应方案-实验室保障.docx</w:t>
      </w:r>
    </w:p>
    <w:p>
      <w:pPr>
        <w:pStyle w:val="null3"/>
        <w:ind w:firstLine="960"/>
      </w:pPr>
      <w:r>
        <w:rPr>
          <w:rFonts w:ascii="仿宋_GB2312" w:hAnsi="仿宋_GB2312" w:cs="仿宋_GB2312" w:eastAsia="仿宋_GB2312"/>
        </w:rPr>
        <w:t>详见附件：磋商响应方案-实验室技术能力.docx</w:t>
      </w:r>
    </w:p>
    <w:p>
      <w:pPr>
        <w:pStyle w:val="null3"/>
        <w:ind w:firstLine="960"/>
      </w:pPr>
      <w:r>
        <w:rPr>
          <w:rFonts w:ascii="仿宋_GB2312" w:hAnsi="仿宋_GB2312" w:cs="仿宋_GB2312" w:eastAsia="仿宋_GB2312"/>
        </w:rPr>
        <w:t>详见附件：磋商响应方案-技术能力.docx</w:t>
      </w:r>
    </w:p>
    <w:p>
      <w:pPr>
        <w:pStyle w:val="null3"/>
        <w:ind w:firstLine="960"/>
      </w:pPr>
      <w:r>
        <w:rPr>
          <w:rFonts w:ascii="仿宋_GB2312" w:hAnsi="仿宋_GB2312" w:cs="仿宋_GB2312" w:eastAsia="仿宋_GB2312"/>
        </w:rPr>
        <w:t>详见附件：磋商响应方案-人员配备.docx</w:t>
      </w:r>
    </w:p>
    <w:p>
      <w:pPr>
        <w:pStyle w:val="null3"/>
        <w:ind w:firstLine="960"/>
      </w:pPr>
      <w:r>
        <w:rPr>
          <w:rFonts w:ascii="仿宋_GB2312" w:hAnsi="仿宋_GB2312" w:cs="仿宋_GB2312" w:eastAsia="仿宋_GB2312"/>
        </w:rPr>
        <w:t>详见附件：业绩及相关证明材料.docx</w:t>
      </w:r>
    </w:p>
    <w:p>
      <w:pPr>
        <w:pStyle w:val="null3"/>
        <w:ind w:firstLine="960"/>
      </w:pPr>
      <w:r>
        <w:rPr>
          <w:rFonts w:ascii="仿宋_GB2312" w:hAnsi="仿宋_GB2312" w:cs="仿宋_GB2312" w:eastAsia="仿宋_GB2312"/>
        </w:rPr>
        <w:t>详见附件：供应商需要说明的其他内容.docx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