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209219">
      <w:pPr>
        <w:kinsoku w:val="0"/>
        <w:spacing w:line="360" w:lineRule="auto"/>
        <w:jc w:val="center"/>
        <w:rPr>
          <w:rFonts w:hint="eastAsia" w:ascii="仿宋" w:hAnsi="仿宋" w:eastAsia="仿宋" w:cs="仿宋"/>
          <w:sz w:val="24"/>
          <w:highlight w:val="none"/>
        </w:rPr>
      </w:pPr>
      <w:r>
        <w:rPr>
          <w:rFonts w:hint="eastAsia" w:ascii="仿宋" w:hAnsi="仿宋" w:eastAsia="仿宋" w:cs="仿宋"/>
          <w:strike w:val="0"/>
          <w:dstrike w:val="0"/>
          <w:highlight w:val="none"/>
        </w:rPr>
        <w:t xml:space="preserve"> </w:t>
      </w:r>
      <w:r>
        <w:rPr>
          <w:rFonts w:hint="eastAsia" w:ascii="仿宋" w:hAnsi="仿宋" w:eastAsia="仿宋" w:cs="仿宋"/>
          <w:strike w:val="0"/>
          <w:dstrike w:val="0"/>
          <w:highlight w:val="none"/>
        </w:rPr>
        <w:br w:type="textWrapping"/>
      </w:r>
      <w:r>
        <w:rPr>
          <w:rFonts w:hint="eastAsia" w:ascii="仿宋" w:hAnsi="仿宋" w:eastAsia="仿宋" w:cs="仿宋"/>
          <w:sz w:val="24"/>
          <w:highlight w:val="none"/>
          <w:u w:val="single"/>
          <w:lang w:eastAsia="zh-CN"/>
        </w:rPr>
        <w:t>2026年学生印章采购项目</w:t>
      </w:r>
      <w:r>
        <w:rPr>
          <w:rFonts w:hint="eastAsia" w:ascii="仿宋" w:hAnsi="仿宋" w:eastAsia="仿宋" w:cs="仿宋"/>
          <w:sz w:val="24"/>
          <w:highlight w:val="none"/>
        </w:rPr>
        <w:t>采购合同</w:t>
      </w:r>
    </w:p>
    <w:p w14:paraId="4498AD8F">
      <w:pPr>
        <w:kinsoku w:val="0"/>
        <w:spacing w:line="360" w:lineRule="auto"/>
        <w:ind w:firstLine="600" w:firstLineChars="250"/>
        <w:rPr>
          <w:rFonts w:hint="eastAsia" w:ascii="仿宋" w:hAnsi="仿宋" w:eastAsia="仿宋" w:cs="仿宋"/>
          <w:sz w:val="24"/>
          <w:highlight w:val="none"/>
        </w:rPr>
      </w:pPr>
    </w:p>
    <w:p w14:paraId="3A55EB8B">
      <w:pPr>
        <w:kinsoku w:val="0"/>
        <w:spacing w:line="360" w:lineRule="auto"/>
        <w:ind w:firstLine="600" w:firstLineChars="250"/>
        <w:rPr>
          <w:rFonts w:hint="eastAsia" w:ascii="仿宋" w:hAnsi="仿宋" w:eastAsia="仿宋" w:cs="仿宋"/>
          <w:sz w:val="24"/>
          <w:highlight w:val="none"/>
        </w:rPr>
      </w:pPr>
      <w:r>
        <w:rPr>
          <w:rFonts w:hint="eastAsia" w:ascii="仿宋" w:hAnsi="仿宋" w:eastAsia="仿宋" w:cs="仿宋"/>
          <w:sz w:val="24"/>
          <w:highlight w:val="none"/>
        </w:rPr>
        <w:t>甲方：陕西铁路工程职业技术学院</w:t>
      </w:r>
    </w:p>
    <w:p w14:paraId="26F0CED9">
      <w:pPr>
        <w:kinsoku w:val="0"/>
        <w:spacing w:line="360" w:lineRule="auto"/>
        <w:ind w:firstLine="600" w:firstLineChars="250"/>
        <w:rPr>
          <w:rFonts w:hint="eastAsia" w:ascii="仿宋" w:hAnsi="仿宋" w:eastAsia="仿宋" w:cs="仿宋"/>
          <w:sz w:val="24"/>
          <w:highlight w:val="none"/>
        </w:rPr>
      </w:pPr>
      <w:r>
        <w:rPr>
          <w:rFonts w:hint="eastAsia" w:ascii="仿宋" w:hAnsi="仿宋" w:eastAsia="仿宋" w:cs="仿宋"/>
          <w:sz w:val="24"/>
          <w:highlight w:val="none"/>
        </w:rPr>
        <w:t xml:space="preserve">乙方： </w:t>
      </w:r>
    </w:p>
    <w:p w14:paraId="47E2CE9D">
      <w:pPr>
        <w:kinsoku w:val="0"/>
        <w:spacing w:line="360" w:lineRule="auto"/>
        <w:ind w:firstLine="600" w:firstLineChars="250"/>
        <w:rPr>
          <w:rFonts w:hint="eastAsia" w:ascii="仿宋" w:hAnsi="仿宋" w:eastAsia="仿宋" w:cs="仿宋"/>
          <w:sz w:val="24"/>
          <w:highlight w:val="none"/>
        </w:rPr>
      </w:pPr>
      <w:r>
        <w:rPr>
          <w:rFonts w:hint="eastAsia" w:ascii="仿宋" w:hAnsi="仿宋" w:eastAsia="仿宋" w:cs="仿宋"/>
          <w:sz w:val="24"/>
          <w:highlight w:val="none"/>
        </w:rPr>
        <w:t>根据</w:t>
      </w:r>
      <w:r>
        <w:rPr>
          <w:rFonts w:hint="eastAsia" w:ascii="仿宋" w:hAnsi="仿宋" w:eastAsia="仿宋" w:cs="仿宋"/>
          <w:sz w:val="24"/>
          <w:highlight w:val="none"/>
          <w:lang w:val="zh-CN"/>
        </w:rPr>
        <w:t>《中华人民共和国</w:t>
      </w:r>
      <w:r>
        <w:rPr>
          <w:rFonts w:hint="eastAsia" w:ascii="仿宋" w:hAnsi="仿宋" w:eastAsia="仿宋" w:cs="仿宋"/>
          <w:sz w:val="24"/>
          <w:highlight w:val="none"/>
        </w:rPr>
        <w:t>民法典</w:t>
      </w:r>
      <w:r>
        <w:rPr>
          <w:rFonts w:hint="eastAsia" w:ascii="仿宋" w:hAnsi="仿宋" w:eastAsia="仿宋" w:cs="仿宋"/>
          <w:sz w:val="24"/>
          <w:highlight w:val="none"/>
          <w:lang w:val="zh-CN"/>
        </w:rPr>
        <w:t>》、《中华人民共和国政府采购法》</w:t>
      </w:r>
      <w:r>
        <w:rPr>
          <w:rFonts w:hint="eastAsia" w:ascii="仿宋" w:hAnsi="仿宋" w:eastAsia="仿宋" w:cs="仿宋"/>
          <w:sz w:val="24"/>
          <w:highlight w:val="none"/>
        </w:rPr>
        <w:t>等法律法规，甲方通过公开招标，选定乙方为成交单位。甲、乙双方在平等基础上协商一致，达成如下合同条款:</w:t>
      </w:r>
    </w:p>
    <w:p w14:paraId="3CC3F2ED">
      <w:pPr>
        <w:kinsoku w:val="0"/>
        <w:spacing w:line="360" w:lineRule="auto"/>
        <w:ind w:firstLine="600" w:firstLineChars="250"/>
        <w:rPr>
          <w:rFonts w:hint="eastAsia" w:ascii="仿宋" w:hAnsi="仿宋" w:eastAsia="仿宋" w:cs="仿宋"/>
          <w:sz w:val="24"/>
          <w:highlight w:val="none"/>
        </w:rPr>
      </w:pPr>
      <w:r>
        <w:rPr>
          <w:rFonts w:hint="eastAsia" w:ascii="仿宋" w:hAnsi="仿宋" w:eastAsia="仿宋" w:cs="仿宋"/>
          <w:sz w:val="24"/>
          <w:highlight w:val="none"/>
        </w:rPr>
        <w:t>一、</w:t>
      </w:r>
      <w:r>
        <w:rPr>
          <w:rFonts w:hint="eastAsia" w:ascii="仿宋" w:hAnsi="仿宋" w:eastAsia="仿宋" w:cs="仿宋"/>
          <w:b/>
          <w:sz w:val="24"/>
          <w:highlight w:val="none"/>
        </w:rPr>
        <w:t>合同内容    项目编号/包号：</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20"/>
        <w:gridCol w:w="1260"/>
        <w:gridCol w:w="900"/>
        <w:gridCol w:w="900"/>
        <w:gridCol w:w="900"/>
        <w:gridCol w:w="894"/>
        <w:gridCol w:w="839"/>
      </w:tblGrid>
      <w:tr w14:paraId="31EAD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exact"/>
          <w:jc w:val="center"/>
        </w:trPr>
        <w:tc>
          <w:tcPr>
            <w:tcW w:w="786" w:type="dxa"/>
            <w:vAlign w:val="center"/>
          </w:tcPr>
          <w:p w14:paraId="0F4B9DFC">
            <w:pPr>
              <w:spacing w:line="360" w:lineRule="auto"/>
              <w:jc w:val="center"/>
              <w:rPr>
                <w:rFonts w:hint="eastAsia" w:ascii="仿宋" w:hAnsi="仿宋" w:eastAsia="仿宋" w:cs="仿宋"/>
                <w:b/>
                <w:sz w:val="24"/>
                <w:highlight w:val="none"/>
              </w:rPr>
            </w:pPr>
            <w:r>
              <w:rPr>
                <w:rFonts w:hint="eastAsia" w:ascii="仿宋" w:hAnsi="仿宋" w:eastAsia="仿宋" w:cs="仿宋"/>
                <w:b/>
                <w:sz w:val="24"/>
                <w:highlight w:val="none"/>
              </w:rPr>
              <w:t>序号</w:t>
            </w:r>
          </w:p>
        </w:tc>
        <w:tc>
          <w:tcPr>
            <w:tcW w:w="1620" w:type="dxa"/>
            <w:vAlign w:val="center"/>
          </w:tcPr>
          <w:p w14:paraId="4D3C561A">
            <w:pPr>
              <w:spacing w:line="360" w:lineRule="auto"/>
              <w:jc w:val="center"/>
              <w:rPr>
                <w:rFonts w:hint="eastAsia" w:ascii="仿宋" w:hAnsi="仿宋" w:eastAsia="仿宋" w:cs="仿宋"/>
                <w:b/>
                <w:sz w:val="24"/>
                <w:highlight w:val="none"/>
              </w:rPr>
            </w:pPr>
            <w:r>
              <w:rPr>
                <w:rFonts w:hint="eastAsia" w:ascii="仿宋" w:hAnsi="仿宋" w:eastAsia="仿宋" w:cs="仿宋"/>
                <w:b/>
                <w:sz w:val="24"/>
                <w:highlight w:val="none"/>
              </w:rPr>
              <w:t>产品名称</w:t>
            </w:r>
          </w:p>
        </w:tc>
        <w:tc>
          <w:tcPr>
            <w:tcW w:w="1260" w:type="dxa"/>
            <w:vAlign w:val="center"/>
          </w:tcPr>
          <w:p w14:paraId="479A5A01">
            <w:pPr>
              <w:spacing w:line="360" w:lineRule="auto"/>
              <w:jc w:val="center"/>
              <w:rPr>
                <w:rFonts w:hint="eastAsia" w:ascii="仿宋" w:hAnsi="仿宋" w:eastAsia="仿宋" w:cs="仿宋"/>
                <w:b/>
                <w:sz w:val="24"/>
                <w:highlight w:val="none"/>
              </w:rPr>
            </w:pPr>
            <w:r>
              <w:rPr>
                <w:rFonts w:hint="eastAsia" w:ascii="仿宋" w:hAnsi="仿宋" w:eastAsia="仿宋" w:cs="仿宋"/>
                <w:b/>
                <w:sz w:val="24"/>
                <w:highlight w:val="none"/>
              </w:rPr>
              <w:t>型号</w:t>
            </w:r>
          </w:p>
        </w:tc>
        <w:tc>
          <w:tcPr>
            <w:tcW w:w="900" w:type="dxa"/>
            <w:vAlign w:val="center"/>
          </w:tcPr>
          <w:p w14:paraId="560FF40C">
            <w:pPr>
              <w:spacing w:line="360" w:lineRule="auto"/>
              <w:jc w:val="center"/>
              <w:rPr>
                <w:rFonts w:hint="eastAsia" w:ascii="仿宋" w:hAnsi="仿宋" w:eastAsia="仿宋" w:cs="仿宋"/>
                <w:b/>
                <w:sz w:val="24"/>
                <w:highlight w:val="none"/>
              </w:rPr>
            </w:pPr>
            <w:r>
              <w:rPr>
                <w:rFonts w:hint="eastAsia" w:ascii="仿宋" w:hAnsi="仿宋" w:eastAsia="仿宋" w:cs="仿宋"/>
                <w:b/>
                <w:sz w:val="24"/>
                <w:highlight w:val="none"/>
              </w:rPr>
              <w:t>产地</w:t>
            </w:r>
          </w:p>
        </w:tc>
        <w:tc>
          <w:tcPr>
            <w:tcW w:w="900" w:type="dxa"/>
            <w:vAlign w:val="center"/>
          </w:tcPr>
          <w:p w14:paraId="14E6A6DE">
            <w:pPr>
              <w:spacing w:line="360" w:lineRule="auto"/>
              <w:jc w:val="center"/>
              <w:rPr>
                <w:rFonts w:hint="eastAsia" w:ascii="仿宋" w:hAnsi="仿宋" w:eastAsia="仿宋" w:cs="仿宋"/>
                <w:b/>
                <w:sz w:val="24"/>
                <w:highlight w:val="none"/>
              </w:rPr>
            </w:pPr>
            <w:r>
              <w:rPr>
                <w:rFonts w:hint="eastAsia" w:ascii="仿宋" w:hAnsi="仿宋" w:eastAsia="仿宋" w:cs="仿宋"/>
                <w:b/>
                <w:sz w:val="24"/>
                <w:highlight w:val="none"/>
              </w:rPr>
              <w:t>数量</w:t>
            </w:r>
          </w:p>
        </w:tc>
        <w:tc>
          <w:tcPr>
            <w:tcW w:w="900" w:type="dxa"/>
            <w:vAlign w:val="center"/>
          </w:tcPr>
          <w:p w14:paraId="71ECB9EC">
            <w:pPr>
              <w:spacing w:line="360" w:lineRule="auto"/>
              <w:jc w:val="center"/>
              <w:rPr>
                <w:rFonts w:hint="eastAsia" w:ascii="仿宋" w:hAnsi="仿宋" w:eastAsia="仿宋" w:cs="仿宋"/>
                <w:b/>
                <w:sz w:val="24"/>
                <w:highlight w:val="none"/>
              </w:rPr>
            </w:pPr>
            <w:r>
              <w:rPr>
                <w:rFonts w:hint="eastAsia" w:ascii="仿宋" w:hAnsi="仿宋" w:eastAsia="仿宋" w:cs="仿宋"/>
                <w:b/>
                <w:sz w:val="24"/>
                <w:highlight w:val="none"/>
              </w:rPr>
              <w:t>单价</w:t>
            </w:r>
          </w:p>
        </w:tc>
        <w:tc>
          <w:tcPr>
            <w:tcW w:w="894" w:type="dxa"/>
            <w:vAlign w:val="center"/>
          </w:tcPr>
          <w:p w14:paraId="407F5535">
            <w:pPr>
              <w:spacing w:line="360" w:lineRule="auto"/>
              <w:jc w:val="center"/>
              <w:rPr>
                <w:rFonts w:hint="eastAsia" w:ascii="仿宋" w:hAnsi="仿宋" w:eastAsia="仿宋" w:cs="仿宋"/>
                <w:b/>
                <w:sz w:val="24"/>
                <w:highlight w:val="none"/>
              </w:rPr>
            </w:pPr>
            <w:r>
              <w:rPr>
                <w:rFonts w:hint="eastAsia" w:ascii="仿宋" w:hAnsi="仿宋" w:eastAsia="仿宋" w:cs="仿宋"/>
                <w:b/>
                <w:sz w:val="24"/>
                <w:highlight w:val="none"/>
              </w:rPr>
              <w:t>总价</w:t>
            </w:r>
          </w:p>
        </w:tc>
        <w:tc>
          <w:tcPr>
            <w:tcW w:w="839" w:type="dxa"/>
            <w:vAlign w:val="center"/>
          </w:tcPr>
          <w:p w14:paraId="148D7939">
            <w:pPr>
              <w:spacing w:line="360" w:lineRule="auto"/>
              <w:jc w:val="center"/>
              <w:rPr>
                <w:rFonts w:hint="eastAsia" w:ascii="仿宋" w:hAnsi="仿宋" w:eastAsia="仿宋" w:cs="仿宋"/>
                <w:b/>
                <w:sz w:val="24"/>
                <w:highlight w:val="none"/>
              </w:rPr>
            </w:pPr>
            <w:r>
              <w:rPr>
                <w:rFonts w:hint="eastAsia" w:ascii="仿宋" w:hAnsi="仿宋" w:eastAsia="仿宋" w:cs="仿宋"/>
                <w:b/>
                <w:sz w:val="24"/>
                <w:highlight w:val="none"/>
              </w:rPr>
              <w:t>备注</w:t>
            </w:r>
          </w:p>
        </w:tc>
      </w:tr>
      <w:tr w14:paraId="7AB54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786" w:type="dxa"/>
            <w:vAlign w:val="center"/>
          </w:tcPr>
          <w:p w14:paraId="4DBB24EA">
            <w:pPr>
              <w:adjustRightInd w:val="0"/>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1</w:t>
            </w:r>
          </w:p>
        </w:tc>
        <w:tc>
          <w:tcPr>
            <w:tcW w:w="1620" w:type="dxa"/>
            <w:vAlign w:val="center"/>
          </w:tcPr>
          <w:p w14:paraId="726C43EA">
            <w:pPr>
              <w:adjustRightInd w:val="0"/>
              <w:snapToGrid w:val="0"/>
              <w:spacing w:line="360" w:lineRule="auto"/>
              <w:jc w:val="center"/>
              <w:rPr>
                <w:rFonts w:hint="eastAsia" w:ascii="仿宋" w:hAnsi="仿宋" w:eastAsia="仿宋" w:cs="仿宋"/>
                <w:sz w:val="24"/>
                <w:highlight w:val="none"/>
              </w:rPr>
            </w:pPr>
          </w:p>
        </w:tc>
        <w:tc>
          <w:tcPr>
            <w:tcW w:w="1260" w:type="dxa"/>
            <w:vAlign w:val="center"/>
          </w:tcPr>
          <w:p w14:paraId="3B2F82B9">
            <w:pPr>
              <w:spacing w:line="360" w:lineRule="auto"/>
              <w:jc w:val="center"/>
              <w:rPr>
                <w:rFonts w:hint="eastAsia" w:ascii="仿宋" w:hAnsi="仿宋" w:eastAsia="仿宋" w:cs="仿宋"/>
                <w:sz w:val="24"/>
                <w:highlight w:val="none"/>
              </w:rPr>
            </w:pPr>
          </w:p>
        </w:tc>
        <w:tc>
          <w:tcPr>
            <w:tcW w:w="900" w:type="dxa"/>
            <w:vAlign w:val="center"/>
          </w:tcPr>
          <w:p w14:paraId="5B634CFE">
            <w:pPr>
              <w:spacing w:line="360" w:lineRule="auto"/>
              <w:jc w:val="center"/>
              <w:rPr>
                <w:rFonts w:hint="eastAsia" w:ascii="仿宋" w:hAnsi="仿宋" w:eastAsia="仿宋" w:cs="仿宋"/>
                <w:sz w:val="24"/>
                <w:highlight w:val="none"/>
              </w:rPr>
            </w:pPr>
          </w:p>
        </w:tc>
        <w:tc>
          <w:tcPr>
            <w:tcW w:w="900" w:type="dxa"/>
            <w:vAlign w:val="center"/>
          </w:tcPr>
          <w:p w14:paraId="3FB872C5">
            <w:pPr>
              <w:adjustRightInd w:val="0"/>
              <w:snapToGrid w:val="0"/>
              <w:spacing w:line="360" w:lineRule="auto"/>
              <w:jc w:val="center"/>
              <w:rPr>
                <w:rFonts w:hint="eastAsia" w:ascii="仿宋" w:hAnsi="仿宋" w:eastAsia="仿宋" w:cs="仿宋"/>
                <w:sz w:val="24"/>
                <w:highlight w:val="none"/>
              </w:rPr>
            </w:pPr>
          </w:p>
        </w:tc>
        <w:tc>
          <w:tcPr>
            <w:tcW w:w="900" w:type="dxa"/>
            <w:vAlign w:val="center"/>
          </w:tcPr>
          <w:p w14:paraId="1D7783E9">
            <w:pPr>
              <w:autoSpaceDN w:val="0"/>
              <w:spacing w:line="360" w:lineRule="auto"/>
              <w:jc w:val="center"/>
              <w:textAlignment w:val="center"/>
              <w:rPr>
                <w:rFonts w:hint="eastAsia" w:ascii="仿宋" w:hAnsi="仿宋" w:eastAsia="仿宋" w:cs="仿宋"/>
                <w:sz w:val="24"/>
                <w:highlight w:val="none"/>
              </w:rPr>
            </w:pPr>
          </w:p>
        </w:tc>
        <w:tc>
          <w:tcPr>
            <w:tcW w:w="894" w:type="dxa"/>
            <w:vAlign w:val="center"/>
          </w:tcPr>
          <w:p w14:paraId="4D7E03E4">
            <w:pPr>
              <w:autoSpaceDN w:val="0"/>
              <w:spacing w:line="360" w:lineRule="auto"/>
              <w:jc w:val="center"/>
              <w:textAlignment w:val="center"/>
              <w:rPr>
                <w:rFonts w:hint="eastAsia" w:ascii="仿宋" w:hAnsi="仿宋" w:eastAsia="仿宋" w:cs="仿宋"/>
                <w:sz w:val="24"/>
                <w:highlight w:val="none"/>
              </w:rPr>
            </w:pPr>
          </w:p>
        </w:tc>
        <w:tc>
          <w:tcPr>
            <w:tcW w:w="839" w:type="dxa"/>
            <w:vAlign w:val="center"/>
          </w:tcPr>
          <w:p w14:paraId="0B77D463">
            <w:pPr>
              <w:autoSpaceDN w:val="0"/>
              <w:spacing w:line="360" w:lineRule="auto"/>
              <w:jc w:val="center"/>
              <w:textAlignment w:val="center"/>
              <w:rPr>
                <w:rFonts w:hint="eastAsia" w:ascii="仿宋" w:hAnsi="仿宋" w:eastAsia="仿宋" w:cs="仿宋"/>
                <w:sz w:val="24"/>
                <w:highlight w:val="none"/>
              </w:rPr>
            </w:pPr>
          </w:p>
        </w:tc>
      </w:tr>
      <w:tr w14:paraId="2F516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786" w:type="dxa"/>
            <w:vAlign w:val="center"/>
          </w:tcPr>
          <w:p w14:paraId="64DBC36B">
            <w:pPr>
              <w:adjustRightInd w:val="0"/>
              <w:snapToGrid w:val="0"/>
              <w:spacing w:line="360" w:lineRule="auto"/>
              <w:jc w:val="center"/>
              <w:rPr>
                <w:rFonts w:hint="eastAsia" w:ascii="仿宋" w:hAnsi="仿宋" w:eastAsia="仿宋" w:cs="仿宋"/>
                <w:sz w:val="24"/>
                <w:highlight w:val="none"/>
              </w:rPr>
            </w:pPr>
          </w:p>
        </w:tc>
        <w:tc>
          <w:tcPr>
            <w:tcW w:w="1620" w:type="dxa"/>
            <w:vAlign w:val="center"/>
          </w:tcPr>
          <w:p w14:paraId="03724FE5">
            <w:pPr>
              <w:adjustRightInd w:val="0"/>
              <w:snapToGrid w:val="0"/>
              <w:spacing w:line="360" w:lineRule="auto"/>
              <w:jc w:val="center"/>
              <w:rPr>
                <w:rFonts w:hint="eastAsia" w:ascii="仿宋" w:hAnsi="仿宋" w:eastAsia="仿宋" w:cs="仿宋"/>
                <w:sz w:val="24"/>
                <w:highlight w:val="none"/>
              </w:rPr>
            </w:pPr>
          </w:p>
        </w:tc>
        <w:tc>
          <w:tcPr>
            <w:tcW w:w="1260" w:type="dxa"/>
            <w:vAlign w:val="center"/>
          </w:tcPr>
          <w:p w14:paraId="67AC4504">
            <w:pPr>
              <w:spacing w:line="360" w:lineRule="auto"/>
              <w:jc w:val="center"/>
              <w:rPr>
                <w:rFonts w:hint="eastAsia" w:ascii="仿宋" w:hAnsi="仿宋" w:eastAsia="仿宋" w:cs="仿宋"/>
                <w:sz w:val="24"/>
                <w:highlight w:val="none"/>
              </w:rPr>
            </w:pPr>
          </w:p>
        </w:tc>
        <w:tc>
          <w:tcPr>
            <w:tcW w:w="900" w:type="dxa"/>
            <w:vAlign w:val="center"/>
          </w:tcPr>
          <w:p w14:paraId="4B03AA72">
            <w:pPr>
              <w:spacing w:line="360" w:lineRule="auto"/>
              <w:jc w:val="center"/>
              <w:rPr>
                <w:rFonts w:hint="eastAsia" w:ascii="仿宋" w:hAnsi="仿宋" w:eastAsia="仿宋" w:cs="仿宋"/>
                <w:sz w:val="24"/>
                <w:highlight w:val="none"/>
              </w:rPr>
            </w:pPr>
          </w:p>
        </w:tc>
        <w:tc>
          <w:tcPr>
            <w:tcW w:w="900" w:type="dxa"/>
            <w:vAlign w:val="center"/>
          </w:tcPr>
          <w:p w14:paraId="7CB51C32">
            <w:pPr>
              <w:adjustRightInd w:val="0"/>
              <w:snapToGrid w:val="0"/>
              <w:spacing w:line="360" w:lineRule="auto"/>
              <w:jc w:val="center"/>
              <w:rPr>
                <w:rFonts w:hint="eastAsia" w:ascii="仿宋" w:hAnsi="仿宋" w:eastAsia="仿宋" w:cs="仿宋"/>
                <w:sz w:val="24"/>
                <w:highlight w:val="none"/>
              </w:rPr>
            </w:pPr>
          </w:p>
        </w:tc>
        <w:tc>
          <w:tcPr>
            <w:tcW w:w="900" w:type="dxa"/>
            <w:vAlign w:val="center"/>
          </w:tcPr>
          <w:p w14:paraId="530EB316">
            <w:pPr>
              <w:autoSpaceDN w:val="0"/>
              <w:spacing w:line="360" w:lineRule="auto"/>
              <w:jc w:val="center"/>
              <w:textAlignment w:val="center"/>
              <w:rPr>
                <w:rFonts w:hint="eastAsia" w:ascii="仿宋" w:hAnsi="仿宋" w:eastAsia="仿宋" w:cs="仿宋"/>
                <w:sz w:val="24"/>
                <w:highlight w:val="none"/>
              </w:rPr>
            </w:pPr>
          </w:p>
        </w:tc>
        <w:tc>
          <w:tcPr>
            <w:tcW w:w="894" w:type="dxa"/>
            <w:vAlign w:val="center"/>
          </w:tcPr>
          <w:p w14:paraId="301E14E3">
            <w:pPr>
              <w:autoSpaceDN w:val="0"/>
              <w:spacing w:line="360" w:lineRule="auto"/>
              <w:jc w:val="center"/>
              <w:textAlignment w:val="center"/>
              <w:rPr>
                <w:rFonts w:hint="eastAsia" w:ascii="仿宋" w:hAnsi="仿宋" w:eastAsia="仿宋" w:cs="仿宋"/>
                <w:sz w:val="24"/>
                <w:highlight w:val="none"/>
              </w:rPr>
            </w:pPr>
          </w:p>
        </w:tc>
        <w:tc>
          <w:tcPr>
            <w:tcW w:w="839" w:type="dxa"/>
            <w:vAlign w:val="center"/>
          </w:tcPr>
          <w:p w14:paraId="0CD8E6E6">
            <w:pPr>
              <w:autoSpaceDN w:val="0"/>
              <w:spacing w:line="360" w:lineRule="auto"/>
              <w:jc w:val="center"/>
              <w:textAlignment w:val="center"/>
              <w:rPr>
                <w:rFonts w:hint="eastAsia" w:ascii="仿宋" w:hAnsi="仿宋" w:eastAsia="仿宋" w:cs="仿宋"/>
                <w:sz w:val="24"/>
                <w:highlight w:val="none"/>
              </w:rPr>
            </w:pPr>
          </w:p>
        </w:tc>
      </w:tr>
      <w:tr w14:paraId="31C30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786" w:type="dxa"/>
            <w:vAlign w:val="center"/>
          </w:tcPr>
          <w:p w14:paraId="02D0ABEA">
            <w:pPr>
              <w:adjustRightInd w:val="0"/>
              <w:snapToGrid w:val="0"/>
              <w:spacing w:line="360" w:lineRule="auto"/>
              <w:jc w:val="center"/>
              <w:rPr>
                <w:rFonts w:hint="eastAsia" w:ascii="仿宋" w:hAnsi="仿宋" w:eastAsia="仿宋" w:cs="仿宋"/>
                <w:sz w:val="24"/>
                <w:highlight w:val="none"/>
              </w:rPr>
            </w:pPr>
          </w:p>
        </w:tc>
        <w:tc>
          <w:tcPr>
            <w:tcW w:w="1620" w:type="dxa"/>
            <w:vAlign w:val="center"/>
          </w:tcPr>
          <w:p w14:paraId="25EE969F">
            <w:pPr>
              <w:adjustRightInd w:val="0"/>
              <w:snapToGrid w:val="0"/>
              <w:spacing w:line="360" w:lineRule="auto"/>
              <w:jc w:val="center"/>
              <w:rPr>
                <w:rFonts w:hint="eastAsia" w:ascii="仿宋" w:hAnsi="仿宋" w:eastAsia="仿宋" w:cs="仿宋"/>
                <w:sz w:val="24"/>
                <w:highlight w:val="none"/>
              </w:rPr>
            </w:pPr>
          </w:p>
        </w:tc>
        <w:tc>
          <w:tcPr>
            <w:tcW w:w="1260" w:type="dxa"/>
            <w:vAlign w:val="center"/>
          </w:tcPr>
          <w:p w14:paraId="389BFA7D">
            <w:pPr>
              <w:spacing w:line="360" w:lineRule="auto"/>
              <w:jc w:val="center"/>
              <w:rPr>
                <w:rFonts w:hint="eastAsia" w:ascii="仿宋" w:hAnsi="仿宋" w:eastAsia="仿宋" w:cs="仿宋"/>
                <w:sz w:val="24"/>
                <w:highlight w:val="none"/>
              </w:rPr>
            </w:pPr>
          </w:p>
        </w:tc>
        <w:tc>
          <w:tcPr>
            <w:tcW w:w="900" w:type="dxa"/>
            <w:vAlign w:val="center"/>
          </w:tcPr>
          <w:p w14:paraId="6A841229">
            <w:pPr>
              <w:spacing w:line="360" w:lineRule="auto"/>
              <w:jc w:val="center"/>
              <w:rPr>
                <w:rFonts w:hint="eastAsia" w:ascii="仿宋" w:hAnsi="仿宋" w:eastAsia="仿宋" w:cs="仿宋"/>
                <w:sz w:val="24"/>
                <w:highlight w:val="none"/>
              </w:rPr>
            </w:pPr>
          </w:p>
        </w:tc>
        <w:tc>
          <w:tcPr>
            <w:tcW w:w="900" w:type="dxa"/>
            <w:vAlign w:val="center"/>
          </w:tcPr>
          <w:p w14:paraId="39443347">
            <w:pPr>
              <w:adjustRightInd w:val="0"/>
              <w:snapToGrid w:val="0"/>
              <w:spacing w:line="360" w:lineRule="auto"/>
              <w:jc w:val="center"/>
              <w:rPr>
                <w:rFonts w:hint="eastAsia" w:ascii="仿宋" w:hAnsi="仿宋" w:eastAsia="仿宋" w:cs="仿宋"/>
                <w:sz w:val="24"/>
                <w:highlight w:val="none"/>
              </w:rPr>
            </w:pPr>
          </w:p>
        </w:tc>
        <w:tc>
          <w:tcPr>
            <w:tcW w:w="900" w:type="dxa"/>
            <w:vAlign w:val="center"/>
          </w:tcPr>
          <w:p w14:paraId="2A896D8F">
            <w:pPr>
              <w:autoSpaceDN w:val="0"/>
              <w:spacing w:line="360" w:lineRule="auto"/>
              <w:jc w:val="center"/>
              <w:textAlignment w:val="center"/>
              <w:rPr>
                <w:rFonts w:hint="eastAsia" w:ascii="仿宋" w:hAnsi="仿宋" w:eastAsia="仿宋" w:cs="仿宋"/>
                <w:sz w:val="24"/>
                <w:highlight w:val="none"/>
              </w:rPr>
            </w:pPr>
          </w:p>
        </w:tc>
        <w:tc>
          <w:tcPr>
            <w:tcW w:w="894" w:type="dxa"/>
            <w:vAlign w:val="center"/>
          </w:tcPr>
          <w:p w14:paraId="3F1D6682">
            <w:pPr>
              <w:autoSpaceDN w:val="0"/>
              <w:spacing w:line="360" w:lineRule="auto"/>
              <w:jc w:val="center"/>
              <w:textAlignment w:val="center"/>
              <w:rPr>
                <w:rFonts w:hint="eastAsia" w:ascii="仿宋" w:hAnsi="仿宋" w:eastAsia="仿宋" w:cs="仿宋"/>
                <w:sz w:val="24"/>
                <w:highlight w:val="none"/>
              </w:rPr>
            </w:pPr>
          </w:p>
        </w:tc>
        <w:tc>
          <w:tcPr>
            <w:tcW w:w="839" w:type="dxa"/>
            <w:vAlign w:val="center"/>
          </w:tcPr>
          <w:p w14:paraId="25D90B93">
            <w:pPr>
              <w:autoSpaceDN w:val="0"/>
              <w:spacing w:line="360" w:lineRule="auto"/>
              <w:jc w:val="center"/>
              <w:textAlignment w:val="center"/>
              <w:rPr>
                <w:rFonts w:hint="eastAsia" w:ascii="仿宋" w:hAnsi="仿宋" w:eastAsia="仿宋" w:cs="仿宋"/>
                <w:sz w:val="24"/>
                <w:highlight w:val="none"/>
              </w:rPr>
            </w:pPr>
          </w:p>
        </w:tc>
      </w:tr>
      <w:tr w14:paraId="62984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2406" w:type="dxa"/>
            <w:gridSpan w:val="2"/>
            <w:vAlign w:val="center"/>
          </w:tcPr>
          <w:p w14:paraId="1F4D6DFE">
            <w:pPr>
              <w:adjustRightInd w:val="0"/>
              <w:snapToGrid w:val="0"/>
              <w:spacing w:line="360" w:lineRule="auto"/>
              <w:jc w:val="center"/>
              <w:rPr>
                <w:rFonts w:hint="eastAsia" w:ascii="仿宋" w:hAnsi="仿宋" w:eastAsia="仿宋" w:cs="仿宋"/>
                <w:b/>
                <w:sz w:val="24"/>
                <w:highlight w:val="none"/>
              </w:rPr>
            </w:pPr>
            <w:r>
              <w:rPr>
                <w:rFonts w:hint="eastAsia" w:ascii="仿宋" w:hAnsi="仿宋" w:eastAsia="仿宋" w:cs="仿宋"/>
                <w:b/>
                <w:sz w:val="24"/>
                <w:highlight w:val="none"/>
              </w:rPr>
              <w:t>总计（人民币/元）</w:t>
            </w:r>
          </w:p>
        </w:tc>
        <w:tc>
          <w:tcPr>
            <w:tcW w:w="5693" w:type="dxa"/>
            <w:gridSpan w:val="6"/>
            <w:vAlign w:val="center"/>
          </w:tcPr>
          <w:p w14:paraId="2616B84A">
            <w:pPr>
              <w:adjustRightInd w:val="0"/>
              <w:snapToGrid w:val="0"/>
              <w:spacing w:line="360" w:lineRule="auto"/>
              <w:rPr>
                <w:rFonts w:hint="eastAsia" w:ascii="仿宋" w:hAnsi="仿宋" w:eastAsia="仿宋" w:cs="仿宋"/>
                <w:b/>
                <w:sz w:val="24"/>
                <w:highlight w:val="none"/>
              </w:rPr>
            </w:pPr>
            <w:r>
              <w:rPr>
                <w:rFonts w:hint="eastAsia" w:ascii="仿宋" w:hAnsi="仿宋" w:eastAsia="仿宋" w:cs="仿宋"/>
                <w:b/>
                <w:sz w:val="24"/>
                <w:highlight w:val="none"/>
              </w:rPr>
              <w:t>¥：       （大写）</w:t>
            </w:r>
          </w:p>
        </w:tc>
      </w:tr>
    </w:tbl>
    <w:p w14:paraId="517BAD77">
      <w:pPr>
        <w:kinsoku w:val="0"/>
        <w:spacing w:line="360" w:lineRule="auto"/>
        <w:ind w:firstLine="600" w:firstLineChars="250"/>
        <w:rPr>
          <w:rFonts w:hint="eastAsia" w:ascii="仿宋" w:hAnsi="仿宋" w:eastAsia="仿宋" w:cs="仿宋"/>
          <w:sz w:val="24"/>
          <w:highlight w:val="none"/>
        </w:rPr>
      </w:pPr>
      <w:r>
        <w:rPr>
          <w:rFonts w:hint="eastAsia" w:ascii="仿宋" w:hAnsi="仿宋" w:eastAsia="仿宋" w:cs="仿宋"/>
          <w:sz w:val="24"/>
          <w:highlight w:val="none"/>
        </w:rPr>
        <w:t>（参数较多可以附件说明）</w:t>
      </w:r>
    </w:p>
    <w:p w14:paraId="32F2DE0B">
      <w:pPr>
        <w:kinsoku w:val="0"/>
        <w:spacing w:line="360" w:lineRule="auto"/>
        <w:ind w:firstLine="600" w:firstLineChars="250"/>
        <w:rPr>
          <w:rFonts w:hint="eastAsia" w:ascii="仿宋" w:hAnsi="仿宋" w:eastAsia="仿宋" w:cs="仿宋"/>
          <w:sz w:val="24"/>
          <w:highlight w:val="none"/>
        </w:rPr>
      </w:pPr>
      <w:r>
        <w:rPr>
          <w:rFonts w:hint="eastAsia" w:ascii="仿宋" w:hAnsi="仿宋" w:eastAsia="仿宋" w:cs="仿宋"/>
          <w:sz w:val="24"/>
          <w:highlight w:val="none"/>
        </w:rPr>
        <w:t>乙方负责按以上确定的产品规格、型号及配套内容进行供货，及时运到甲方指定交货地点安装调试，确保所有产品达到最佳运行状态，负责对甲方操作、维护人员进行培训，指导操作、使用和维修保养，做好售后服务工作。</w:t>
      </w:r>
    </w:p>
    <w:p w14:paraId="7A193E7A">
      <w:pPr>
        <w:spacing w:line="360" w:lineRule="auto"/>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二、合同价格</w:t>
      </w:r>
    </w:p>
    <w:p w14:paraId="3614F3B6">
      <w:pPr>
        <w:kinsoku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合同总价：人民币大写：</w:t>
      </w:r>
      <w:r>
        <w:rPr>
          <w:rFonts w:hint="eastAsia" w:ascii="仿宋" w:hAnsi="仿宋" w:eastAsia="仿宋" w:cs="仿宋"/>
          <w:sz w:val="24"/>
          <w:highlight w:val="none"/>
          <w:u w:val="single"/>
        </w:rPr>
        <w:t xml:space="preserve">      </w:t>
      </w:r>
      <w:r>
        <w:rPr>
          <w:rFonts w:hint="eastAsia" w:ascii="仿宋" w:hAnsi="仿宋" w:eastAsia="仿宋" w:cs="仿宋"/>
          <w:b/>
          <w:sz w:val="24"/>
          <w:highlight w:val="none"/>
        </w:rPr>
        <w:t>元整；¥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w:t>
      </w:r>
    </w:p>
    <w:p w14:paraId="3C4FE697">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合同总价包括：产品的供应费及所发生的运输费、杂费（含保险）、商检费、搬运费、安装调试费、培训费等，包括从产品供应地点到交货地点所包含的一切费用。合同总价不可变更，不受市场价变化的影响，不受实际数量变化的影响。</w:t>
      </w:r>
    </w:p>
    <w:p w14:paraId="4A1CF043">
      <w:pPr>
        <w:spacing w:line="360" w:lineRule="auto"/>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三、款项支付</w:t>
      </w:r>
    </w:p>
    <w:p w14:paraId="75FF082B">
      <w:pPr>
        <w:spacing w:line="360" w:lineRule="auto"/>
        <w:ind w:firstLine="480" w:firstLineChars="200"/>
        <w:rPr>
          <w:rFonts w:hint="eastAsia" w:ascii="仿宋" w:hAnsi="仿宋" w:eastAsia="仿宋" w:cs="仿宋"/>
          <w:b w:val="0"/>
          <w:bCs/>
          <w:sz w:val="24"/>
          <w:highlight w:val="none"/>
        </w:rPr>
      </w:pPr>
      <w:r>
        <w:rPr>
          <w:rFonts w:hint="eastAsia" w:ascii="仿宋" w:hAnsi="仿宋" w:eastAsia="仿宋" w:cs="仿宋"/>
          <w:b w:val="0"/>
          <w:bCs/>
          <w:sz w:val="24"/>
          <w:highlight w:val="none"/>
        </w:rPr>
        <w:t>货到验收合格且印章发放学生并确认物品无质量问题后，供货商开具全额增值税发票，达到付款条件起 10 日内，支付合同总金额的 100.00%。</w:t>
      </w:r>
    </w:p>
    <w:p w14:paraId="5D6B5AB3">
      <w:pPr>
        <w:spacing w:line="360" w:lineRule="auto"/>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四、完工条件</w:t>
      </w:r>
    </w:p>
    <w:p w14:paraId="0E2B1853">
      <w:pPr>
        <w:kinsoku w:val="0"/>
        <w:spacing w:line="360" w:lineRule="auto"/>
        <w:ind w:firstLine="600" w:firstLineChars="250"/>
        <w:rPr>
          <w:rFonts w:hint="eastAsia" w:ascii="仿宋" w:hAnsi="仿宋" w:eastAsia="仿宋" w:cs="仿宋"/>
          <w:sz w:val="24"/>
          <w:highlight w:val="none"/>
        </w:rPr>
      </w:pPr>
      <w:r>
        <w:rPr>
          <w:rFonts w:hint="eastAsia" w:ascii="仿宋" w:hAnsi="仿宋" w:eastAsia="仿宋" w:cs="仿宋"/>
          <w:sz w:val="24"/>
          <w:highlight w:val="none"/>
        </w:rPr>
        <w:t>1、项目实施地点：陕西铁路工程职业技术学院指定地点。</w:t>
      </w:r>
      <w:bookmarkStart w:id="0" w:name="_GoBack"/>
      <w:bookmarkEnd w:id="0"/>
    </w:p>
    <w:p w14:paraId="4321A071">
      <w:pPr>
        <w:kinsoku w:val="0"/>
        <w:spacing w:line="360" w:lineRule="auto"/>
        <w:ind w:firstLine="600" w:firstLineChars="250"/>
        <w:rPr>
          <w:rFonts w:hint="eastAsia" w:ascii="仿宋" w:hAnsi="仿宋" w:eastAsia="仿宋" w:cs="仿宋"/>
          <w:sz w:val="24"/>
          <w:highlight w:val="none"/>
        </w:rPr>
      </w:pPr>
      <w:r>
        <w:rPr>
          <w:rFonts w:hint="eastAsia" w:ascii="仿宋" w:hAnsi="仿宋" w:eastAsia="仿宋" w:cs="仿宋"/>
          <w:sz w:val="24"/>
          <w:highlight w:val="none"/>
        </w:rPr>
        <w:t>2、完工日期：中标公告发布之日起10日历日内完成制作，并按照采购方要求的具体交货时间将全部货物运送至指定地点，配合采购方完成验收、分发等工作。</w:t>
      </w:r>
    </w:p>
    <w:p w14:paraId="7ABAC527">
      <w:pPr>
        <w:kinsoku w:val="0"/>
        <w:spacing w:line="360" w:lineRule="auto"/>
        <w:ind w:firstLine="600" w:firstLineChars="250"/>
        <w:rPr>
          <w:rFonts w:hint="eastAsia" w:ascii="仿宋" w:hAnsi="仿宋" w:eastAsia="仿宋" w:cs="仿宋"/>
          <w:sz w:val="24"/>
          <w:highlight w:val="none"/>
        </w:rPr>
      </w:pPr>
      <w:r>
        <w:rPr>
          <w:rFonts w:hint="eastAsia" w:ascii="仿宋" w:hAnsi="仿宋" w:eastAsia="仿宋" w:cs="仿宋"/>
          <w:sz w:val="24"/>
          <w:highlight w:val="none"/>
        </w:rPr>
        <w:t>交付条件：最终验收合格。</w:t>
      </w:r>
    </w:p>
    <w:p w14:paraId="5FE82128">
      <w:pPr>
        <w:spacing w:line="360" w:lineRule="auto"/>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五、运输方式：根据产品特性，由乙方在保证产品质量的前提下，自行选择运输及包装方式，发生的一切费用全部由乙方承担。</w:t>
      </w:r>
    </w:p>
    <w:p w14:paraId="059D36FC">
      <w:pPr>
        <w:spacing w:line="360" w:lineRule="auto"/>
        <w:ind w:firstLine="482" w:firstLineChars="200"/>
        <w:rPr>
          <w:rFonts w:hint="eastAsia" w:ascii="仿宋" w:hAnsi="仿宋" w:eastAsia="仿宋" w:cs="仿宋"/>
          <w:sz w:val="24"/>
          <w:highlight w:val="none"/>
        </w:rPr>
      </w:pPr>
      <w:r>
        <w:rPr>
          <w:rFonts w:hint="eastAsia" w:ascii="仿宋" w:hAnsi="仿宋" w:eastAsia="仿宋" w:cs="仿宋"/>
          <w:b/>
          <w:sz w:val="24"/>
          <w:highlight w:val="none"/>
        </w:rPr>
        <w:t>六、质量保证</w:t>
      </w:r>
    </w:p>
    <w:p w14:paraId="268AB36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1、产品的质量保证期为: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年</w:t>
      </w:r>
      <w:r>
        <w:rPr>
          <w:rFonts w:hint="eastAsia" w:ascii="仿宋" w:hAnsi="仿宋" w:eastAsia="仿宋" w:cs="仿宋"/>
          <w:sz w:val="24"/>
          <w:highlight w:val="none"/>
        </w:rPr>
        <w:t>。</w:t>
      </w:r>
    </w:p>
    <w:p w14:paraId="2F3AB65B">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2、乙方保证所提供的产品质量可靠，进货渠道正常，配置合理，技术性能完全满足招标文件要求；</w:t>
      </w:r>
    </w:p>
    <w:p w14:paraId="3568185C">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若产品所用原材料或加工工艺造成的质量和内外观缺陷问题，由乙方负责解决并承担费用。（乙方保证货物是全新的、未曾使用过的、以优质工艺及材料制造，并保证所供产品的完整性，本合同产品为成套供货，合同总价中已包括满足产品完整运行的附件，备件，配套件等，产品质量应符合国标标准和本合同附件的要求,乙方应随机提供产品检验报告。）</w:t>
      </w:r>
    </w:p>
    <w:p w14:paraId="01509F33">
      <w:pPr>
        <w:adjustRightInd w:val="0"/>
        <w:snapToGrid w:val="0"/>
        <w:spacing w:line="360" w:lineRule="auto"/>
        <w:ind w:firstLine="600" w:firstLineChars="250"/>
        <w:rPr>
          <w:rFonts w:hint="eastAsia" w:ascii="仿宋" w:hAnsi="仿宋" w:eastAsia="仿宋" w:cs="仿宋"/>
          <w:sz w:val="24"/>
          <w:highlight w:val="none"/>
        </w:rPr>
      </w:pPr>
      <w:r>
        <w:rPr>
          <w:rFonts w:hint="eastAsia" w:ascii="仿宋" w:hAnsi="仿宋" w:eastAsia="仿宋" w:cs="仿宋"/>
          <w:sz w:val="24"/>
          <w:highlight w:val="none"/>
        </w:rPr>
        <w:t>4、产品的质保期为产品</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2</w:t>
      </w:r>
      <w:r>
        <w:rPr>
          <w:rFonts w:hint="eastAsia" w:ascii="仿宋" w:hAnsi="仿宋" w:eastAsia="仿宋" w:cs="仿宋"/>
          <w:sz w:val="24"/>
          <w:highlight w:val="none"/>
          <w:u w:val="single"/>
        </w:rPr>
        <w:t xml:space="preserve"> </w:t>
      </w:r>
      <w:r>
        <w:rPr>
          <w:rFonts w:hint="eastAsia" w:ascii="仿宋" w:hAnsi="仿宋" w:eastAsia="仿宋" w:cs="仿宋"/>
          <w:sz w:val="24"/>
          <w:highlight w:val="none"/>
          <w:lang w:val="en-US" w:eastAsia="zh-CN"/>
        </w:rPr>
        <w:t>日</w:t>
      </w:r>
      <w:r>
        <w:rPr>
          <w:rFonts w:hint="eastAsia" w:ascii="仿宋" w:hAnsi="仿宋" w:eastAsia="仿宋" w:cs="仿宋"/>
          <w:sz w:val="24"/>
          <w:highlight w:val="none"/>
        </w:rPr>
        <w:t>质保期内若发生产品质量问题，乙方应立即免费解决；超过质保期的，按照厂家承诺进行。</w:t>
      </w:r>
    </w:p>
    <w:p w14:paraId="40883FC5">
      <w:pPr>
        <w:adjustRightInd w:val="0"/>
        <w:snapToGrid w:val="0"/>
        <w:spacing w:line="360" w:lineRule="auto"/>
        <w:ind w:firstLine="600" w:firstLineChars="250"/>
        <w:rPr>
          <w:rFonts w:hint="eastAsia" w:ascii="仿宋" w:hAnsi="仿宋" w:eastAsia="仿宋" w:cs="仿宋"/>
          <w:bCs/>
          <w:sz w:val="24"/>
          <w:highlight w:val="none"/>
        </w:rPr>
      </w:pPr>
      <w:r>
        <w:rPr>
          <w:rFonts w:hint="eastAsia" w:ascii="仿宋" w:hAnsi="仿宋" w:eastAsia="仿宋" w:cs="仿宋"/>
          <w:sz w:val="24"/>
          <w:highlight w:val="none"/>
        </w:rPr>
        <w:t>5、产品</w:t>
      </w:r>
      <w:r>
        <w:rPr>
          <w:rFonts w:hint="eastAsia" w:ascii="仿宋" w:hAnsi="仿宋" w:eastAsia="仿宋" w:cs="仿宋"/>
          <w:bCs/>
          <w:sz w:val="24"/>
          <w:highlight w:val="none"/>
        </w:rPr>
        <w:t>性能未达到技术要求的，乙方限期内进行整改；整改仍达不到要求的，甲方有权解除合同，保留依法索赔的权利。</w:t>
      </w:r>
    </w:p>
    <w:p w14:paraId="6EBA7356">
      <w:pPr>
        <w:adjustRightInd w:val="0"/>
        <w:snapToGrid w:val="0"/>
        <w:spacing w:line="360" w:lineRule="auto"/>
        <w:ind w:firstLine="600" w:firstLineChars="250"/>
        <w:rPr>
          <w:rFonts w:hint="eastAsia" w:ascii="仿宋" w:hAnsi="仿宋" w:eastAsia="仿宋" w:cs="仿宋"/>
          <w:sz w:val="24"/>
          <w:highlight w:val="none"/>
        </w:rPr>
      </w:pPr>
      <w:r>
        <w:rPr>
          <w:rFonts w:hint="eastAsia" w:ascii="仿宋" w:hAnsi="仿宋" w:eastAsia="仿宋" w:cs="仿宋"/>
          <w:bCs/>
          <w:sz w:val="24"/>
          <w:highlight w:val="none"/>
        </w:rPr>
        <w:t>6、</w:t>
      </w:r>
      <w:r>
        <w:rPr>
          <w:rFonts w:hint="eastAsia" w:ascii="仿宋" w:hAnsi="仿宋" w:eastAsia="仿宋" w:cs="仿宋"/>
          <w:sz w:val="24"/>
          <w:highlight w:val="none"/>
        </w:rPr>
        <w:t>知识产权：即乙方应保证甲方在使用成交货物时，不承担任何涉及知识产权法律诉讼的责任。</w:t>
      </w:r>
    </w:p>
    <w:p w14:paraId="6F5CA403">
      <w:pPr>
        <w:adjustRightInd w:val="0"/>
        <w:snapToGrid w:val="0"/>
        <w:spacing w:line="360" w:lineRule="auto"/>
        <w:ind w:firstLine="600" w:firstLineChars="250"/>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7、需执行的国家相关标准、行业标准、地方标准或者其他标准、规范：</w:t>
      </w:r>
    </w:p>
    <w:p w14:paraId="74E8A22E">
      <w:pPr>
        <w:adjustRightInd w:val="0"/>
        <w:snapToGrid w:val="0"/>
        <w:spacing w:line="360" w:lineRule="auto"/>
        <w:ind w:firstLine="600" w:firstLineChars="250"/>
        <w:rPr>
          <w:rFonts w:hint="default" w:ascii="仿宋" w:hAnsi="仿宋" w:eastAsia="仿宋" w:cs="仿宋"/>
          <w:bCs/>
          <w:sz w:val="24"/>
          <w:highlight w:val="none"/>
          <w:lang w:val="en-US" w:eastAsia="zh-CN"/>
        </w:rPr>
      </w:pPr>
      <w:r>
        <w:rPr>
          <w:rFonts w:hint="default" w:ascii="仿宋" w:hAnsi="仿宋" w:eastAsia="仿宋" w:cs="仿宋"/>
          <w:bCs/>
          <w:sz w:val="24"/>
          <w:highlight w:val="none"/>
          <w:lang w:val="en-US" w:eastAsia="zh-CN"/>
        </w:rPr>
        <w:t>符合国家规定的相关标准和行业标准以及采购需求技术参数标准</w:t>
      </w:r>
      <w:r>
        <w:rPr>
          <w:rFonts w:hint="eastAsia" w:ascii="仿宋" w:hAnsi="仿宋" w:eastAsia="仿宋" w:cs="仿宋"/>
          <w:bCs/>
          <w:sz w:val="24"/>
          <w:highlight w:val="none"/>
          <w:lang w:val="en-US" w:eastAsia="zh-CN"/>
        </w:rPr>
        <w:t>。</w:t>
      </w:r>
    </w:p>
    <w:p w14:paraId="224A0050">
      <w:pPr>
        <w:adjustRightInd w:val="0"/>
        <w:snapToGrid w:val="0"/>
        <w:spacing w:line="360" w:lineRule="auto"/>
        <w:ind w:firstLine="359" w:firstLineChars="149"/>
        <w:rPr>
          <w:rFonts w:hint="eastAsia" w:ascii="仿宋" w:hAnsi="仿宋" w:eastAsia="仿宋" w:cs="仿宋"/>
          <w:b/>
          <w:sz w:val="24"/>
          <w:highlight w:val="none"/>
        </w:rPr>
      </w:pPr>
      <w:r>
        <w:rPr>
          <w:rFonts w:hint="eastAsia" w:ascii="仿宋" w:hAnsi="仿宋" w:eastAsia="仿宋" w:cs="仿宋"/>
          <w:b/>
          <w:sz w:val="24"/>
          <w:highlight w:val="none"/>
        </w:rPr>
        <w:t>七、</w:t>
      </w:r>
      <w:r>
        <w:rPr>
          <w:rFonts w:hint="eastAsia" w:ascii="仿宋" w:hAnsi="仿宋" w:eastAsia="仿宋" w:cs="仿宋"/>
          <w:b/>
          <w:sz w:val="24"/>
          <w:highlight w:val="none"/>
          <w:lang w:val="en-US" w:eastAsia="zh-CN"/>
        </w:rPr>
        <w:t>售后</w:t>
      </w:r>
      <w:r>
        <w:rPr>
          <w:rFonts w:hint="eastAsia" w:ascii="仿宋" w:hAnsi="仿宋" w:eastAsia="仿宋" w:cs="仿宋"/>
          <w:b/>
          <w:sz w:val="24"/>
          <w:highlight w:val="none"/>
        </w:rPr>
        <w:t>服务</w:t>
      </w:r>
    </w:p>
    <w:p w14:paraId="29B1AD2D">
      <w:pPr>
        <w:spacing w:line="360" w:lineRule="auto"/>
        <w:ind w:firstLine="496" w:firstLineChars="207"/>
        <w:rPr>
          <w:rFonts w:hint="eastAsia" w:ascii="仿宋" w:hAnsi="仿宋" w:eastAsia="仿宋" w:cs="仿宋"/>
          <w:sz w:val="24"/>
          <w:highlight w:val="none"/>
        </w:rPr>
      </w:pPr>
      <w:r>
        <w:rPr>
          <w:rFonts w:hint="eastAsia" w:ascii="仿宋" w:hAnsi="仿宋" w:eastAsia="仿宋" w:cs="仿宋"/>
          <w:sz w:val="24"/>
          <w:highlight w:val="none"/>
        </w:rPr>
        <w:t>1、技术资料包括：产品使用说明书、合格证等其它相关资料。</w:t>
      </w:r>
    </w:p>
    <w:p w14:paraId="300DA236">
      <w:pPr>
        <w:spacing w:line="360" w:lineRule="auto"/>
        <w:ind w:firstLine="480" w:firstLineChars="200"/>
        <w:rPr>
          <w:rFonts w:hint="eastAsia" w:ascii="仿宋" w:hAnsi="仿宋" w:eastAsia="仿宋" w:cs="仿宋"/>
          <w:b w:val="0"/>
          <w:bCs/>
          <w:sz w:val="24"/>
          <w:highlight w:val="none"/>
          <w:lang w:val="en-US" w:eastAsia="zh-CN"/>
        </w:rPr>
      </w:pPr>
      <w:r>
        <w:rPr>
          <w:rFonts w:hint="eastAsia" w:ascii="仿宋" w:hAnsi="仿宋" w:eastAsia="仿宋" w:cs="仿宋"/>
          <w:sz w:val="24"/>
          <w:highlight w:val="none"/>
        </w:rPr>
        <w:t>2、</w:t>
      </w:r>
      <w:r>
        <w:rPr>
          <w:rFonts w:hint="eastAsia" w:ascii="仿宋" w:hAnsi="仿宋" w:eastAsia="仿宋" w:cs="仿宋"/>
          <w:b w:val="0"/>
          <w:bCs/>
          <w:sz w:val="24"/>
          <w:highlight w:val="none"/>
        </w:rPr>
        <w:t>按照采购需求的产品技术参数及服务要求进行开标采购，同时按照采购需求完成制作，印章生产达到采购需求的产品加工工艺及包装要求；同时保证所有产品的完好无损包括商品的配套包装，印章含包装及配套质保期一年，质保期内，如有缺漏、损坏等质量问题，由供应商在二日内负责免费调换、补齐或</w:t>
      </w:r>
      <w:r>
        <w:rPr>
          <w:rFonts w:hint="eastAsia" w:ascii="仿宋" w:hAnsi="仿宋" w:eastAsia="仿宋" w:cs="仿宋"/>
          <w:b w:val="0"/>
          <w:bCs/>
          <w:sz w:val="24"/>
          <w:highlight w:val="none"/>
          <w:lang w:val="en-US" w:eastAsia="zh-CN"/>
        </w:rPr>
        <w:t xml:space="preserve">赔偿。 </w:t>
      </w:r>
    </w:p>
    <w:p w14:paraId="6F0BD5A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3、乙方保证产品完全按招标要求提供，若达不到要求，乙方须及时跟甲方沟通协商更换产品，并按照再次验收合格时间相应延长该产品保修期。</w:t>
      </w:r>
    </w:p>
    <w:p w14:paraId="1DD2A044">
      <w:pPr>
        <w:spacing w:line="360" w:lineRule="auto"/>
        <w:ind w:firstLine="360" w:firstLineChars="150"/>
        <w:rPr>
          <w:rFonts w:hint="eastAsia" w:ascii="仿宋" w:hAnsi="仿宋" w:eastAsia="仿宋" w:cs="仿宋"/>
          <w:sz w:val="24"/>
          <w:highlight w:val="none"/>
        </w:rPr>
      </w:pPr>
      <w:r>
        <w:rPr>
          <w:rFonts w:hint="eastAsia" w:ascii="仿宋" w:hAnsi="仿宋" w:eastAsia="仿宋" w:cs="仿宋"/>
          <w:sz w:val="24"/>
          <w:highlight w:val="none"/>
          <w:lang w:val="en-US" w:eastAsia="zh-CN"/>
        </w:rPr>
        <w:t>4</w:t>
      </w:r>
      <w:r>
        <w:rPr>
          <w:rFonts w:hint="eastAsia" w:ascii="仿宋" w:hAnsi="仿宋" w:eastAsia="仿宋" w:cs="仿宋"/>
          <w:sz w:val="24"/>
          <w:highlight w:val="none"/>
        </w:rPr>
        <w:t>、服务承诺：按投标文件中的服务承诺执行。</w:t>
      </w:r>
    </w:p>
    <w:p w14:paraId="3BB41870">
      <w:pPr>
        <w:spacing w:line="360" w:lineRule="auto"/>
        <w:ind w:firstLine="360" w:firstLineChars="150"/>
        <w:rPr>
          <w:rFonts w:hint="eastAsia" w:ascii="仿宋" w:hAnsi="仿宋" w:eastAsia="仿宋" w:cs="仿宋"/>
          <w:sz w:val="24"/>
          <w:highlight w:val="none"/>
        </w:rPr>
      </w:pPr>
      <w:r>
        <w:rPr>
          <w:rFonts w:hint="eastAsia" w:ascii="仿宋" w:hAnsi="仿宋" w:eastAsia="仿宋" w:cs="仿宋"/>
          <w:sz w:val="24"/>
          <w:highlight w:val="none"/>
          <w:lang w:val="en-US" w:eastAsia="zh-CN"/>
        </w:rPr>
        <w:t>5</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交货验收</w:t>
      </w:r>
      <w:r>
        <w:rPr>
          <w:rFonts w:hint="eastAsia" w:ascii="仿宋" w:hAnsi="仿宋" w:eastAsia="仿宋" w:cs="仿宋"/>
          <w:sz w:val="24"/>
          <w:highlight w:val="none"/>
        </w:rPr>
        <w:t>过程中出现的安全责任问题由乙方全权负责。</w:t>
      </w:r>
    </w:p>
    <w:p w14:paraId="287EFF60">
      <w:pPr>
        <w:tabs>
          <w:tab w:val="left" w:pos="5355"/>
        </w:tabs>
        <w:spacing w:line="360" w:lineRule="auto"/>
        <w:ind w:firstLine="506" w:firstLineChars="210"/>
        <w:rPr>
          <w:rFonts w:hint="eastAsia" w:ascii="仿宋" w:hAnsi="仿宋" w:eastAsia="仿宋" w:cs="仿宋"/>
          <w:b/>
          <w:sz w:val="24"/>
          <w:highlight w:val="none"/>
        </w:rPr>
      </w:pPr>
      <w:r>
        <w:rPr>
          <w:rFonts w:hint="eastAsia" w:ascii="仿宋" w:hAnsi="仿宋" w:eastAsia="仿宋" w:cs="仿宋"/>
          <w:b/>
          <w:sz w:val="24"/>
          <w:highlight w:val="none"/>
        </w:rPr>
        <w:t>八、违约责任：</w:t>
      </w:r>
    </w:p>
    <w:p w14:paraId="10588E6C">
      <w:pPr>
        <w:adjustRightInd w:val="0"/>
        <w:snapToGrid w:val="0"/>
        <w:spacing w:line="360" w:lineRule="auto"/>
        <w:ind w:firstLine="480" w:firstLineChars="200"/>
        <w:rPr>
          <w:rFonts w:hint="eastAsia" w:ascii="仿宋" w:hAnsi="仿宋" w:eastAsia="仿宋" w:cs="仿宋"/>
          <w:color w:val="0000FF"/>
          <w:sz w:val="24"/>
          <w:highlight w:val="none"/>
        </w:rPr>
      </w:pPr>
      <w:r>
        <w:rPr>
          <w:rFonts w:hint="eastAsia" w:ascii="仿宋" w:hAnsi="仿宋" w:eastAsia="仿宋" w:cs="仿宋"/>
          <w:sz w:val="24"/>
          <w:highlight w:val="none"/>
        </w:rPr>
        <w:t>1、按《中华人民共和国民法典》中合同部分的相关条款执行。</w:t>
      </w:r>
    </w:p>
    <w:p w14:paraId="26A27A2E">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2、未按合同要求提供产品或产品质量不能满足技术要求，甲方有权终止合同，并保留追究乙方违约责任的权利。</w:t>
      </w:r>
    </w:p>
    <w:p w14:paraId="25A55A3A">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3、时间迟延的，违约方按照每天1‰向对方承担违约责任。产品质量问题违约的，除了按照迟延时间计算违约金外，另可以采取退货、换货等方式，由供方承担一切费用。</w:t>
      </w:r>
    </w:p>
    <w:p w14:paraId="7824A3F5">
      <w:pPr>
        <w:adjustRightInd w:val="0"/>
        <w:snapToGri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4、乙方不得进行债权转让。</w:t>
      </w:r>
    </w:p>
    <w:p w14:paraId="24F60540">
      <w:pPr>
        <w:spacing w:line="360" w:lineRule="auto"/>
        <w:ind w:firstLine="532"/>
        <w:rPr>
          <w:rFonts w:hint="eastAsia" w:ascii="仿宋" w:hAnsi="仿宋" w:eastAsia="仿宋" w:cs="仿宋"/>
          <w:b/>
          <w:sz w:val="24"/>
          <w:highlight w:val="none"/>
        </w:rPr>
      </w:pPr>
      <w:r>
        <w:rPr>
          <w:rFonts w:hint="eastAsia" w:ascii="仿宋" w:hAnsi="仿宋" w:eastAsia="仿宋" w:cs="仿宋"/>
          <w:b/>
          <w:sz w:val="24"/>
          <w:highlight w:val="none"/>
        </w:rPr>
        <w:t>九、产品验收</w:t>
      </w:r>
    </w:p>
    <w:p w14:paraId="443DA40B">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en-US" w:eastAsia="zh-CN"/>
        </w:rPr>
        <w:t>1.</w:t>
      </w:r>
      <w:r>
        <w:rPr>
          <w:rFonts w:hint="eastAsia" w:ascii="仿宋" w:hAnsi="仿宋" w:eastAsia="仿宋" w:cs="仿宋"/>
          <w:sz w:val="24"/>
          <w:highlight w:val="none"/>
        </w:rPr>
        <w:t>验收标准：根据采购需求的产品规格、型号及配套进行验收。</w:t>
      </w:r>
    </w:p>
    <w:p w14:paraId="454D0B92">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2、供应商应保证在要求时间内完成所要求的工作。</w:t>
      </w:r>
    </w:p>
    <w:p w14:paraId="7D67E195">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产品质量要求，符合合同等相关文件的规范要求。</w:t>
      </w:r>
    </w:p>
    <w:p w14:paraId="40217BBE">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产品送货后，在甲方同意验收的情况下，组织相关部门及供应商共同参加的验收小组对该项目进行实物验收并签署验收报告，进行相关交接。在此以前的任何保管、丢失、损坏及供方与第三者发生的责任均与甲方无关。</w:t>
      </w:r>
    </w:p>
    <w:p w14:paraId="5FD905AB">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如验收达不到规定要求，甲方有权要求重新制作或拒绝付款，供应商应承担一切责任，并赔偿由此所造成的损失。</w:t>
      </w:r>
    </w:p>
    <w:p w14:paraId="121100B3">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en-US" w:eastAsia="zh-CN"/>
        </w:rPr>
        <w:t>3、</w:t>
      </w:r>
      <w:r>
        <w:rPr>
          <w:rFonts w:hint="eastAsia" w:ascii="仿宋" w:hAnsi="仿宋" w:eastAsia="仿宋" w:cs="仿宋"/>
          <w:sz w:val="24"/>
          <w:highlight w:val="none"/>
        </w:rPr>
        <w:t>验收合格条件如下：</w:t>
      </w:r>
    </w:p>
    <w:p w14:paraId="31CF0A5F">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（1）产品必须按照购置内容及质量要求执行，完成设计、按照要求的材质生产并达到产品加工工艺及包装要求；</w:t>
      </w:r>
    </w:p>
    <w:p w14:paraId="52263CAF">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（3）产品的材质、工艺、包装等要求与采购要求一致，并达到国家规定的相关标准和行业标准。</w:t>
      </w:r>
    </w:p>
    <w:p w14:paraId="74945230">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（4）在规定时间内完成交货，并得到甲方确认。甲方随机抽检送第三方鉴定中心进行鉴定，并出具相关检测证书，费用由乙方承担。</w:t>
      </w:r>
    </w:p>
    <w:p w14:paraId="7339EF5E">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（5）由甲方组织有关玉石专家对产品的材质、工艺、包装进行抽检验收，抽检比例为产品数量的</w:t>
      </w:r>
      <w:r>
        <w:rPr>
          <w:rFonts w:hint="eastAsia" w:ascii="仿宋" w:hAnsi="仿宋" w:eastAsia="仿宋" w:cs="仿宋"/>
          <w:sz w:val="24"/>
          <w:highlight w:val="none"/>
          <w:lang w:eastAsia="zh-CN"/>
        </w:rPr>
        <w:t>10%</w:t>
      </w:r>
      <w:r>
        <w:rPr>
          <w:rFonts w:hint="eastAsia" w:ascii="仿宋" w:hAnsi="仿宋" w:eastAsia="仿宋" w:cs="仿宋"/>
          <w:sz w:val="24"/>
          <w:highlight w:val="none"/>
        </w:rPr>
        <w:t>，抽检不合格率不高于总样品数量的</w:t>
      </w:r>
      <w:r>
        <w:rPr>
          <w:rFonts w:hint="eastAsia" w:ascii="仿宋" w:hAnsi="仿宋" w:eastAsia="仿宋" w:cs="仿宋"/>
          <w:sz w:val="24"/>
          <w:highlight w:val="none"/>
          <w:lang w:eastAsia="zh-CN"/>
        </w:rPr>
        <w:t>1%</w:t>
      </w:r>
      <w:r>
        <w:rPr>
          <w:rFonts w:hint="eastAsia" w:ascii="仿宋" w:hAnsi="仿宋" w:eastAsia="仿宋" w:cs="仿宋"/>
          <w:sz w:val="24"/>
          <w:highlight w:val="none"/>
        </w:rPr>
        <w:t xml:space="preserve">。具体抽检办法为： </w:t>
      </w:r>
    </w:p>
    <w:tbl>
      <w:tblPr>
        <w:tblStyle w:val="2"/>
        <w:tblW w:w="7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2118"/>
        <w:gridCol w:w="5679"/>
      </w:tblGrid>
      <w:tr w14:paraId="18F36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2118" w:type="dxa"/>
          </w:tcPr>
          <w:p w14:paraId="572A431A">
            <w:pPr>
              <w:adjustRightInd w:val="0"/>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抽检不合格率</w:t>
            </w:r>
          </w:p>
        </w:tc>
        <w:tc>
          <w:tcPr>
            <w:tcW w:w="5679" w:type="dxa"/>
          </w:tcPr>
          <w:p w14:paraId="44D21049">
            <w:pPr>
              <w:adjustRightInd w:val="0"/>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处理办法</w:t>
            </w:r>
          </w:p>
        </w:tc>
      </w:tr>
      <w:tr w14:paraId="2625B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2118" w:type="dxa"/>
          </w:tcPr>
          <w:p w14:paraId="583B96B0">
            <w:pPr>
              <w:adjustRightInd w:val="0"/>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不合格率&lt;1%</w:t>
            </w:r>
          </w:p>
        </w:tc>
        <w:tc>
          <w:tcPr>
            <w:tcW w:w="5679" w:type="dxa"/>
          </w:tcPr>
          <w:p w14:paraId="0F5177C0">
            <w:pPr>
              <w:adjustRightInd w:val="0"/>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合格，进行相应处理。</w:t>
            </w:r>
          </w:p>
        </w:tc>
      </w:tr>
      <w:tr w14:paraId="3BF6E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2118" w:type="dxa"/>
          </w:tcPr>
          <w:p w14:paraId="50A7C7DD">
            <w:pPr>
              <w:adjustRightInd w:val="0"/>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1%&lt;不合格率&lt;10%</w:t>
            </w:r>
          </w:p>
        </w:tc>
        <w:tc>
          <w:tcPr>
            <w:tcW w:w="5679" w:type="dxa"/>
          </w:tcPr>
          <w:p w14:paraId="01E28D64">
            <w:pPr>
              <w:adjustRightInd w:val="0"/>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厂家在3天内对产品总数的10%进行换货处理。</w:t>
            </w:r>
          </w:p>
        </w:tc>
      </w:tr>
      <w:tr w14:paraId="066FD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2118" w:type="dxa"/>
            <w:vAlign w:val="center"/>
          </w:tcPr>
          <w:p w14:paraId="06EBD580">
            <w:pPr>
              <w:adjustRightInd w:val="0"/>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不合格率&gt;10%</w:t>
            </w:r>
          </w:p>
        </w:tc>
        <w:tc>
          <w:tcPr>
            <w:tcW w:w="5679" w:type="dxa"/>
          </w:tcPr>
          <w:p w14:paraId="75E08903">
            <w:pPr>
              <w:adjustRightInd w:val="0"/>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验收不合格，成交供应商按照合同成交价2倍赔偿甲方。</w:t>
            </w:r>
          </w:p>
        </w:tc>
      </w:tr>
    </w:tbl>
    <w:p w14:paraId="185B99AB">
      <w:pPr>
        <w:spacing w:line="360" w:lineRule="auto"/>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十、合同争议的解决：</w:t>
      </w:r>
    </w:p>
    <w:p w14:paraId="46488692">
      <w:pPr>
        <w:tabs>
          <w:tab w:val="left" w:pos="5355"/>
        </w:tabs>
        <w:spacing w:line="360" w:lineRule="auto"/>
        <w:ind w:firstLine="480" w:firstLineChars="200"/>
        <w:rPr>
          <w:rFonts w:hint="eastAsia" w:ascii="仿宋" w:hAnsi="仿宋" w:eastAsia="仿宋" w:cs="仿宋"/>
          <w:b/>
          <w:sz w:val="24"/>
          <w:highlight w:val="none"/>
        </w:rPr>
      </w:pPr>
      <w:r>
        <w:rPr>
          <w:rFonts w:hint="eastAsia" w:ascii="仿宋" w:hAnsi="仿宋" w:eastAsia="仿宋" w:cs="仿宋"/>
          <w:sz w:val="24"/>
          <w:highlight w:val="none"/>
        </w:rPr>
        <w:t>合同一经签订，不得随意变更、中止或终止。对确需变更、调整或者中止、终止合同的，应按规定履行相应的手续。</w:t>
      </w:r>
    </w:p>
    <w:p w14:paraId="0D0D96E8">
      <w:pPr>
        <w:tabs>
          <w:tab w:val="left" w:pos="5355"/>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合同执行中发生争议的，甲、乙双方应协商解决，协商达不成一致时，可向甲方所在地人民法院提请诉讼。</w:t>
      </w:r>
    </w:p>
    <w:p w14:paraId="75BB0606">
      <w:pPr>
        <w:tabs>
          <w:tab w:val="left" w:pos="980"/>
        </w:tabs>
        <w:spacing w:line="360" w:lineRule="auto"/>
        <w:ind w:firstLine="482" w:firstLineChars="200"/>
        <w:rPr>
          <w:rFonts w:hint="eastAsia" w:ascii="仿宋" w:hAnsi="仿宋" w:eastAsia="仿宋" w:cs="仿宋"/>
          <w:sz w:val="24"/>
          <w:highlight w:val="none"/>
        </w:rPr>
      </w:pPr>
      <w:r>
        <w:rPr>
          <w:rFonts w:hint="eastAsia" w:ascii="仿宋" w:hAnsi="仿宋" w:eastAsia="仿宋" w:cs="仿宋"/>
          <w:b/>
          <w:sz w:val="24"/>
          <w:highlight w:val="none"/>
        </w:rPr>
        <w:t>十</w:t>
      </w:r>
      <w:r>
        <w:rPr>
          <w:rFonts w:hint="eastAsia" w:ascii="仿宋" w:hAnsi="仿宋" w:eastAsia="仿宋" w:cs="仿宋"/>
          <w:b/>
          <w:sz w:val="24"/>
          <w:highlight w:val="none"/>
          <w:lang w:val="en-US" w:eastAsia="zh-CN"/>
        </w:rPr>
        <w:t>一</w:t>
      </w:r>
      <w:r>
        <w:rPr>
          <w:rFonts w:hint="eastAsia" w:ascii="仿宋" w:hAnsi="仿宋" w:eastAsia="仿宋" w:cs="仿宋"/>
          <w:b/>
          <w:sz w:val="24"/>
          <w:highlight w:val="none"/>
        </w:rPr>
        <w:t>、本合同一式陆份，</w:t>
      </w:r>
      <w:r>
        <w:rPr>
          <w:rFonts w:hint="eastAsia" w:ascii="仿宋" w:hAnsi="仿宋" w:eastAsia="仿宋" w:cs="仿宋"/>
          <w:color w:val="000000"/>
          <w:sz w:val="24"/>
          <w:highlight w:val="none"/>
        </w:rPr>
        <w:t>甲方肆份，乙方贰份。签字盖章后生效，合同执行完</w:t>
      </w:r>
      <w:r>
        <w:rPr>
          <w:rFonts w:hint="eastAsia" w:ascii="仿宋" w:hAnsi="仿宋" w:eastAsia="仿宋" w:cs="仿宋"/>
          <w:sz w:val="24"/>
          <w:highlight w:val="none"/>
        </w:rPr>
        <w:t>毕自动失效。（合同的服务承诺则长期有效）。</w:t>
      </w:r>
    </w:p>
    <w:p w14:paraId="0E95FDFD">
      <w:pPr>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sz w:val="24"/>
          <w:highlight w:val="none"/>
        </w:rPr>
        <w:t>十</w:t>
      </w:r>
      <w:r>
        <w:rPr>
          <w:rFonts w:hint="eastAsia" w:ascii="仿宋" w:hAnsi="仿宋" w:eastAsia="仿宋" w:cs="仿宋"/>
          <w:b/>
          <w:sz w:val="24"/>
          <w:highlight w:val="none"/>
          <w:lang w:val="en-US" w:eastAsia="zh-CN"/>
        </w:rPr>
        <w:t>二</w:t>
      </w:r>
      <w:r>
        <w:rPr>
          <w:rFonts w:hint="eastAsia" w:ascii="仿宋" w:hAnsi="仿宋" w:eastAsia="仿宋" w:cs="仿宋"/>
          <w:b/>
          <w:sz w:val="24"/>
          <w:highlight w:val="none"/>
        </w:rPr>
        <w:t>、其它</w:t>
      </w:r>
      <w:r>
        <w:rPr>
          <w:rFonts w:hint="eastAsia" w:ascii="仿宋" w:hAnsi="仿宋" w:eastAsia="仿宋" w:cs="仿宋"/>
          <w:b/>
          <w:bCs/>
          <w:sz w:val="24"/>
          <w:highlight w:val="none"/>
        </w:rPr>
        <w:t>（乙方信息全部为必填项）</w:t>
      </w:r>
    </w:p>
    <w:p w14:paraId="2FFCD8E2">
      <w:pPr>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5D7950BB">
      <w:pPr>
        <w:spacing w:line="360" w:lineRule="auto"/>
        <w:ind w:firstLine="482" w:firstLineChars="200"/>
        <w:rPr>
          <w:rFonts w:hint="eastAsia" w:ascii="仿宋" w:hAnsi="仿宋" w:eastAsia="仿宋" w:cs="仿宋"/>
          <w:b/>
          <w:bCs/>
          <w:sz w:val="24"/>
          <w:highlight w:val="none"/>
        </w:rPr>
      </w:pPr>
    </w:p>
    <w:p w14:paraId="7DA30050">
      <w:pPr>
        <w:spacing w:line="360" w:lineRule="auto"/>
        <w:ind w:firstLine="482" w:firstLineChars="200"/>
        <w:rPr>
          <w:rFonts w:hint="eastAsia" w:ascii="仿宋" w:hAnsi="仿宋" w:eastAsia="仿宋" w:cs="仿宋"/>
          <w:b/>
          <w:bCs/>
          <w:sz w:val="24"/>
          <w:highlight w:val="none"/>
        </w:rPr>
      </w:pP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28"/>
        <w:gridCol w:w="4629"/>
      </w:tblGrid>
      <w:tr w14:paraId="7A545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628" w:type="dxa"/>
            <w:tcBorders>
              <w:top w:val="single" w:color="auto" w:sz="4" w:space="0"/>
              <w:left w:val="single" w:color="auto" w:sz="4" w:space="0"/>
              <w:bottom w:val="single" w:color="auto" w:sz="4" w:space="0"/>
              <w:right w:val="single" w:color="auto" w:sz="4" w:space="0"/>
            </w:tcBorders>
            <w:vAlign w:val="center"/>
          </w:tcPr>
          <w:p w14:paraId="6AFC1063">
            <w:pPr>
              <w:spacing w:line="360" w:lineRule="auto"/>
              <w:jc w:val="left"/>
              <w:rPr>
                <w:rFonts w:hint="eastAsia" w:ascii="仿宋" w:hAnsi="仿宋" w:eastAsia="仿宋" w:cs="仿宋"/>
                <w:sz w:val="24"/>
                <w:highlight w:val="none"/>
              </w:rPr>
            </w:pPr>
            <w:r>
              <w:rPr>
                <w:rFonts w:hint="eastAsia" w:ascii="仿宋" w:hAnsi="仿宋" w:eastAsia="仿宋" w:cs="仿宋"/>
                <w:sz w:val="24"/>
                <w:highlight w:val="none"/>
              </w:rPr>
              <w:t>甲  方</w:t>
            </w:r>
          </w:p>
        </w:tc>
        <w:tc>
          <w:tcPr>
            <w:tcW w:w="4629" w:type="dxa"/>
            <w:tcBorders>
              <w:top w:val="single" w:color="auto" w:sz="4" w:space="0"/>
              <w:left w:val="single" w:color="auto" w:sz="4" w:space="0"/>
              <w:bottom w:val="single" w:color="auto" w:sz="4" w:space="0"/>
              <w:right w:val="single" w:color="auto" w:sz="4" w:space="0"/>
            </w:tcBorders>
            <w:vAlign w:val="center"/>
          </w:tcPr>
          <w:p w14:paraId="0A55C781">
            <w:pPr>
              <w:spacing w:line="360" w:lineRule="auto"/>
              <w:jc w:val="left"/>
              <w:rPr>
                <w:rFonts w:hint="eastAsia" w:ascii="仿宋" w:hAnsi="仿宋" w:eastAsia="仿宋" w:cs="仿宋"/>
                <w:sz w:val="24"/>
                <w:highlight w:val="none"/>
              </w:rPr>
            </w:pPr>
            <w:r>
              <w:rPr>
                <w:rFonts w:hint="eastAsia" w:ascii="仿宋" w:hAnsi="仿宋" w:eastAsia="仿宋" w:cs="仿宋"/>
                <w:sz w:val="24"/>
                <w:highlight w:val="none"/>
              </w:rPr>
              <w:t>乙  方</w:t>
            </w:r>
          </w:p>
        </w:tc>
      </w:tr>
      <w:tr w14:paraId="357F6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5" w:hRule="atLeast"/>
          <w:jc w:val="center"/>
        </w:trPr>
        <w:tc>
          <w:tcPr>
            <w:tcW w:w="4628" w:type="dxa"/>
            <w:tcBorders>
              <w:top w:val="single" w:color="auto" w:sz="4" w:space="0"/>
              <w:left w:val="single" w:color="auto" w:sz="4" w:space="0"/>
              <w:bottom w:val="single" w:color="auto" w:sz="4" w:space="0"/>
              <w:right w:val="single" w:color="auto" w:sz="4" w:space="0"/>
            </w:tcBorders>
            <w:vAlign w:val="center"/>
          </w:tcPr>
          <w:p w14:paraId="381F0017">
            <w:pPr>
              <w:spacing w:line="360" w:lineRule="auto"/>
              <w:jc w:val="left"/>
              <w:rPr>
                <w:rFonts w:hint="eastAsia" w:ascii="仿宋" w:hAnsi="仿宋" w:eastAsia="仿宋" w:cs="仿宋"/>
                <w:sz w:val="24"/>
                <w:highlight w:val="none"/>
              </w:rPr>
            </w:pPr>
            <w:r>
              <w:rPr>
                <w:rFonts w:hint="eastAsia" w:ascii="仿宋" w:hAnsi="仿宋" w:eastAsia="仿宋" w:cs="仿宋"/>
                <w:sz w:val="24"/>
                <w:highlight w:val="none"/>
              </w:rPr>
              <w:t>（盖章）</w:t>
            </w:r>
          </w:p>
        </w:tc>
        <w:tc>
          <w:tcPr>
            <w:tcW w:w="4629" w:type="dxa"/>
            <w:tcBorders>
              <w:top w:val="single" w:color="auto" w:sz="4" w:space="0"/>
              <w:left w:val="single" w:color="auto" w:sz="4" w:space="0"/>
              <w:bottom w:val="single" w:color="auto" w:sz="4" w:space="0"/>
              <w:right w:val="single" w:color="auto" w:sz="4" w:space="0"/>
            </w:tcBorders>
            <w:vAlign w:val="center"/>
          </w:tcPr>
          <w:p w14:paraId="79450368">
            <w:pPr>
              <w:spacing w:line="360" w:lineRule="auto"/>
              <w:jc w:val="left"/>
              <w:rPr>
                <w:rFonts w:hint="eastAsia" w:ascii="仿宋" w:hAnsi="仿宋" w:eastAsia="仿宋" w:cs="仿宋"/>
                <w:sz w:val="24"/>
                <w:highlight w:val="none"/>
              </w:rPr>
            </w:pPr>
            <w:r>
              <w:rPr>
                <w:rFonts w:hint="eastAsia" w:ascii="仿宋" w:hAnsi="仿宋" w:eastAsia="仿宋" w:cs="仿宋"/>
                <w:sz w:val="24"/>
                <w:highlight w:val="none"/>
              </w:rPr>
              <w:t>成交单位全称</w:t>
            </w:r>
          </w:p>
          <w:p w14:paraId="44D63216">
            <w:pPr>
              <w:spacing w:line="360" w:lineRule="auto"/>
              <w:jc w:val="left"/>
              <w:rPr>
                <w:rFonts w:hint="eastAsia" w:ascii="仿宋" w:hAnsi="仿宋" w:eastAsia="仿宋" w:cs="仿宋"/>
                <w:sz w:val="24"/>
                <w:highlight w:val="none"/>
              </w:rPr>
            </w:pPr>
            <w:r>
              <w:rPr>
                <w:rFonts w:hint="eastAsia" w:ascii="仿宋" w:hAnsi="仿宋" w:eastAsia="仿宋" w:cs="仿宋"/>
                <w:sz w:val="24"/>
                <w:highlight w:val="none"/>
              </w:rPr>
              <w:t>（盖章）</w:t>
            </w:r>
          </w:p>
        </w:tc>
      </w:tr>
      <w:tr w14:paraId="5F2F6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4628" w:type="dxa"/>
            <w:tcBorders>
              <w:top w:val="single" w:color="auto" w:sz="4" w:space="0"/>
              <w:left w:val="single" w:color="auto" w:sz="4" w:space="0"/>
              <w:bottom w:val="single" w:color="auto" w:sz="4" w:space="0"/>
              <w:right w:val="single" w:color="auto" w:sz="4" w:space="0"/>
            </w:tcBorders>
            <w:vAlign w:val="center"/>
          </w:tcPr>
          <w:p w14:paraId="6E4A9212">
            <w:pPr>
              <w:spacing w:line="360" w:lineRule="auto"/>
              <w:jc w:val="left"/>
              <w:rPr>
                <w:rFonts w:hint="eastAsia" w:ascii="仿宋" w:hAnsi="仿宋" w:eastAsia="仿宋" w:cs="仿宋"/>
                <w:sz w:val="24"/>
                <w:highlight w:val="none"/>
              </w:rPr>
            </w:pPr>
            <w:r>
              <w:rPr>
                <w:rFonts w:hint="eastAsia" w:ascii="仿宋" w:hAnsi="仿宋" w:eastAsia="仿宋" w:cs="仿宋"/>
                <w:sz w:val="24"/>
                <w:highlight w:val="none"/>
              </w:rPr>
              <w:t>地址：</w:t>
            </w:r>
          </w:p>
        </w:tc>
        <w:tc>
          <w:tcPr>
            <w:tcW w:w="4629" w:type="dxa"/>
            <w:tcBorders>
              <w:top w:val="single" w:color="auto" w:sz="4" w:space="0"/>
              <w:left w:val="single" w:color="auto" w:sz="4" w:space="0"/>
              <w:bottom w:val="single" w:color="auto" w:sz="4" w:space="0"/>
              <w:right w:val="single" w:color="auto" w:sz="4" w:space="0"/>
            </w:tcBorders>
            <w:vAlign w:val="center"/>
          </w:tcPr>
          <w:p w14:paraId="6EB1D267">
            <w:pPr>
              <w:jc w:val="left"/>
              <w:rPr>
                <w:rFonts w:hint="eastAsia" w:ascii="仿宋" w:hAnsi="仿宋" w:eastAsia="仿宋" w:cs="仿宋"/>
                <w:sz w:val="24"/>
                <w:highlight w:val="none"/>
              </w:rPr>
            </w:pPr>
            <w:r>
              <w:rPr>
                <w:rFonts w:hint="eastAsia" w:ascii="仿宋" w:hAnsi="仿宋" w:eastAsia="仿宋" w:cs="仿宋"/>
                <w:sz w:val="24"/>
                <w:highlight w:val="none"/>
              </w:rPr>
              <w:t>地址：</w:t>
            </w:r>
          </w:p>
        </w:tc>
      </w:tr>
      <w:tr w14:paraId="6B761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628" w:type="dxa"/>
            <w:tcBorders>
              <w:top w:val="single" w:color="auto" w:sz="4" w:space="0"/>
              <w:left w:val="single" w:color="auto" w:sz="4" w:space="0"/>
              <w:bottom w:val="single" w:color="auto" w:sz="4" w:space="0"/>
              <w:right w:val="single" w:color="auto" w:sz="4" w:space="0"/>
            </w:tcBorders>
            <w:vAlign w:val="center"/>
          </w:tcPr>
          <w:p w14:paraId="437ACA6C">
            <w:pPr>
              <w:spacing w:line="360" w:lineRule="auto"/>
              <w:jc w:val="left"/>
              <w:rPr>
                <w:rFonts w:hint="eastAsia" w:ascii="仿宋" w:hAnsi="仿宋" w:eastAsia="仿宋" w:cs="仿宋"/>
                <w:sz w:val="24"/>
                <w:highlight w:val="none"/>
              </w:rPr>
            </w:pPr>
            <w:r>
              <w:rPr>
                <w:rFonts w:hint="eastAsia" w:ascii="仿宋" w:hAnsi="仿宋" w:eastAsia="仿宋" w:cs="仿宋"/>
                <w:sz w:val="24"/>
                <w:highlight w:val="none"/>
              </w:rPr>
              <w:t>邮编：</w:t>
            </w:r>
          </w:p>
        </w:tc>
        <w:tc>
          <w:tcPr>
            <w:tcW w:w="4629" w:type="dxa"/>
            <w:tcBorders>
              <w:top w:val="single" w:color="auto" w:sz="4" w:space="0"/>
              <w:left w:val="single" w:color="auto" w:sz="4" w:space="0"/>
              <w:bottom w:val="single" w:color="auto" w:sz="4" w:space="0"/>
              <w:right w:val="single" w:color="auto" w:sz="4" w:space="0"/>
            </w:tcBorders>
            <w:vAlign w:val="center"/>
          </w:tcPr>
          <w:p w14:paraId="78C575B1">
            <w:pPr>
              <w:spacing w:line="360" w:lineRule="auto"/>
              <w:jc w:val="left"/>
              <w:rPr>
                <w:rFonts w:hint="eastAsia" w:ascii="仿宋" w:hAnsi="仿宋" w:eastAsia="仿宋" w:cs="仿宋"/>
                <w:sz w:val="24"/>
                <w:highlight w:val="none"/>
              </w:rPr>
            </w:pPr>
            <w:r>
              <w:rPr>
                <w:rFonts w:hint="eastAsia" w:ascii="仿宋" w:hAnsi="仿宋" w:eastAsia="仿宋" w:cs="仿宋"/>
                <w:sz w:val="24"/>
                <w:highlight w:val="none"/>
              </w:rPr>
              <w:t>邮编：</w:t>
            </w:r>
          </w:p>
        </w:tc>
      </w:tr>
      <w:tr w14:paraId="69660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628" w:type="dxa"/>
            <w:vMerge w:val="restart"/>
            <w:tcBorders>
              <w:top w:val="single" w:color="auto" w:sz="4" w:space="0"/>
              <w:left w:val="single" w:color="auto" w:sz="4" w:space="0"/>
              <w:right w:val="single" w:color="auto" w:sz="4" w:space="0"/>
            </w:tcBorders>
            <w:vAlign w:val="center"/>
          </w:tcPr>
          <w:p w14:paraId="58453F34">
            <w:pPr>
              <w:spacing w:line="360" w:lineRule="auto"/>
              <w:jc w:val="left"/>
              <w:rPr>
                <w:rFonts w:hint="eastAsia" w:ascii="仿宋" w:hAnsi="仿宋" w:eastAsia="仿宋" w:cs="仿宋"/>
                <w:sz w:val="24"/>
                <w:highlight w:val="none"/>
              </w:rPr>
            </w:pPr>
            <w:r>
              <w:rPr>
                <w:rFonts w:hint="eastAsia" w:ascii="仿宋" w:hAnsi="仿宋" w:eastAsia="仿宋" w:cs="仿宋"/>
                <w:sz w:val="24"/>
                <w:highlight w:val="none"/>
              </w:rPr>
              <w:t>法定代表人：（签字）</w:t>
            </w:r>
          </w:p>
        </w:tc>
        <w:tc>
          <w:tcPr>
            <w:tcW w:w="4629" w:type="dxa"/>
            <w:tcBorders>
              <w:top w:val="single" w:color="auto" w:sz="4" w:space="0"/>
              <w:left w:val="single" w:color="auto" w:sz="4" w:space="0"/>
              <w:bottom w:val="single" w:color="auto" w:sz="4" w:space="0"/>
              <w:right w:val="single" w:color="auto" w:sz="4" w:space="0"/>
            </w:tcBorders>
            <w:vAlign w:val="center"/>
          </w:tcPr>
          <w:p w14:paraId="724D832A">
            <w:pPr>
              <w:spacing w:line="360" w:lineRule="auto"/>
              <w:jc w:val="left"/>
              <w:rPr>
                <w:rFonts w:hint="eastAsia" w:ascii="仿宋" w:hAnsi="仿宋" w:eastAsia="仿宋" w:cs="仿宋"/>
                <w:sz w:val="24"/>
                <w:highlight w:val="none"/>
              </w:rPr>
            </w:pPr>
            <w:r>
              <w:rPr>
                <w:rFonts w:hint="eastAsia" w:ascii="仿宋" w:hAnsi="仿宋" w:eastAsia="仿宋" w:cs="仿宋"/>
                <w:sz w:val="24"/>
                <w:highlight w:val="none"/>
              </w:rPr>
              <w:t>法定代表人：</w:t>
            </w:r>
          </w:p>
        </w:tc>
      </w:tr>
      <w:tr w14:paraId="58795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4628" w:type="dxa"/>
            <w:vMerge w:val="continue"/>
            <w:tcBorders>
              <w:left w:val="single" w:color="auto" w:sz="4" w:space="0"/>
              <w:bottom w:val="single" w:color="auto" w:sz="4" w:space="0"/>
              <w:right w:val="single" w:color="auto" w:sz="4" w:space="0"/>
            </w:tcBorders>
            <w:vAlign w:val="center"/>
          </w:tcPr>
          <w:p w14:paraId="664FB515">
            <w:pPr>
              <w:spacing w:line="360" w:lineRule="auto"/>
              <w:jc w:val="left"/>
              <w:rPr>
                <w:rFonts w:hint="eastAsia" w:ascii="仿宋" w:hAnsi="仿宋" w:eastAsia="仿宋" w:cs="仿宋"/>
                <w:sz w:val="24"/>
                <w:highlight w:val="none"/>
              </w:rPr>
            </w:pPr>
          </w:p>
        </w:tc>
        <w:tc>
          <w:tcPr>
            <w:tcW w:w="4629" w:type="dxa"/>
            <w:tcBorders>
              <w:top w:val="single" w:color="auto" w:sz="4" w:space="0"/>
              <w:left w:val="single" w:color="auto" w:sz="4" w:space="0"/>
              <w:bottom w:val="single" w:color="auto" w:sz="4" w:space="0"/>
              <w:right w:val="single" w:color="auto" w:sz="4" w:space="0"/>
            </w:tcBorders>
            <w:vAlign w:val="center"/>
          </w:tcPr>
          <w:p w14:paraId="00543DE4">
            <w:pPr>
              <w:spacing w:line="360" w:lineRule="auto"/>
              <w:jc w:val="left"/>
              <w:rPr>
                <w:rFonts w:hint="eastAsia" w:ascii="仿宋" w:hAnsi="仿宋" w:eastAsia="仿宋" w:cs="仿宋"/>
                <w:sz w:val="24"/>
                <w:highlight w:val="none"/>
              </w:rPr>
            </w:pPr>
            <w:r>
              <w:rPr>
                <w:rFonts w:hint="eastAsia" w:ascii="仿宋" w:hAnsi="仿宋" w:eastAsia="仿宋" w:cs="仿宋"/>
                <w:sz w:val="24"/>
                <w:highlight w:val="none"/>
              </w:rPr>
              <w:t>被授权代表：（签字）</w:t>
            </w:r>
          </w:p>
        </w:tc>
      </w:tr>
      <w:tr w14:paraId="6FCAD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628" w:type="dxa"/>
            <w:tcBorders>
              <w:top w:val="single" w:color="auto" w:sz="4" w:space="0"/>
              <w:left w:val="single" w:color="auto" w:sz="4" w:space="0"/>
              <w:bottom w:val="single" w:color="auto" w:sz="4" w:space="0"/>
              <w:right w:val="single" w:color="auto" w:sz="4" w:space="0"/>
            </w:tcBorders>
            <w:vAlign w:val="center"/>
          </w:tcPr>
          <w:p w14:paraId="24C06399">
            <w:pPr>
              <w:spacing w:line="360" w:lineRule="auto"/>
              <w:jc w:val="left"/>
              <w:rPr>
                <w:rFonts w:hint="eastAsia" w:ascii="仿宋" w:hAnsi="仿宋" w:eastAsia="仿宋" w:cs="仿宋"/>
                <w:sz w:val="24"/>
                <w:highlight w:val="none"/>
              </w:rPr>
            </w:pPr>
            <w:r>
              <w:rPr>
                <w:rFonts w:hint="eastAsia" w:ascii="仿宋" w:hAnsi="仿宋" w:eastAsia="仿宋" w:cs="仿宋"/>
                <w:sz w:val="24"/>
                <w:highlight w:val="none"/>
              </w:rPr>
              <w:t>电话：</w:t>
            </w:r>
          </w:p>
        </w:tc>
        <w:tc>
          <w:tcPr>
            <w:tcW w:w="4629" w:type="dxa"/>
            <w:tcBorders>
              <w:top w:val="single" w:color="auto" w:sz="4" w:space="0"/>
              <w:left w:val="single" w:color="auto" w:sz="4" w:space="0"/>
              <w:bottom w:val="single" w:color="auto" w:sz="4" w:space="0"/>
              <w:right w:val="single" w:color="auto" w:sz="4" w:space="0"/>
            </w:tcBorders>
            <w:vAlign w:val="center"/>
          </w:tcPr>
          <w:p w14:paraId="7809E26B">
            <w:pPr>
              <w:spacing w:line="360" w:lineRule="auto"/>
              <w:jc w:val="left"/>
              <w:rPr>
                <w:rFonts w:hint="eastAsia" w:ascii="仿宋" w:hAnsi="仿宋" w:eastAsia="仿宋" w:cs="仿宋"/>
                <w:sz w:val="24"/>
                <w:highlight w:val="none"/>
              </w:rPr>
            </w:pPr>
            <w:r>
              <w:rPr>
                <w:rFonts w:hint="eastAsia" w:ascii="仿宋" w:hAnsi="仿宋" w:eastAsia="仿宋" w:cs="仿宋"/>
                <w:sz w:val="24"/>
                <w:highlight w:val="none"/>
              </w:rPr>
              <w:t>电话：</w:t>
            </w:r>
          </w:p>
        </w:tc>
      </w:tr>
      <w:tr w14:paraId="597D1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628" w:type="dxa"/>
            <w:tcBorders>
              <w:top w:val="single" w:color="auto" w:sz="4" w:space="0"/>
              <w:left w:val="single" w:color="auto" w:sz="4" w:space="0"/>
              <w:bottom w:val="single" w:color="auto" w:sz="4" w:space="0"/>
              <w:right w:val="single" w:color="auto" w:sz="4" w:space="0"/>
            </w:tcBorders>
            <w:vAlign w:val="center"/>
          </w:tcPr>
          <w:p w14:paraId="3EB47DAB">
            <w:pPr>
              <w:spacing w:line="360" w:lineRule="auto"/>
              <w:jc w:val="left"/>
              <w:rPr>
                <w:rFonts w:hint="eastAsia" w:ascii="仿宋" w:hAnsi="仿宋" w:eastAsia="仿宋" w:cs="仿宋"/>
                <w:sz w:val="24"/>
                <w:highlight w:val="none"/>
              </w:rPr>
            </w:pPr>
            <w:r>
              <w:rPr>
                <w:rFonts w:hint="eastAsia" w:ascii="仿宋" w:hAnsi="仿宋" w:eastAsia="仿宋" w:cs="仿宋"/>
                <w:sz w:val="24"/>
                <w:highlight w:val="none"/>
              </w:rPr>
              <w:t>传真：</w:t>
            </w:r>
          </w:p>
        </w:tc>
        <w:tc>
          <w:tcPr>
            <w:tcW w:w="4629" w:type="dxa"/>
            <w:tcBorders>
              <w:top w:val="single" w:color="auto" w:sz="4" w:space="0"/>
              <w:left w:val="single" w:color="auto" w:sz="4" w:space="0"/>
              <w:bottom w:val="single" w:color="auto" w:sz="4" w:space="0"/>
              <w:right w:val="single" w:color="auto" w:sz="4" w:space="0"/>
            </w:tcBorders>
            <w:vAlign w:val="center"/>
          </w:tcPr>
          <w:p w14:paraId="53BD17AC">
            <w:pPr>
              <w:spacing w:line="360" w:lineRule="auto"/>
              <w:jc w:val="left"/>
              <w:rPr>
                <w:rFonts w:hint="eastAsia" w:ascii="仿宋" w:hAnsi="仿宋" w:eastAsia="仿宋" w:cs="仿宋"/>
                <w:sz w:val="24"/>
                <w:highlight w:val="none"/>
              </w:rPr>
            </w:pPr>
            <w:r>
              <w:rPr>
                <w:rFonts w:hint="eastAsia" w:ascii="仿宋" w:hAnsi="仿宋" w:eastAsia="仿宋" w:cs="仿宋"/>
                <w:sz w:val="24"/>
                <w:highlight w:val="none"/>
              </w:rPr>
              <w:t>传真：</w:t>
            </w:r>
          </w:p>
        </w:tc>
      </w:tr>
      <w:tr w14:paraId="132A8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628" w:type="dxa"/>
            <w:tcBorders>
              <w:top w:val="single" w:color="auto" w:sz="4" w:space="0"/>
              <w:left w:val="single" w:color="auto" w:sz="4" w:space="0"/>
              <w:bottom w:val="single" w:color="auto" w:sz="4" w:space="0"/>
              <w:right w:val="single" w:color="auto" w:sz="4" w:space="0"/>
            </w:tcBorders>
            <w:vAlign w:val="center"/>
          </w:tcPr>
          <w:p w14:paraId="3320F3FA">
            <w:pPr>
              <w:spacing w:line="360" w:lineRule="auto"/>
              <w:jc w:val="left"/>
              <w:rPr>
                <w:rFonts w:hint="eastAsia" w:ascii="仿宋" w:hAnsi="仿宋" w:eastAsia="仿宋" w:cs="仿宋"/>
                <w:sz w:val="24"/>
                <w:highlight w:val="none"/>
              </w:rPr>
            </w:pPr>
            <w:r>
              <w:rPr>
                <w:rFonts w:hint="eastAsia" w:ascii="仿宋" w:hAnsi="仿宋" w:eastAsia="仿宋" w:cs="仿宋"/>
                <w:sz w:val="24"/>
                <w:highlight w:val="none"/>
              </w:rPr>
              <w:t>开户银行：</w:t>
            </w:r>
          </w:p>
        </w:tc>
        <w:tc>
          <w:tcPr>
            <w:tcW w:w="4629" w:type="dxa"/>
            <w:tcBorders>
              <w:top w:val="single" w:color="auto" w:sz="4" w:space="0"/>
              <w:left w:val="single" w:color="auto" w:sz="4" w:space="0"/>
              <w:bottom w:val="single" w:color="auto" w:sz="4" w:space="0"/>
              <w:right w:val="single" w:color="auto" w:sz="4" w:space="0"/>
            </w:tcBorders>
            <w:vAlign w:val="center"/>
          </w:tcPr>
          <w:p w14:paraId="0A34EF37">
            <w:pPr>
              <w:spacing w:line="360" w:lineRule="auto"/>
              <w:jc w:val="left"/>
              <w:rPr>
                <w:rFonts w:hint="eastAsia" w:ascii="仿宋" w:hAnsi="仿宋" w:eastAsia="仿宋" w:cs="仿宋"/>
                <w:sz w:val="24"/>
                <w:highlight w:val="none"/>
              </w:rPr>
            </w:pPr>
            <w:r>
              <w:rPr>
                <w:rFonts w:hint="eastAsia" w:ascii="仿宋" w:hAnsi="仿宋" w:eastAsia="仿宋" w:cs="仿宋"/>
                <w:sz w:val="24"/>
                <w:highlight w:val="none"/>
              </w:rPr>
              <w:t>开户银行：</w:t>
            </w:r>
          </w:p>
        </w:tc>
      </w:tr>
      <w:tr w14:paraId="5FE55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4628" w:type="dxa"/>
            <w:tcBorders>
              <w:top w:val="single" w:color="auto" w:sz="4" w:space="0"/>
              <w:left w:val="single" w:color="auto" w:sz="4" w:space="0"/>
              <w:bottom w:val="single" w:color="auto" w:sz="4" w:space="0"/>
              <w:right w:val="single" w:color="auto" w:sz="4" w:space="0"/>
            </w:tcBorders>
            <w:vAlign w:val="center"/>
          </w:tcPr>
          <w:p w14:paraId="7440E7E5">
            <w:pPr>
              <w:spacing w:line="360" w:lineRule="auto"/>
              <w:jc w:val="left"/>
              <w:rPr>
                <w:rFonts w:hint="eastAsia" w:ascii="仿宋" w:hAnsi="仿宋" w:eastAsia="仿宋" w:cs="仿宋"/>
                <w:sz w:val="24"/>
                <w:highlight w:val="none"/>
              </w:rPr>
            </w:pPr>
            <w:r>
              <w:rPr>
                <w:rFonts w:hint="eastAsia" w:ascii="仿宋" w:hAnsi="仿宋" w:eastAsia="仿宋" w:cs="仿宋"/>
                <w:sz w:val="24"/>
                <w:highlight w:val="none"/>
              </w:rPr>
              <w:t>账号：</w:t>
            </w:r>
          </w:p>
        </w:tc>
        <w:tc>
          <w:tcPr>
            <w:tcW w:w="4629" w:type="dxa"/>
            <w:tcBorders>
              <w:top w:val="single" w:color="auto" w:sz="4" w:space="0"/>
              <w:left w:val="single" w:color="auto" w:sz="4" w:space="0"/>
              <w:bottom w:val="single" w:color="auto" w:sz="4" w:space="0"/>
              <w:right w:val="single" w:color="auto" w:sz="4" w:space="0"/>
            </w:tcBorders>
            <w:vAlign w:val="center"/>
          </w:tcPr>
          <w:p w14:paraId="10D30A6A">
            <w:pPr>
              <w:spacing w:line="360" w:lineRule="auto"/>
              <w:jc w:val="left"/>
              <w:rPr>
                <w:rFonts w:hint="eastAsia" w:ascii="仿宋" w:hAnsi="仿宋" w:eastAsia="仿宋" w:cs="仿宋"/>
                <w:sz w:val="24"/>
                <w:highlight w:val="none"/>
              </w:rPr>
            </w:pPr>
            <w:r>
              <w:rPr>
                <w:rFonts w:hint="eastAsia" w:ascii="仿宋" w:hAnsi="仿宋" w:eastAsia="仿宋" w:cs="仿宋"/>
                <w:sz w:val="24"/>
                <w:highlight w:val="none"/>
              </w:rPr>
              <w:t>账号:</w:t>
            </w:r>
          </w:p>
        </w:tc>
      </w:tr>
      <w:tr w14:paraId="0D093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4628" w:type="dxa"/>
            <w:tcBorders>
              <w:top w:val="single" w:color="auto" w:sz="4" w:space="0"/>
              <w:left w:val="single" w:color="auto" w:sz="4" w:space="0"/>
              <w:bottom w:val="single" w:color="auto" w:sz="4" w:space="0"/>
              <w:right w:val="single" w:color="auto" w:sz="4" w:space="0"/>
            </w:tcBorders>
            <w:vAlign w:val="center"/>
          </w:tcPr>
          <w:p w14:paraId="77162208">
            <w:pPr>
              <w:spacing w:line="360" w:lineRule="auto"/>
              <w:jc w:val="left"/>
              <w:rPr>
                <w:rFonts w:hint="eastAsia" w:ascii="仿宋" w:hAnsi="仿宋" w:eastAsia="仿宋" w:cs="仿宋"/>
                <w:sz w:val="24"/>
                <w:highlight w:val="none"/>
              </w:rPr>
            </w:pPr>
          </w:p>
        </w:tc>
        <w:tc>
          <w:tcPr>
            <w:tcW w:w="4629" w:type="dxa"/>
            <w:tcBorders>
              <w:top w:val="single" w:color="auto" w:sz="4" w:space="0"/>
              <w:left w:val="single" w:color="auto" w:sz="4" w:space="0"/>
              <w:bottom w:val="single" w:color="auto" w:sz="4" w:space="0"/>
              <w:right w:val="single" w:color="auto" w:sz="4" w:space="0"/>
            </w:tcBorders>
            <w:vAlign w:val="center"/>
          </w:tcPr>
          <w:p w14:paraId="4AB7CCFC">
            <w:pPr>
              <w:spacing w:line="360" w:lineRule="auto"/>
              <w:jc w:val="left"/>
              <w:rPr>
                <w:rFonts w:hint="eastAsia" w:ascii="仿宋" w:hAnsi="仿宋" w:eastAsia="仿宋" w:cs="仿宋"/>
                <w:sz w:val="24"/>
                <w:highlight w:val="none"/>
              </w:rPr>
            </w:pPr>
            <w:r>
              <w:rPr>
                <w:rFonts w:hint="eastAsia" w:ascii="仿宋" w:hAnsi="仿宋" w:eastAsia="仿宋" w:cs="仿宋"/>
                <w:sz w:val="24"/>
                <w:highlight w:val="none"/>
              </w:rPr>
              <w:t>开户名称：</w:t>
            </w:r>
          </w:p>
        </w:tc>
      </w:tr>
      <w:tr w14:paraId="53090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4628" w:type="dxa"/>
            <w:tcBorders>
              <w:top w:val="single" w:color="auto" w:sz="4" w:space="0"/>
              <w:left w:val="single" w:color="auto" w:sz="4" w:space="0"/>
              <w:bottom w:val="single" w:color="auto" w:sz="4" w:space="0"/>
              <w:right w:val="single" w:color="auto" w:sz="4" w:space="0"/>
            </w:tcBorders>
            <w:vAlign w:val="center"/>
          </w:tcPr>
          <w:p w14:paraId="057038D5">
            <w:pPr>
              <w:spacing w:line="360" w:lineRule="auto"/>
              <w:jc w:val="left"/>
              <w:rPr>
                <w:rFonts w:hint="eastAsia" w:ascii="仿宋" w:hAnsi="仿宋" w:eastAsia="仿宋" w:cs="仿宋"/>
                <w:sz w:val="24"/>
                <w:highlight w:val="none"/>
              </w:rPr>
            </w:pPr>
          </w:p>
        </w:tc>
        <w:tc>
          <w:tcPr>
            <w:tcW w:w="4629" w:type="dxa"/>
            <w:tcBorders>
              <w:top w:val="single" w:color="auto" w:sz="4" w:space="0"/>
              <w:left w:val="single" w:color="auto" w:sz="4" w:space="0"/>
              <w:bottom w:val="single" w:color="auto" w:sz="4" w:space="0"/>
              <w:right w:val="single" w:color="auto" w:sz="4" w:space="0"/>
            </w:tcBorders>
            <w:vAlign w:val="center"/>
          </w:tcPr>
          <w:p w14:paraId="154B713C">
            <w:pPr>
              <w:spacing w:line="360" w:lineRule="auto"/>
              <w:jc w:val="left"/>
              <w:rPr>
                <w:rFonts w:hint="eastAsia" w:ascii="仿宋" w:hAnsi="仿宋" w:eastAsia="仿宋" w:cs="仿宋"/>
                <w:sz w:val="24"/>
                <w:highlight w:val="none"/>
              </w:rPr>
            </w:pPr>
            <w:r>
              <w:rPr>
                <w:rFonts w:hint="eastAsia" w:ascii="仿宋" w:hAnsi="仿宋" w:eastAsia="仿宋" w:cs="仿宋"/>
                <w:sz w:val="24"/>
                <w:highlight w:val="none"/>
              </w:rPr>
              <w:t>企业规模：</w:t>
            </w:r>
          </w:p>
        </w:tc>
      </w:tr>
      <w:tr w14:paraId="57A55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4628" w:type="dxa"/>
            <w:tcBorders>
              <w:top w:val="single" w:color="auto" w:sz="4" w:space="0"/>
              <w:left w:val="single" w:color="auto" w:sz="4" w:space="0"/>
              <w:bottom w:val="single" w:color="auto" w:sz="4" w:space="0"/>
              <w:right w:val="single" w:color="auto" w:sz="4" w:space="0"/>
            </w:tcBorders>
            <w:vAlign w:val="center"/>
          </w:tcPr>
          <w:p w14:paraId="58E5E1B5">
            <w:pPr>
              <w:spacing w:line="360" w:lineRule="auto"/>
              <w:jc w:val="left"/>
              <w:rPr>
                <w:rFonts w:hint="eastAsia" w:ascii="仿宋" w:hAnsi="仿宋" w:eastAsia="仿宋" w:cs="仿宋"/>
                <w:sz w:val="24"/>
                <w:highlight w:val="none"/>
              </w:rPr>
            </w:pPr>
          </w:p>
        </w:tc>
        <w:tc>
          <w:tcPr>
            <w:tcW w:w="4629" w:type="dxa"/>
            <w:tcBorders>
              <w:top w:val="single" w:color="auto" w:sz="4" w:space="0"/>
              <w:left w:val="single" w:color="auto" w:sz="4" w:space="0"/>
              <w:bottom w:val="single" w:color="auto" w:sz="4" w:space="0"/>
              <w:right w:val="single" w:color="auto" w:sz="4" w:space="0"/>
            </w:tcBorders>
            <w:vAlign w:val="center"/>
          </w:tcPr>
          <w:p w14:paraId="0AD303AB">
            <w:pPr>
              <w:spacing w:line="360" w:lineRule="auto"/>
              <w:jc w:val="left"/>
              <w:rPr>
                <w:rFonts w:hint="eastAsia" w:ascii="仿宋" w:hAnsi="仿宋" w:eastAsia="仿宋" w:cs="仿宋"/>
                <w:sz w:val="24"/>
                <w:highlight w:val="none"/>
              </w:rPr>
            </w:pPr>
            <w:r>
              <w:rPr>
                <w:rFonts w:hint="eastAsia" w:ascii="仿宋" w:hAnsi="仿宋" w:eastAsia="仿宋" w:cs="仿宋"/>
                <w:sz w:val="24"/>
                <w:highlight w:val="none"/>
              </w:rPr>
              <w:t>纳税人识别号：</w:t>
            </w:r>
          </w:p>
        </w:tc>
      </w:tr>
      <w:tr w14:paraId="091C5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4628" w:type="dxa"/>
            <w:tcBorders>
              <w:top w:val="single" w:color="auto" w:sz="4" w:space="0"/>
              <w:left w:val="single" w:color="auto" w:sz="4" w:space="0"/>
              <w:bottom w:val="single" w:color="auto" w:sz="4" w:space="0"/>
              <w:right w:val="single" w:color="auto" w:sz="4" w:space="0"/>
            </w:tcBorders>
            <w:vAlign w:val="center"/>
          </w:tcPr>
          <w:p w14:paraId="09C4457C">
            <w:pPr>
              <w:spacing w:line="360" w:lineRule="auto"/>
              <w:jc w:val="left"/>
              <w:rPr>
                <w:rFonts w:hint="eastAsia" w:ascii="仿宋" w:hAnsi="仿宋" w:eastAsia="仿宋" w:cs="仿宋"/>
                <w:sz w:val="24"/>
                <w:highlight w:val="none"/>
              </w:rPr>
            </w:pPr>
            <w:r>
              <w:rPr>
                <w:rFonts w:hint="eastAsia" w:ascii="仿宋" w:hAnsi="仿宋" w:eastAsia="仿宋" w:cs="仿宋"/>
                <w:sz w:val="24"/>
                <w:highlight w:val="none"/>
              </w:rPr>
              <w:t>日期：  年   月   日</w:t>
            </w:r>
          </w:p>
        </w:tc>
        <w:tc>
          <w:tcPr>
            <w:tcW w:w="4629" w:type="dxa"/>
            <w:tcBorders>
              <w:top w:val="single" w:color="auto" w:sz="4" w:space="0"/>
              <w:left w:val="single" w:color="auto" w:sz="4" w:space="0"/>
              <w:bottom w:val="single" w:color="auto" w:sz="4" w:space="0"/>
              <w:right w:val="single" w:color="auto" w:sz="4" w:space="0"/>
            </w:tcBorders>
            <w:vAlign w:val="center"/>
          </w:tcPr>
          <w:p w14:paraId="75764297">
            <w:pPr>
              <w:spacing w:line="360" w:lineRule="auto"/>
              <w:jc w:val="left"/>
              <w:rPr>
                <w:rFonts w:hint="eastAsia" w:ascii="仿宋" w:hAnsi="仿宋" w:eastAsia="仿宋" w:cs="仿宋"/>
                <w:sz w:val="24"/>
                <w:highlight w:val="none"/>
              </w:rPr>
            </w:pPr>
            <w:r>
              <w:rPr>
                <w:rFonts w:hint="eastAsia" w:ascii="仿宋" w:hAnsi="仿宋" w:eastAsia="仿宋" w:cs="仿宋"/>
                <w:sz w:val="24"/>
                <w:highlight w:val="none"/>
              </w:rPr>
              <w:t>日期：  年   月   日</w:t>
            </w:r>
          </w:p>
        </w:tc>
      </w:tr>
    </w:tbl>
    <w:p w14:paraId="67DB9790">
      <w:pPr>
        <w:pStyle w:val="4"/>
        <w:rPr>
          <w:rFonts w:hint="eastAsia" w:ascii="仿宋" w:hAnsi="仿宋" w:eastAsia="仿宋" w:cs="仿宋"/>
          <w:strike w:val="0"/>
          <w:dstrike w:val="0"/>
          <w:highlight w:val="none"/>
        </w:rPr>
      </w:pPr>
    </w:p>
    <w:p w14:paraId="3DE889F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2930A2"/>
    <w:rsid w:val="172930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2026-05-14T03:37:00Z</dcterms:created>
  <dc:creator>叶子</dc:creator>
  <cp:lastModifiedBy>叶子</cp:lastModifiedBy>
  <dcterms:modified xsi:type="dcterms:W3CDTF">2026-05-14T03:38:14Z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363FE333818641B2BAF14D25E6BFA0AA_11</vt:lpwstr>
  </property>
  <property fmtid="{D5CDD505-2E9C-101B-9397-08002B2CF9AE}" pid="4" name="KSOTemplateDocerSaveRecord">
    <vt:lpwstr>eyJoZGlkIjoiZjE1YjQ4NWY2MWE2Y2ZiNzE4NTU1MjQ3YTY1ZWQwZjAiLCJ1c2VySWQiOiIzMjkyNDM1OTcifQ==</vt:lpwstr>
  </property>
</Properties>
</file>