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版本号：JXRZ-HC-2026-04820260601002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2026年中央财政林业草原生态保护恢复资金项目（森林碳汇储量调查、陆生野生动物疫源疫病监测）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JXRZ-HC-2026-048</w:t>
      </w:r>
      <w:r>
        <w:br/>
      </w:r>
      <w:r>
        <w:br/>
      </w:r>
      <w:r>
        <w:br/>
      </w:r>
    </w:p>
    <w:p>
      <w:pPr>
        <w:pStyle w:val="null3"/>
        <w:jc w:val="center"/>
        <w:outlineLvl w:val="2"/>
      </w:pPr>
      <w:r>
        <w:rPr>
          <w:rFonts w:ascii="仿宋_GB2312" w:hAnsi="仿宋_GB2312" w:cs="仿宋_GB2312" w:eastAsia="仿宋_GB2312"/>
          <w:sz w:val="28"/>
          <w:b/>
        </w:rPr>
        <w:t>西乡县林业局</w:t>
      </w:r>
    </w:p>
    <w:p>
      <w:pPr>
        <w:pStyle w:val="null3"/>
        <w:jc w:val="center"/>
        <w:outlineLvl w:val="2"/>
      </w:pPr>
      <w:r>
        <w:rPr>
          <w:rFonts w:ascii="仿宋_GB2312" w:hAnsi="仿宋_GB2312" w:cs="仿宋_GB2312" w:eastAsia="仿宋_GB2312"/>
          <w:sz w:val="28"/>
          <w:b/>
        </w:rPr>
        <w:t>陕西锦鑫睿泽项目管理有限公司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陕西锦鑫睿泽项目管理有限公司</w:t>
      </w:r>
      <w:r>
        <w:rPr>
          <w:rFonts w:ascii="仿宋_GB2312" w:hAnsi="仿宋_GB2312" w:cs="仿宋_GB2312" w:eastAsia="仿宋_GB2312"/>
        </w:rPr>
        <w:t>（以下简称“代理机构”）受</w:t>
      </w:r>
      <w:r>
        <w:rPr>
          <w:rFonts w:ascii="仿宋_GB2312" w:hAnsi="仿宋_GB2312" w:cs="仿宋_GB2312" w:eastAsia="仿宋_GB2312"/>
        </w:rPr>
        <w:t>西乡县林业局</w:t>
      </w:r>
      <w:r>
        <w:rPr>
          <w:rFonts w:ascii="仿宋_GB2312" w:hAnsi="仿宋_GB2312" w:cs="仿宋_GB2312" w:eastAsia="仿宋_GB2312"/>
        </w:rPr>
        <w:t>委托，拟对</w:t>
      </w:r>
      <w:r>
        <w:rPr>
          <w:rFonts w:ascii="仿宋_GB2312" w:hAnsi="仿宋_GB2312" w:cs="仿宋_GB2312" w:eastAsia="仿宋_GB2312"/>
        </w:rPr>
        <w:t>2026年中央财政林业草原生态保护恢复资金项目（森林碳汇储量调查、陆生野生动物疫源疫病监测）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JXRZ-HC-2026-048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2026年中央财政林业草原生态保护恢复资金项目（森林碳汇储量调查、陆生野生动物疫源疫病监测）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森林碳储量调查、陆生野生动物疫源疫病监测。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1、营业执照等主体资格证明⽂件：供应商应是独⽴承担⺠事责任能⼒的法⼈、其他组织或⾃然⼈，法⼈、其他组织须提供合法有效的 营业执照(或事业单位法⼈证书)等证明资料，⾃然⼈须提供⾝份证明。</w:t>
      </w:r>
    </w:p>
    <w:p>
      <w:pPr>
        <w:pStyle w:val="null3"/>
      </w:pPr>
      <w:r>
        <w:rPr>
          <w:rFonts w:ascii="仿宋_GB2312" w:hAnsi="仿宋_GB2312" w:cs="仿宋_GB2312" w:eastAsia="仿宋_GB2312"/>
        </w:rPr>
        <w:t>2、授权代表：法定代表⼈参加磋商的，提供本人⾝份证；法定代表⼈授权他⼈参加磋商的，提供法定代表人委托授权书及被授权代表的⾝份证。</w:t>
      </w:r>
    </w:p>
    <w:p>
      <w:pPr>
        <w:pStyle w:val="null3"/>
      </w:pPr>
      <w:r>
        <w:rPr>
          <w:rFonts w:ascii="仿宋_GB2312" w:hAnsi="仿宋_GB2312" w:cs="仿宋_GB2312" w:eastAsia="仿宋_GB2312"/>
        </w:rPr>
        <w:t>3、基本资格承诺函：供应商应具有良好的商业信誉和健全的财务会计制度，具有履⾏合同所必需的设备和专业技术能力 ，具有依法缴纳税收和社会保障⾦的良好记录，参加本项⽬采购活动前三年内⽆重⼤违法活动记录 ，须提供《汉中市政府采购供应商资格承诺函》。</w:t>
      </w:r>
    </w:p>
    <w:p>
      <w:pPr>
        <w:pStyle w:val="null3"/>
      </w:pPr>
      <w:r>
        <w:rPr>
          <w:rFonts w:ascii="仿宋_GB2312" w:hAnsi="仿宋_GB2312" w:cs="仿宋_GB2312" w:eastAsia="仿宋_GB2312"/>
        </w:rPr>
        <w:t>4、项目负责⼈：项⽬负责人具有林业工程、林业、林学、林业资源监测、生态学等相关专业高级职称（副高级）及以上。</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西乡县林业局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西乡县城北街道办鹿龄路78号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王珂</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0916-6221600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陕西锦鑫睿泽项目管理有限公司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汉中市汉台区天汉文化产业园A6-A7号楼二楼D-07</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李永涛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15309166370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13991614866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采购包1：1,480,000.00元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采购包1保证金金额：25,000.00元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开户名称：陕西锦鑫睿泽项目管理有限公司</w:t>
            </w:r>
          </w:p>
          <w:p>
            <w:pPr>
              <w:pStyle w:val="null3"/>
            </w:pPr>
            <w:r>
              <w:rPr>
                <w:rFonts w:ascii="仿宋_GB2312" w:hAnsi="仿宋_GB2312" w:cs="仿宋_GB2312" w:eastAsia="仿宋_GB2312"/>
              </w:rPr>
              <w:t>开户银行：陕西汉中农村商业银行股份有限公司滨江新区支行</w:t>
            </w:r>
          </w:p>
          <w:p>
            <w:pPr>
              <w:pStyle w:val="null3"/>
            </w:pPr>
            <w:r>
              <w:rPr>
                <w:rFonts w:ascii="仿宋_GB2312" w:hAnsi="仿宋_GB2312" w:cs="仿宋_GB2312" w:eastAsia="仿宋_GB2312"/>
              </w:rPr>
              <w:t>银行账号：2706012401201000009552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代理服务费收费标准：参考《招标代理服务收费管理暂行办法》 的通知（计价格[2002]1980号 ) 和《关于招标代理服务收费有关问题的通知》（发改办价格[2003]857号）的有关规定按标准收取代理服务费。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西乡县林业局</w:t>
      </w:r>
      <w:r>
        <w:rPr>
          <w:rFonts w:ascii="仿宋_GB2312" w:hAnsi="仿宋_GB2312" w:cs="仿宋_GB2312" w:eastAsia="仿宋_GB2312"/>
        </w:rPr>
        <w:t>和</w:t>
      </w:r>
      <w:r>
        <w:rPr>
          <w:rFonts w:ascii="仿宋_GB2312" w:hAnsi="仿宋_GB2312" w:cs="仿宋_GB2312" w:eastAsia="仿宋_GB2312"/>
        </w:rPr>
        <w:t>陕西锦鑫睿泽项目管理有限公司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西乡县林业局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陕西锦鑫睿泽项目管理有限公司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西乡县林业局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陕西锦鑫睿泽项目管理有限公司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以最终签订合同内容为准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联系人：李永涛</w:t>
      </w:r>
    </w:p>
    <w:p>
      <w:pPr>
        <w:pStyle w:val="null3"/>
      </w:pPr>
      <w:r>
        <w:rPr>
          <w:rFonts w:ascii="仿宋_GB2312" w:hAnsi="仿宋_GB2312" w:cs="仿宋_GB2312" w:eastAsia="仿宋_GB2312"/>
        </w:rPr>
        <w:t>联系电话：15309166370</w:t>
      </w:r>
    </w:p>
    <w:p>
      <w:pPr>
        <w:pStyle w:val="null3"/>
      </w:pPr>
      <w:r>
        <w:rPr>
          <w:rFonts w:ascii="仿宋_GB2312" w:hAnsi="仿宋_GB2312" w:cs="仿宋_GB2312" w:eastAsia="仿宋_GB2312"/>
        </w:rPr>
        <w:t>地址：汉中市汉台区天汉文化产业园A6-A7号楼二楼D-07</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森林碳储量调查、 陆生野生动物疫源疫病监测。</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1,480,000.00</w:t>
      </w:r>
    </w:p>
    <w:p>
      <w:pPr>
        <w:pStyle w:val="null3"/>
      </w:pPr>
      <w:r>
        <w:rPr>
          <w:rFonts w:ascii="仿宋_GB2312" w:hAnsi="仿宋_GB2312" w:cs="仿宋_GB2312" w:eastAsia="仿宋_GB2312"/>
        </w:rPr>
        <w:t>采购包最高限价（元）: 1,480,000.00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森林碳储量调查</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陆生野生动物疫源疫病监测</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标的名称：森林碳储量调查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                                  森林碳储量调查</w:t>
            </w:r>
            <w:r>
              <w:br/>
            </w:r>
            <w:r>
              <w:rPr>
                <w:rFonts w:ascii="仿宋_GB2312" w:hAnsi="仿宋_GB2312" w:cs="仿宋_GB2312" w:eastAsia="仿宋_GB2312"/>
              </w:rPr>
              <w:t xml:space="preserve"> 全面摸清目标自然保护区内森林、草地、湿地等各类生态系统的碳储量本底，掌握不同碳库（地上生物量、地下生物量、枯落物、土壤有机碳）的分布特征与储量规模，为保护区碳汇动态监测、生态保护修复成效评估、碳汇价值转化提供科学依据，助力生态文明建设与碳中和目标落地。</w:t>
            </w:r>
            <w:r>
              <w:br/>
            </w:r>
            <w:r>
              <w:rPr>
                <w:rFonts w:ascii="仿宋_GB2312" w:hAnsi="仿宋_GB2312" w:cs="仿宋_GB2312" w:eastAsia="仿宋_GB2312"/>
              </w:rPr>
              <w:t xml:space="preserve"> 1、监测范围</w:t>
            </w:r>
            <w:r>
              <w:br/>
            </w:r>
            <w:r>
              <w:rPr>
                <w:rFonts w:ascii="仿宋_GB2312" w:hAnsi="仿宋_GB2312" w:cs="仿宋_GB2312" w:eastAsia="仿宋_GB2312"/>
              </w:rPr>
              <w:t xml:space="preserve"> 陕西米仓山国家级自然保护区区域内，涵盖自然保护区全域范围，覆盖核心区、缓冲区、实验区各功能分区，覆盖森林面积总面积34192.0hm2。</w:t>
            </w:r>
            <w:r>
              <w:br/>
            </w:r>
            <w:r>
              <w:rPr>
                <w:rFonts w:ascii="仿宋_GB2312" w:hAnsi="仿宋_GB2312" w:cs="仿宋_GB2312" w:eastAsia="仿宋_GB2312"/>
              </w:rPr>
              <w:t xml:space="preserve"> 2、监测内容</w:t>
            </w:r>
            <w:r>
              <w:br/>
            </w:r>
            <w:r>
              <w:rPr>
                <w:rFonts w:ascii="仿宋_GB2312" w:hAnsi="仿宋_GB2312" w:cs="仿宋_GB2312" w:eastAsia="仿宋_GB2312"/>
              </w:rPr>
              <w:t xml:space="preserve"> 针对碳库计量特征和管理需要，样地监测应包括以下内容：</w:t>
            </w:r>
            <w:r>
              <w:br/>
            </w:r>
            <w:r>
              <w:rPr>
                <w:rFonts w:ascii="仿宋_GB2312" w:hAnsi="仿宋_GB2312" w:cs="仿宋_GB2312" w:eastAsia="仿宋_GB2312"/>
              </w:rPr>
              <w:t xml:space="preserve"> （1）植被特征。包括植被类型、地类、起源、树种名称、龄组、胸径、树高、郁闭度：灌木种类、株高、地径、株（丛）数、盖度：草本种类、盖度、平均高等。</w:t>
            </w:r>
            <w:r>
              <w:br/>
            </w:r>
            <w:r>
              <w:rPr>
                <w:rFonts w:ascii="仿宋_GB2312" w:hAnsi="仿宋_GB2312" w:cs="仿宋_GB2312" w:eastAsia="仿宋_GB2312"/>
              </w:rPr>
              <w:t xml:space="preserve"> （2）土壤特征。包括地理位置、海拔、坡向、坡位、坡度、土层容重、土层厚度、土壤有机质、岩石裸露率等。</w:t>
            </w:r>
            <w:r>
              <w:br/>
            </w:r>
            <w:r>
              <w:rPr>
                <w:rFonts w:ascii="仿宋_GB2312" w:hAnsi="仿宋_GB2312" w:cs="仿宋_GB2312" w:eastAsia="仿宋_GB2312"/>
              </w:rPr>
              <w:t xml:space="preserve"> （3）管理属性。包括土地权属、林木权属、森林类别、林种等。</w:t>
            </w:r>
            <w:r>
              <w:br/>
            </w:r>
            <w:r>
              <w:rPr>
                <w:rFonts w:ascii="仿宋_GB2312" w:hAnsi="仿宋_GB2312" w:cs="仿宋_GB2312" w:eastAsia="仿宋_GB2312"/>
              </w:rPr>
              <w:t xml:space="preserve"> 3、监测样地设置</w:t>
            </w:r>
            <w:r>
              <w:br/>
            </w:r>
            <w:r>
              <w:rPr>
                <w:rFonts w:ascii="仿宋_GB2312" w:hAnsi="仿宋_GB2312" w:cs="仿宋_GB2312" w:eastAsia="仿宋_GB2312"/>
              </w:rPr>
              <w:t xml:space="preserve"> （1）样地抽样</w:t>
            </w:r>
            <w:r>
              <w:br/>
            </w:r>
            <w:r>
              <w:rPr>
                <w:rFonts w:ascii="仿宋_GB2312" w:hAnsi="仿宋_GB2312" w:cs="仿宋_GB2312" w:eastAsia="仿宋_GB2312"/>
              </w:rPr>
              <w:t xml:space="preserve"> 森林碳储量监测以陕西米仓山国家级自然保护区为总体开展监测对象，利用1:10000地形图、卫星影像、森林分布图、林相图、森林经营管理规划图等，按照统计学要求进行抽样，建立森林碳源监测计量的固定样地，优势树种每个龄组应设置固定监测样地不少于3个（高、中、低林分密度类型各1个）。灌木林按低、中、高覆盖度设置固定监测样地不少于3个（小灌林、中灌林、大灌林各1个）。其中，灌木林平均高度0.5m以下为小灌林、0.5～2.0m为中灌林、2.0m以上为大灌林。在陕西米仓山国家级自然保护区辖区内随机布设若干个监测样地，样地布设利用GIS软件在卫星图和地形图上完成。</w:t>
            </w:r>
            <w:r>
              <w:br/>
            </w:r>
            <w:r>
              <w:rPr>
                <w:rFonts w:ascii="仿宋_GB2312" w:hAnsi="仿宋_GB2312" w:cs="仿宋_GB2312" w:eastAsia="仿宋_GB2312"/>
              </w:rPr>
              <w:t xml:space="preserve"> （2）样地设置</w:t>
            </w:r>
            <w:r>
              <w:br/>
            </w:r>
            <w:r>
              <w:rPr>
                <w:rFonts w:ascii="仿宋_GB2312" w:hAnsi="仿宋_GB2312" w:cs="仿宋_GB2312" w:eastAsia="仿宋_GB2312"/>
              </w:rPr>
              <w:t xml:space="preserve"> ①样地要求</w:t>
            </w:r>
            <w:r>
              <w:br/>
            </w:r>
            <w:r>
              <w:rPr>
                <w:rFonts w:ascii="仿宋_GB2312" w:hAnsi="仿宋_GB2312" w:cs="仿宋_GB2312" w:eastAsia="仿宋_GB2312"/>
              </w:rPr>
              <w:t xml:space="preserve"> 在全面踏查总体的基础上，充分掌握调查区域内的森林植被特征，选出具有代表性的森分设置固定监测样地。</w:t>
            </w:r>
            <w:r>
              <w:br/>
            </w:r>
            <w:r>
              <w:rPr>
                <w:rFonts w:ascii="仿宋_GB2312" w:hAnsi="仿宋_GB2312" w:cs="仿宋_GB2312" w:eastAsia="仿宋_GB2312"/>
              </w:rPr>
              <w:t xml:space="preserve"> 样地不能跨越河流、道路或伐开的调查线，并应离林缘10米以上，坡度5°以上时应改算为水平距，方形样地的长边沿等高线设置，边线闭合差要求不超过各边总长的1/200。样地设置后，固定样地应在四个角和中心位置设置固定标识，标明方位角，采集样地中心或西南角点CGCS2000坐标值。</w:t>
            </w:r>
            <w:r>
              <w:br/>
            </w:r>
            <w:r>
              <w:rPr>
                <w:rFonts w:ascii="仿宋_GB2312" w:hAnsi="仿宋_GB2312" w:cs="仿宋_GB2312" w:eastAsia="仿宋_GB2312"/>
              </w:rPr>
              <w:t xml:space="preserve"> ②样地标志</w:t>
            </w:r>
            <w:r>
              <w:br/>
            </w:r>
            <w:r>
              <w:rPr>
                <w:rFonts w:ascii="仿宋_GB2312" w:hAnsi="仿宋_GB2312" w:cs="仿宋_GB2312" w:eastAsia="仿宋_GB2312"/>
              </w:rPr>
              <w:t xml:space="preserve"> 样地标志为西南、西北、东北、东南角点水泥桩和西南角定位物（树）、界外木刮皮并用油漆涂红。</w:t>
            </w:r>
            <w:r>
              <w:br/>
            </w:r>
            <w:r>
              <w:rPr>
                <w:rFonts w:ascii="仿宋_GB2312" w:hAnsi="仿宋_GB2312" w:cs="仿宋_GB2312" w:eastAsia="仿宋_GB2312"/>
              </w:rPr>
              <w:t xml:space="preserve"> 样木标志为树干基部0.1米（或1.7米）处的铁钉（树牌号）、树高1.3米处红油漆表明的胸高线。</w:t>
            </w:r>
            <w:r>
              <w:br/>
            </w:r>
            <w:r>
              <w:rPr>
                <w:rFonts w:ascii="仿宋_GB2312" w:hAnsi="仿宋_GB2312" w:cs="仿宋_GB2312" w:eastAsia="仿宋_GB2312"/>
              </w:rPr>
              <w:t xml:space="preserve"> ③样地定位</w:t>
            </w:r>
            <w:r>
              <w:br/>
            </w:r>
            <w:r>
              <w:rPr>
                <w:rFonts w:ascii="仿宋_GB2312" w:hAnsi="仿宋_GB2312" w:cs="仿宋_GB2312" w:eastAsia="仿宋_GB2312"/>
              </w:rPr>
              <w:t xml:space="preserve"> ●采用GPS定位，定位点为样地西南角，统一标记编号。</w:t>
            </w:r>
            <w:r>
              <w:br/>
            </w:r>
            <w:r>
              <w:rPr>
                <w:rFonts w:ascii="仿宋_GB2312" w:hAnsi="仿宋_GB2312" w:cs="仿宋_GB2312" w:eastAsia="仿宋_GB2312"/>
              </w:rPr>
              <w:t xml:space="preserve"> ●依次采集样地西南、西北、东北、东南角点GPS坐标值,坐标系统一采用CGCS2000坐标系。GPS以市为单位输入转换参数，保证定位误差在10m以内。样地定位后，每个监测周期需按固定标志设置要求，修复和补设有关标志。</w:t>
            </w:r>
            <w:r>
              <w:br/>
            </w:r>
            <w:r>
              <w:rPr>
                <w:rFonts w:ascii="仿宋_GB2312" w:hAnsi="仿宋_GB2312" w:cs="仿宋_GB2312" w:eastAsia="仿宋_GB2312"/>
              </w:rPr>
              <w:t xml:space="preserve"> ●为满足质量管理要求，各样地均需采集样地西南角GPS采集航迹，并拍摄样地西南角和部分样木的景观照片，拍摄现地工作场景。</w:t>
            </w:r>
            <w:r>
              <w:br/>
            </w:r>
            <w:r>
              <w:rPr>
                <w:rFonts w:ascii="仿宋_GB2312" w:hAnsi="仿宋_GB2312" w:cs="仿宋_GB2312" w:eastAsia="仿宋_GB2312"/>
              </w:rPr>
              <w:t xml:space="preserve"> ④样地与样方设置</w:t>
            </w:r>
            <w:r>
              <w:br/>
            </w:r>
            <w:r>
              <w:rPr>
                <w:rFonts w:ascii="仿宋_GB2312" w:hAnsi="仿宋_GB2312" w:cs="仿宋_GB2312" w:eastAsia="仿宋_GB2312"/>
              </w:rPr>
              <w:t xml:space="preserve"> 样地设置为方形，乔木林样地面积不低于400平方米，灌木林和竹林样地面积不低于100平方米。</w:t>
            </w:r>
            <w:r>
              <w:br/>
            </w:r>
            <w:r>
              <w:rPr>
                <w:rFonts w:ascii="仿宋_GB2312" w:hAnsi="仿宋_GB2312" w:cs="仿宋_GB2312" w:eastAsia="仿宋_GB2312"/>
              </w:rPr>
              <w:t xml:space="preserve"> 所有监测样地应按监测内容和方法进行每木调查，获取计量数据。其中，乔木林、灌木层、草本层和枯落物层在监测样地四角设置调查小样方。灌木层调查小样方规格为2mx2m,3个重复：草本层、枯落物层调查小样方在灌木层调查小样方内按1mx1m设置。所有非取样的调查工作全部在监测样地内完成。如果涉及破坏性取样，则在距离监测样地周界2m范围之外选择具有代表性的地段进行采样，且取样地点原则上不与上一次采样点重复。土壤调查采样点需要对调查样地的土壤类型、土层厚度等进行全面踏勘后，选择最具有代表性的位置进行取样，原则上在监测样地东南角向东2m处。经济林、竹林和灌木林监测样地小样方、土壤采样点设置与乔木林相同。监测样地设置及调查、取样小样方示意图见图1。</w:t>
            </w:r>
            <w:r>
              <w:br/>
            </w:r>
            <w:r>
              <w:rPr>
                <w:rFonts w:ascii="仿宋_GB2312" w:hAnsi="仿宋_GB2312" w:cs="仿宋_GB2312" w:eastAsia="仿宋_GB2312"/>
              </w:rPr>
              <w:t xml:space="preserve"> 本次监测样地抽样按每10平方公里设置1个监测样地，共计设置32个监测样地。</w:t>
            </w:r>
            <w:r>
              <w:br/>
            </w:r>
            <w:r>
              <w:rPr>
                <w:rFonts w:ascii="仿宋_GB2312" w:hAnsi="仿宋_GB2312" w:cs="仿宋_GB2312" w:eastAsia="仿宋_GB2312"/>
              </w:rPr>
              <w:t xml:space="preserve"> 图1 监测样地设置及调查、取样小样方示意图见（详见附件）</w:t>
            </w:r>
            <w:r>
              <w:br/>
            </w:r>
            <w:r>
              <w:rPr>
                <w:rFonts w:ascii="仿宋_GB2312" w:hAnsi="仿宋_GB2312" w:cs="仿宋_GB2312" w:eastAsia="仿宋_GB2312"/>
              </w:rPr>
              <w:t xml:space="preserve"> 4、监测方法</w:t>
            </w:r>
            <w:r>
              <w:br/>
            </w:r>
            <w:r>
              <w:rPr>
                <w:rFonts w:ascii="仿宋_GB2312" w:hAnsi="仿宋_GB2312" w:cs="仿宋_GB2312" w:eastAsia="仿宋_GB2312"/>
              </w:rPr>
              <w:t xml:space="preserve"> （1）乔木森监测方法</w:t>
            </w:r>
            <w:r>
              <w:br/>
            </w:r>
            <w:r>
              <w:rPr>
                <w:rFonts w:ascii="仿宋_GB2312" w:hAnsi="仿宋_GB2312" w:cs="仿宋_GB2312" w:eastAsia="仿宋_GB2312"/>
              </w:rPr>
              <w:t xml:space="preserve"> ①乔木层调查</w:t>
            </w:r>
            <w:r>
              <w:br/>
            </w:r>
            <w:r>
              <w:rPr>
                <w:rFonts w:ascii="仿宋_GB2312" w:hAnsi="仿宋_GB2312" w:cs="仿宋_GB2312" w:eastAsia="仿宋_GB2312"/>
              </w:rPr>
              <w:t xml:space="preserve"> 记载样地号、森林类型、样地面积、优势树种、造林时间、样地位置（林场、林班、小班）、地理坐标（GPS记录）、坡向、坡度、坡位、海拔、土壤类型、土层厚度、枯落物厚度、经营历史、当前作业（设计）措施、调查人及日期等内容。</w:t>
            </w:r>
            <w:r>
              <w:br/>
            </w:r>
            <w:r>
              <w:rPr>
                <w:rFonts w:ascii="仿宋_GB2312" w:hAnsi="仿宋_GB2312" w:cs="仿宋_GB2312" w:eastAsia="仿宋_GB2312"/>
              </w:rPr>
              <w:t xml:space="preserve"> 每木检尺：调查每个乔木样方内所有胸径≥5cm的树木，按树木编号、挂牌，并测定树种、胸径（测定部位喷红漆）和树高。树木根部落在边界线上的树木，采取“西取东舍，南取北舍”的原则。即西北、西南边界线和西南顶点的树检尺，东北、东南边界和东北顶点的树不检尺。</w:t>
            </w:r>
            <w:r>
              <w:br/>
            </w:r>
            <w:r>
              <w:rPr>
                <w:rFonts w:ascii="仿宋_GB2312" w:hAnsi="仿宋_GB2312" w:cs="仿宋_GB2312" w:eastAsia="仿宋_GB2312"/>
              </w:rPr>
              <w:t xml:space="preserve"> 胸径：对样地内胸径5厘米以上的乔木树种，用围尺实测胸径，记载到1位小数，测量方式如下图：</w:t>
            </w:r>
          </w:p>
          <w:p>
            <w:pPr>
              <w:pStyle w:val="null3"/>
            </w:pPr>
            <w:r>
              <w:rPr>
                <w:rFonts w:ascii="仿宋_GB2312" w:hAnsi="仿宋_GB2312" w:cs="仿宋_GB2312" w:eastAsia="仿宋_GB2312"/>
              </w:rPr>
              <w:t>胸径测量示意图（详见附件）</w:t>
            </w:r>
            <w:r>
              <w:br/>
            </w:r>
            <w:r>
              <w:rPr>
                <w:rFonts w:ascii="仿宋_GB2312" w:hAnsi="仿宋_GB2312" w:cs="仿宋_GB2312" w:eastAsia="仿宋_GB2312"/>
              </w:rPr>
              <w:t xml:space="preserve"> 树高：分别大、中、小径阶组，用钓鱼竿、测高器等工具各测定不少于7株样木的树高，其中样地平均木测量3株，胸径最小的和最大（或最高）的样木各测量2株。测高样木的干形要有代表性，不能选断梢木。</w:t>
            </w:r>
            <w:r>
              <w:br/>
            </w:r>
            <w:r>
              <w:rPr>
                <w:rFonts w:ascii="仿宋_GB2312" w:hAnsi="仿宋_GB2312" w:cs="仿宋_GB2312" w:eastAsia="仿宋_GB2312"/>
              </w:rPr>
              <w:t xml:space="preserve"> 冠下高：树冠下的树干长度，常用于冠长的计算。</w:t>
            </w:r>
            <w:r>
              <w:br/>
            </w:r>
            <w:r>
              <w:rPr>
                <w:rFonts w:ascii="仿宋_GB2312" w:hAnsi="仿宋_GB2312" w:cs="仿宋_GB2312" w:eastAsia="仿宋_GB2312"/>
              </w:rPr>
              <w:t xml:space="preserve"> 郁闭度：沿样地的两条直径线，每一米设一个测点，采用抬头望高法或用用郁闭度测定仪观测每个测点是否被（检尺径以上的林木）树冠所遮盖，现场计算出郁闭度。</w:t>
            </w:r>
            <w:r>
              <w:br/>
            </w:r>
            <w:r>
              <w:rPr>
                <w:rFonts w:ascii="仿宋_GB2312" w:hAnsi="仿宋_GB2312" w:cs="仿宋_GB2312" w:eastAsia="仿宋_GB2312"/>
              </w:rPr>
              <w:t xml:space="preserve"> 具体要求：</w:t>
            </w:r>
            <w:r>
              <w:br/>
            </w:r>
            <w:r>
              <w:rPr>
                <w:rFonts w:ascii="仿宋_GB2312" w:hAnsi="仿宋_GB2312" w:cs="仿宋_GB2312" w:eastAsia="仿宋_GB2312"/>
              </w:rPr>
              <w:t xml:space="preserve"> ① 胸径测量采用围尺，起测径级一律为5cm，保留一位小数；</w:t>
            </w:r>
            <w:r>
              <w:br/>
            </w:r>
            <w:r>
              <w:rPr>
                <w:rFonts w:ascii="仿宋_GB2312" w:hAnsi="仿宋_GB2312" w:cs="仿宋_GB2312" w:eastAsia="仿宋_GB2312"/>
              </w:rPr>
              <w:t xml:space="preserve"> ② 树高测量采用测高仪或罗盘仪，单位：m，记录到小数点后一位；</w:t>
            </w:r>
            <w:r>
              <w:br/>
            </w:r>
            <w:r>
              <w:rPr>
                <w:rFonts w:ascii="仿宋_GB2312" w:hAnsi="仿宋_GB2312" w:cs="仿宋_GB2312" w:eastAsia="仿宋_GB2312"/>
              </w:rPr>
              <w:t xml:space="preserve"> ③ 郁闭度调查：人工林可采用样段法，采用一步一抬头的方法调查，计算时小数点后取2位。</w:t>
            </w:r>
            <w:r>
              <w:br/>
            </w:r>
            <w:r>
              <w:rPr>
                <w:rFonts w:ascii="仿宋_GB2312" w:hAnsi="仿宋_GB2312" w:cs="仿宋_GB2312" w:eastAsia="仿宋_GB2312"/>
              </w:rPr>
              <w:t xml:space="preserve"> ④ 地形、地势、坡度、坡向、海拔按要求填写。</w:t>
            </w:r>
            <w:r>
              <w:br/>
            </w:r>
            <w:r>
              <w:rPr>
                <w:rFonts w:ascii="仿宋_GB2312" w:hAnsi="仿宋_GB2312" w:cs="仿宋_GB2312" w:eastAsia="仿宋_GB2312"/>
              </w:rPr>
              <w:t xml:space="preserve"> 精度要求：</w:t>
            </w:r>
            <w:r>
              <w:br/>
            </w:r>
            <w:r>
              <w:rPr>
                <w:rFonts w:ascii="仿宋_GB2312" w:hAnsi="仿宋_GB2312" w:cs="仿宋_GB2312" w:eastAsia="仿宋_GB2312"/>
              </w:rPr>
              <w:t xml:space="preserve"> 周界误差：样地周界长度误差小于1%。</w:t>
            </w:r>
            <w:r>
              <w:br/>
            </w:r>
            <w:r>
              <w:rPr>
                <w:rFonts w:ascii="仿宋_GB2312" w:hAnsi="仿宋_GB2312" w:cs="仿宋_GB2312" w:eastAsia="仿宋_GB2312"/>
              </w:rPr>
              <w:t xml:space="preserve"> 检尺株数：胸径大于或等于6厘米的应检尺株数不允许有误差；小于6厘米的应检尺株数，允许误差为5%，且最多不超过3株。</w:t>
            </w:r>
            <w:r>
              <w:br/>
            </w:r>
            <w:r>
              <w:rPr>
                <w:rFonts w:ascii="仿宋_GB2312" w:hAnsi="仿宋_GB2312" w:cs="仿宋_GB2312" w:eastAsia="仿宋_GB2312"/>
              </w:rPr>
              <w:t xml:space="preserve"> 胸径测量：胸径小于20厘米的树木，测量误差小于0.3厘米；胸径大于或等于20厘米的树木，测量误差小于1.5%。</w:t>
            </w:r>
            <w:r>
              <w:br/>
            </w:r>
            <w:r>
              <w:rPr>
                <w:rFonts w:ascii="仿宋_GB2312" w:hAnsi="仿宋_GB2312" w:cs="仿宋_GB2312" w:eastAsia="仿宋_GB2312"/>
              </w:rPr>
              <w:t xml:space="preserve"> 树高测量：当树高小于10米时，测量误差小于3%；当树高大于或等于10米时，测量误差小于5%。</w:t>
            </w:r>
            <w:r>
              <w:br/>
            </w:r>
            <w:r>
              <w:rPr>
                <w:rFonts w:ascii="仿宋_GB2312" w:hAnsi="仿宋_GB2312" w:cs="仿宋_GB2312" w:eastAsia="仿宋_GB2312"/>
              </w:rPr>
              <w:t xml:space="preserve"> ②灌木和草本层调查</w:t>
            </w:r>
            <w:r>
              <w:br/>
            </w:r>
            <w:r>
              <w:rPr>
                <w:rFonts w:ascii="仿宋_GB2312" w:hAnsi="仿宋_GB2312" w:cs="仿宋_GB2312" w:eastAsia="仿宋_GB2312"/>
              </w:rPr>
              <w:t xml:space="preserve"> 地区林下灌木层植物稀少，主要为小灌木，在每个乔木样地设置3个灌木样方，每个灌木样方大小为5m×5 m。记录灌木种名、株数、盖度。采用收获法收集全部灌木植株并装袋（编号为：样地号-灌-样方号），带回实验室烘干称重。</w:t>
            </w:r>
            <w:r>
              <w:br/>
            </w:r>
            <w:r>
              <w:rPr>
                <w:rFonts w:ascii="仿宋_GB2312" w:hAnsi="仿宋_GB2312" w:cs="仿宋_GB2312" w:eastAsia="仿宋_GB2312"/>
              </w:rPr>
              <w:t xml:space="preserve"> 在每个5×5m的灌木样方内，设置3个1 ×1m的草本样方。记录草本样方内植物种类、平均高度、盖度。用剪刀或其它工具将样方内的草本从根部采集并装袋（编号为：样地号-草-样方号），带回实验室烘干称重。注意如果草本潮湿且不能及时烘干的情况，采样回来后一定要及时晾晒。</w:t>
            </w:r>
            <w:r>
              <w:br/>
            </w:r>
            <w:r>
              <w:rPr>
                <w:rFonts w:ascii="仿宋_GB2312" w:hAnsi="仿宋_GB2312" w:cs="仿宋_GB2312" w:eastAsia="仿宋_GB2312"/>
              </w:rPr>
              <w:t xml:space="preserve"> ③枯枝落叶层调查</w:t>
            </w:r>
            <w:r>
              <w:br/>
            </w:r>
            <w:r>
              <w:rPr>
                <w:rFonts w:ascii="仿宋_GB2312" w:hAnsi="仿宋_GB2312" w:cs="仿宋_GB2312" w:eastAsia="仿宋_GB2312"/>
              </w:rPr>
              <w:t xml:space="preserve"> 记录草本种类、株（丛）数、高度、盖度等，分别收获样方内全部草本地上和地下部分，测定其生物量。测定枯落物层厚度，采用收获法收集样方内的全部枯落物，测定其生物量。</w:t>
            </w:r>
            <w:r>
              <w:br/>
            </w:r>
            <w:r>
              <w:rPr>
                <w:rFonts w:ascii="仿宋_GB2312" w:hAnsi="仿宋_GB2312" w:cs="仿宋_GB2312" w:eastAsia="仿宋_GB2312"/>
              </w:rPr>
              <w:t xml:space="preserve"> ④土壤调查</w:t>
            </w:r>
            <w:r>
              <w:br/>
            </w:r>
            <w:r>
              <w:rPr>
                <w:rFonts w:ascii="仿宋_GB2312" w:hAnsi="仿宋_GB2312" w:cs="仿宋_GB2312" w:eastAsia="仿宋_GB2312"/>
              </w:rPr>
              <w:t xml:space="preserve"> 在样地内分别选择1个有代表性的采样点，用土钻或挖掘土壤剖面分层(如0～10cm、10～30cm和30～50cm) 采取土壤，按土层充分混合后，用四分法分别取200-300克土壤样品，去除全部直径大于2mm石砾、根系和其它死有机残体，带回实验室风干、粉碎，过2mm筛，采用碳氮分析仪测定土壤有机碳含量（SOC）。</w:t>
            </w:r>
            <w:r>
              <w:br/>
            </w:r>
            <w:r>
              <w:rPr>
                <w:rFonts w:ascii="仿宋_GB2312" w:hAnsi="仿宋_GB2312" w:cs="仿宋_GB2312" w:eastAsia="仿宋_GB2312"/>
              </w:rPr>
              <w:t xml:space="preserve"> 同时，在每个采样点，用环刀分层各取原状土样一个，称土壤湿重。每个采样点每层取1个混合土样，带回室内105℃烘干至恒重，测定土壤含水率，或用野外土壤含水率测定仪（如TDR）现场测定每个采样点各土层的土壤含水率。</w:t>
            </w:r>
            <w:r>
              <w:br/>
            </w:r>
            <w:r>
              <w:rPr>
                <w:rFonts w:ascii="仿宋_GB2312" w:hAnsi="仿宋_GB2312" w:cs="仿宋_GB2312" w:eastAsia="仿宋_GB2312"/>
              </w:rPr>
              <w:t xml:space="preserve"> （2）灌木林监测方法</w:t>
            </w:r>
            <w:r>
              <w:br/>
            </w:r>
            <w:r>
              <w:rPr>
                <w:rFonts w:ascii="仿宋_GB2312" w:hAnsi="仿宋_GB2312" w:cs="仿宋_GB2312" w:eastAsia="仿宋_GB2312"/>
              </w:rPr>
              <w:t xml:space="preserve"> 灌木林中的灌木、草本、枯落物监测方法与乔木林对应层次的监测方法相同。土壤样方的调查和取样方法也与乔木林相同。</w:t>
            </w:r>
            <w:r>
              <w:br/>
            </w:r>
            <w:r>
              <w:rPr>
                <w:rFonts w:ascii="仿宋_GB2312" w:hAnsi="仿宋_GB2312" w:cs="仿宋_GB2312" w:eastAsia="仿宋_GB2312"/>
              </w:rPr>
              <w:t xml:space="preserve"> 5、监测时间</w:t>
            </w:r>
            <w:r>
              <w:br/>
            </w:r>
            <w:r>
              <w:rPr>
                <w:rFonts w:ascii="仿宋_GB2312" w:hAnsi="仿宋_GB2312" w:cs="仿宋_GB2312" w:eastAsia="仿宋_GB2312"/>
              </w:rPr>
              <w:t xml:space="preserve"> 本次监测周期为1年。野外监测乔木、灌木9～10月份（夏末秋初，植被生物量达到年度峰值），草本监测7～8月份（植物生长旺盛期）；实验室分析与数据处理为10～12月。</w:t>
            </w:r>
            <w:r>
              <w:br/>
            </w:r>
            <w:r>
              <w:rPr>
                <w:rFonts w:ascii="仿宋_GB2312" w:hAnsi="仿宋_GB2312" w:cs="仿宋_GB2312" w:eastAsia="仿宋_GB2312"/>
              </w:rPr>
              <w:t xml:space="preserve"> 6、森林碳储量计算</w:t>
            </w:r>
            <w:r>
              <w:br/>
            </w:r>
            <w:r>
              <w:rPr>
                <w:rFonts w:ascii="仿宋_GB2312" w:hAnsi="仿宋_GB2312" w:cs="仿宋_GB2312" w:eastAsia="仿宋_GB2312"/>
              </w:rPr>
              <w:t xml:space="preserve"> （1）乔木林碳储量估算</w:t>
            </w:r>
            <w:r>
              <w:br/>
            </w:r>
            <w:r>
              <w:rPr>
                <w:rFonts w:ascii="仿宋_GB2312" w:hAnsi="仿宋_GB2312" w:cs="仿宋_GB2312" w:eastAsia="仿宋_GB2312"/>
              </w:rPr>
              <w:t xml:space="preserve"> 依据建立的单木生物量模型为基础结合林分资源调查及含碳系数的数据，计算以样地为单位碳储量，即先利用模型对每株样木的碳含量进行估值，再直接累加计算得到样地全部林木碳储量，结合林分密度、林分平均胸径、平均高度等构建林分碳储量模型，最后得到所有调查林分的碳储量。</w:t>
            </w:r>
          </w:p>
          <w:p>
            <w:pPr>
              <w:pStyle w:val="null3"/>
            </w:pPr>
            <w:r>
              <w:rPr>
                <w:rFonts w:ascii="仿宋_GB2312" w:hAnsi="仿宋_GB2312" w:cs="仿宋_GB2312" w:eastAsia="仿宋_GB2312"/>
              </w:rPr>
              <w:t>Ct为样地乔木层碳储量，Bi为样地单木生物量，基于单木生物量模型计算，R为含碳系数。</w:t>
            </w:r>
            <w:r>
              <w:br/>
            </w:r>
            <w:r>
              <w:rPr>
                <w:rFonts w:ascii="仿宋_GB2312" w:hAnsi="仿宋_GB2312" w:cs="仿宋_GB2312" w:eastAsia="仿宋_GB2312"/>
              </w:rPr>
              <w:t xml:space="preserve"> （2）灌木林碳储量估算</w:t>
            </w:r>
            <w:r>
              <w:br/>
            </w:r>
            <w:r>
              <w:rPr>
                <w:rFonts w:ascii="仿宋_GB2312" w:hAnsi="仿宋_GB2312" w:cs="仿宋_GB2312" w:eastAsia="仿宋_GB2312"/>
              </w:rPr>
              <w:t xml:space="preserve"> 基于灌木层调查指标，采用已构建生物量模型计算灌木单株生物量，把单木灌木生物量求和，通过样方的灌木生物量，推算出标准地单位面积灌木的生物量。通过通用含碳系数估算灌木林碳储量。</w:t>
            </w:r>
          </w:p>
          <w:p>
            <w:pPr>
              <w:pStyle w:val="null3"/>
            </w:pPr>
            <w:r>
              <w:rPr>
                <w:rFonts w:ascii="仿宋_GB2312" w:hAnsi="仿宋_GB2312" w:cs="仿宋_GB2312" w:eastAsia="仿宋_GB2312"/>
              </w:rPr>
              <w:t>Cs为样地种灌木层生物量；B为灌木层生物量，计算基于实测灌木样方生物量，推算样地灌木生物量；R为含碳系数，取0.5。</w:t>
            </w:r>
            <w:r>
              <w:br/>
            </w:r>
            <w:r>
              <w:rPr>
                <w:rFonts w:ascii="仿宋_GB2312" w:hAnsi="仿宋_GB2312" w:cs="仿宋_GB2312" w:eastAsia="仿宋_GB2312"/>
              </w:rPr>
              <w:t xml:space="preserve"> （3）草本碳储量估算</w:t>
            </w:r>
            <w:r>
              <w:br/>
            </w:r>
            <w:r>
              <w:rPr>
                <w:rFonts w:ascii="仿宋_GB2312" w:hAnsi="仿宋_GB2312" w:cs="仿宋_GB2312" w:eastAsia="仿宋_GB2312"/>
              </w:rPr>
              <w:t xml:space="preserve"> 基于草本层样方调查生物量，通过通用含碳系数估算草本层碳储量。</w:t>
            </w:r>
          </w:p>
          <w:p>
            <w:pPr>
              <w:pStyle w:val="null3"/>
            </w:pPr>
            <w:r>
              <w:rPr>
                <w:rFonts w:ascii="仿宋_GB2312" w:hAnsi="仿宋_GB2312" w:cs="仿宋_GB2312" w:eastAsia="仿宋_GB2312"/>
              </w:rPr>
              <w:t>Cg为样地草本层生物量；Bg为草本层生物量，计算基于实测草本样方生物量，推算样地草本生物量；R为含碳系数，取0.5。</w:t>
            </w:r>
            <w:r>
              <w:br/>
            </w:r>
            <w:r>
              <w:rPr>
                <w:rFonts w:ascii="仿宋_GB2312" w:hAnsi="仿宋_GB2312" w:cs="仿宋_GB2312" w:eastAsia="仿宋_GB2312"/>
              </w:rPr>
              <w:t xml:space="preserve"> （4）枯枝落叶层碳储量估算</w:t>
            </w:r>
            <w:r>
              <w:br/>
            </w:r>
            <w:r>
              <w:rPr>
                <w:rFonts w:ascii="仿宋_GB2312" w:hAnsi="仿宋_GB2312" w:cs="仿宋_GB2312" w:eastAsia="仿宋_GB2312"/>
              </w:rPr>
              <w:t xml:space="preserve"> 基于样地调查枯枝落叶层生物量，通过通用含碳系数估算枯枝落叶层碳储量。</w:t>
            </w:r>
          </w:p>
          <w:p>
            <w:pPr>
              <w:pStyle w:val="null3"/>
            </w:pPr>
            <w:r>
              <w:rPr>
                <w:rFonts w:ascii="仿宋_GB2312" w:hAnsi="仿宋_GB2312" w:cs="仿宋_GB2312" w:eastAsia="仿宋_GB2312"/>
              </w:rPr>
              <w:t>Cl为样地枯枝落叶层生物量；B为枯枝落叶层生物量，计算基于实测枯枝落叶层样方生物量，推算样地灌木生物量；R为含碳系数，取0.5。</w:t>
            </w:r>
            <w:r>
              <w:br/>
            </w:r>
            <w:r>
              <w:rPr>
                <w:rFonts w:ascii="仿宋_GB2312" w:hAnsi="仿宋_GB2312" w:cs="仿宋_GB2312" w:eastAsia="仿宋_GB2312"/>
              </w:rPr>
              <w:t xml:space="preserve"> （5）土壤有机碳</w:t>
            </w:r>
            <w:r>
              <w:br/>
            </w:r>
            <w:r>
              <w:rPr>
                <w:rFonts w:ascii="仿宋_GB2312" w:hAnsi="仿宋_GB2312" w:cs="仿宋_GB2312" w:eastAsia="仿宋_GB2312"/>
              </w:rPr>
              <w:t xml:space="preserve"> 基于样地调查及测定指标，估算人工林土壤层碳储量。单位面积土壤有机碳含量计算公式如下：</w:t>
            </w:r>
            <w:r>
              <w:br/>
            </w:r>
            <w:r>
              <w:rPr>
                <w:rFonts w:ascii="仿宋_GB2312" w:hAnsi="仿宋_GB2312" w:cs="仿宋_GB2312" w:eastAsia="仿宋_GB2312"/>
              </w:rPr>
              <w:t xml:space="preserve"> 土壤有机碳密度（SOCD, t/ha）计算方法如下：</w:t>
            </w:r>
            <w:r>
              <w:br/>
            </w:r>
            <w:r>
              <w:rPr>
                <w:rFonts w:ascii="仿宋_GB2312" w:hAnsi="仿宋_GB2312" w:cs="仿宋_GB2312" w:eastAsia="仿宋_GB2312"/>
              </w:rPr>
              <w:t xml:space="preserve"> SOCDi=（BDi×SOCi×Di）/10</w:t>
            </w:r>
            <w:r>
              <w:br/>
            </w:r>
            <w:r>
              <w:rPr>
                <w:rFonts w:ascii="仿宋_GB2312" w:hAnsi="仿宋_GB2312" w:cs="仿宋_GB2312" w:eastAsia="仿宋_GB2312"/>
              </w:rPr>
              <w:t xml:space="preserve"> BDi 为第 i 层土壤的土壤容重（g cm-3），SOCi为第 i 层土壤的土壤有机碳含量，Di为第 i 层土壤的土层厚度（cm）。</w:t>
            </w:r>
            <w:r>
              <w:br/>
            </w:r>
            <w:r>
              <w:rPr>
                <w:rFonts w:ascii="仿宋_GB2312" w:hAnsi="仿宋_GB2312" w:cs="仿宋_GB2312" w:eastAsia="仿宋_GB2312"/>
              </w:rPr>
              <w:t xml:space="preserve"> 土壤容重（BD）计算公式如下：</w:t>
            </w:r>
            <w:r>
              <w:br/>
            </w:r>
            <w:r>
              <w:rPr>
                <w:rFonts w:ascii="仿宋_GB2312" w:hAnsi="仿宋_GB2312" w:cs="仿宋_GB2312" w:eastAsia="仿宋_GB2312"/>
              </w:rPr>
              <w:t xml:space="preserve"> BDi=Gi*100/V*(100+W)</w:t>
            </w:r>
            <w:r>
              <w:br/>
            </w:r>
            <w:r>
              <w:rPr>
                <w:rFonts w:ascii="仿宋_GB2312" w:hAnsi="仿宋_GB2312" w:cs="仿宋_GB2312" w:eastAsia="仿宋_GB2312"/>
              </w:rPr>
              <w:t xml:space="preserve"> 式中：RS——土壤容重（g/cm3）；</w:t>
            </w:r>
            <w:r>
              <w:br/>
            </w:r>
            <w:r>
              <w:rPr>
                <w:rFonts w:ascii="仿宋_GB2312" w:hAnsi="仿宋_GB2312" w:cs="仿宋_GB2312" w:eastAsia="仿宋_GB2312"/>
              </w:rPr>
              <w:t xml:space="preserve"> Gi——环刀内湿样重（g）；</w:t>
            </w:r>
            <w:r>
              <w:br/>
            </w:r>
            <w:r>
              <w:rPr>
                <w:rFonts w:ascii="仿宋_GB2312" w:hAnsi="仿宋_GB2312" w:cs="仿宋_GB2312" w:eastAsia="仿宋_GB2312"/>
              </w:rPr>
              <w:t xml:space="preserve"> V——环刀容积（cm3）；</w:t>
            </w:r>
            <w:r>
              <w:br/>
            </w:r>
            <w:r>
              <w:rPr>
                <w:rFonts w:ascii="仿宋_GB2312" w:hAnsi="仿宋_GB2312" w:cs="仿宋_GB2312" w:eastAsia="仿宋_GB2312"/>
              </w:rPr>
              <w:t xml:space="preserve"> W——样品含水量（%）。</w:t>
            </w:r>
            <w:r>
              <w:br/>
            </w:r>
            <w:r>
              <w:rPr>
                <w:rFonts w:ascii="仿宋_GB2312" w:hAnsi="仿宋_GB2312" w:cs="仿宋_GB2312" w:eastAsia="仿宋_GB2312"/>
              </w:rPr>
              <w:t xml:space="preserve"> （6）项目区碳储量估计</w:t>
            </w:r>
            <w:r>
              <w:br/>
            </w:r>
            <w:r>
              <w:rPr>
                <w:rFonts w:ascii="仿宋_GB2312" w:hAnsi="仿宋_GB2312" w:cs="仿宋_GB2312" w:eastAsia="仿宋_GB2312"/>
              </w:rPr>
              <w:t xml:space="preserve"> 基于各小班乔木层、灌木层、草本层、枯枝落叶层和土壤层碳储量，估算项目区碳储量。</w:t>
            </w:r>
            <w:r>
              <w:br/>
            </w:r>
            <w:r>
              <w:rPr>
                <w:rFonts w:ascii="仿宋_GB2312" w:hAnsi="仿宋_GB2312" w:cs="仿宋_GB2312" w:eastAsia="仿宋_GB2312"/>
              </w:rPr>
              <w:t xml:space="preserve"> C为项目区碳储量，Ci为第i个小班碳储量，Cti为第i个小班乔木层碳储量，Csi为第i个小班灌木层碳储量，Cgi为第i个小班草本层碳储量，Cli为第i个小班枯枝落叶层碳储量，Csoi为第i个小班土壤层碳储量。</w:t>
            </w:r>
            <w:r>
              <w:br/>
            </w:r>
            <w:r>
              <w:rPr>
                <w:rFonts w:ascii="仿宋_GB2312" w:hAnsi="仿宋_GB2312" w:cs="仿宋_GB2312" w:eastAsia="仿宋_GB2312"/>
              </w:rPr>
              <w:t xml:space="preserve"> 7、森林碳储量报告</w:t>
            </w:r>
            <w:r>
              <w:br/>
            </w:r>
            <w:r>
              <w:rPr>
                <w:rFonts w:ascii="仿宋_GB2312" w:hAnsi="仿宋_GB2312" w:cs="仿宋_GB2312" w:eastAsia="仿宋_GB2312"/>
              </w:rPr>
              <w:t xml:space="preserve"> 本次调查监测陕西米仓山国家级自然保护区生态系统植被与土壤碳库结果，对监测数据进行整理分析处理，旨在分析不同土地利用类型下碳储量，揭示米仓山保护区土地利用类型、土壤类型与土壤碳库空间分布的关系，植被碳储量、密度及分配格局，评估米仓山保护区固碳的关键因子，最终形成《陕西米仓山国家级自然保护区森林碳储量监测报告》，报告详细描述估算森林碳储量的技术方法，给出森林碳储量（分地上和地下）估算结果，分析不同森林类型、不同起源、不同年龄地上生物量、碳储量的分布、大小及面积，从森林碳储量的角度分析的森林资源,支撑后续森林碳汇工作的开展。</w:t>
            </w:r>
            <w:r>
              <w:br/>
            </w:r>
            <w:r>
              <w:rPr>
                <w:rFonts w:ascii="仿宋_GB2312" w:hAnsi="仿宋_GB2312" w:cs="仿宋_GB2312" w:eastAsia="仿宋_GB2312"/>
              </w:rPr>
              <w:t xml:space="preserve"> 成果提交：</w:t>
            </w:r>
            <w:r>
              <w:br/>
            </w:r>
            <w:r>
              <w:rPr>
                <w:rFonts w:ascii="仿宋_GB2312" w:hAnsi="仿宋_GB2312" w:cs="仿宋_GB2312" w:eastAsia="仿宋_GB2312"/>
              </w:rPr>
              <w:t xml:space="preserve"> ①调查原始记录表（纸质和电子版）1套；</w:t>
            </w:r>
            <w:r>
              <w:br/>
            </w:r>
            <w:r>
              <w:rPr>
                <w:rFonts w:ascii="仿宋_GB2312" w:hAnsi="仿宋_GB2312" w:cs="仿宋_GB2312" w:eastAsia="仿宋_GB2312"/>
              </w:rPr>
              <w:t xml:space="preserve"> ②调查工作照片、样地等影像资料1套；</w:t>
            </w:r>
            <w:r>
              <w:br/>
            </w:r>
            <w:r>
              <w:rPr>
                <w:rFonts w:ascii="仿宋_GB2312" w:hAnsi="仿宋_GB2312" w:cs="仿宋_GB2312" w:eastAsia="仿宋_GB2312"/>
              </w:rPr>
              <w:t xml:space="preserve"> ③提供评估报告纸质版10份，电子版1套；</w:t>
            </w:r>
            <w:r>
              <w:br/>
            </w:r>
            <w:r>
              <w:rPr>
                <w:rFonts w:ascii="仿宋_GB2312" w:hAnsi="仿宋_GB2312" w:cs="仿宋_GB2312" w:eastAsia="仿宋_GB2312"/>
              </w:rPr>
              <w:t xml:space="preserve"> ④以陕西米仓山国家级自然保护区管理局为第一单位发表相关中文期刊论文2篇。</w:t>
            </w:r>
          </w:p>
        </w:tc>
      </w:tr>
    </w:tbl>
    <w:p>
      <w:pPr>
        <w:pStyle w:val="null3"/>
      </w:pPr>
      <w:r>
        <w:rPr>
          <w:rFonts w:ascii="仿宋_GB2312" w:hAnsi="仿宋_GB2312" w:cs="仿宋_GB2312" w:eastAsia="仿宋_GB2312"/>
        </w:rPr>
        <w:t>标的名称：陆生野生动物疫源疫病监测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00"/>
              <w:jc w:val="both"/>
            </w:pPr>
            <w:r>
              <w:rPr>
                <w:rFonts w:ascii="仿宋_GB2312" w:hAnsi="仿宋_GB2312" w:cs="仿宋_GB2312" w:eastAsia="仿宋_GB2312"/>
                <w:sz w:val="30"/>
              </w:rPr>
              <w:t xml:space="preserve">           </w:t>
            </w:r>
            <w:r>
              <w:rPr>
                <w:rFonts w:ascii="仿宋_GB2312" w:hAnsi="仿宋_GB2312" w:cs="仿宋_GB2312" w:eastAsia="仿宋_GB2312"/>
                <w:sz w:val="18"/>
              </w:rPr>
              <w:t xml:space="preserve">   陆生</w:t>
            </w:r>
            <w:r>
              <w:rPr>
                <w:rFonts w:ascii="仿宋_GB2312" w:hAnsi="仿宋_GB2312" w:cs="仿宋_GB2312" w:eastAsia="仿宋_GB2312"/>
                <w:sz w:val="18"/>
              </w:rPr>
              <w:t>野生动物疫源疫病监测</w:t>
            </w:r>
          </w:p>
          <w:p>
            <w:pPr>
              <w:pStyle w:val="null3"/>
              <w:ind w:firstLine="560"/>
              <w:jc w:val="both"/>
            </w:pPr>
            <w:r>
              <w:rPr>
                <w:rFonts w:ascii="仿宋_GB2312" w:hAnsi="仿宋_GB2312" w:cs="仿宋_GB2312" w:eastAsia="仿宋_GB2312"/>
                <w:sz w:val="18"/>
              </w:rPr>
              <w:t>为强化保护区野生动物疫源疫病风险预警和防控，保护野生动物资源，维护生物多样性，保障区内生态安全、物种安全和周边社会公共卫生安全。尤其</w:t>
            </w:r>
            <w:r>
              <w:rPr>
                <w:rFonts w:ascii="仿宋_GB2312" w:hAnsi="仿宋_GB2312" w:cs="仿宋_GB2312" w:eastAsia="仿宋_GB2312"/>
                <w:sz w:val="18"/>
              </w:rPr>
              <w:t>重要的是，各类野生动物疫源疫病专项调查，是保护区开展疫源疫病防控工作的核心前提和关键支撑，具有不可替代的重要意义。野生动物是疫源疫病的重要宿主，其活动范围广、接触场景复杂，其健康状况直接关系到疫源疫病的传播风险。通过专项调查，掌握重点野生动物的健康动态，及时发现异常死亡、行为异常等疫病早期迹象，提前排查疫源隐患、研判传播风险，为快速启动预警响应、采取防控措施提供依据，有效防范疫病在野生动物种群间传播扩散，进而阻断疫病向人类传播的途径。</w:t>
            </w:r>
          </w:p>
          <w:p>
            <w:pPr>
              <w:pStyle w:val="null3"/>
              <w:ind w:firstLine="560"/>
              <w:jc w:val="both"/>
            </w:pPr>
            <w:r>
              <w:rPr>
                <w:rFonts w:ascii="仿宋_GB2312" w:hAnsi="仿宋_GB2312" w:cs="仿宋_GB2312" w:eastAsia="仿宋_GB2312"/>
                <w:sz w:val="18"/>
              </w:rPr>
              <w:t>保护区作为野生动植物栖息的核心区域，也是国家疫源疫病监测站，承担着疫源疫病监测</w:t>
            </w:r>
            <w:r>
              <w:rPr>
                <w:rFonts w:ascii="仿宋_GB2312" w:hAnsi="仿宋_GB2312" w:cs="仿宋_GB2312" w:eastAsia="仿宋_GB2312"/>
                <w:sz w:val="18"/>
              </w:rPr>
              <w:t>“第一道防线”的职责。在经费紧张的情况下，保护区克服困难、力所能及地开展了野生动物疫源疫病监测防控相关工作，但由于野生动物分布面积大，监测区域点多面广，尤其既涉及保护区，也涉及保护区周边社区和村落，现有监测力量难以实现辖区内疫源疫病的全面、精准掌控，监测工作仍存在薄弱环节</w:t>
            </w:r>
            <w:r>
              <w:rPr>
                <w:rFonts w:ascii="仿宋_GB2312" w:hAnsi="仿宋_GB2312" w:cs="仿宋_GB2312" w:eastAsia="仿宋_GB2312"/>
                <w:sz w:val="18"/>
                <w:color w:val="000000"/>
              </w:rPr>
              <w:t>。</w:t>
            </w:r>
          </w:p>
          <w:p>
            <w:pPr>
              <w:pStyle w:val="null3"/>
              <w:ind w:firstLine="200"/>
              <w:jc w:val="left"/>
            </w:pPr>
            <w:r>
              <w:rPr>
                <w:rFonts w:ascii="仿宋_GB2312" w:hAnsi="仿宋_GB2312" w:cs="仿宋_GB2312" w:eastAsia="仿宋_GB2312"/>
                <w:sz w:val="18"/>
              </w:rPr>
              <w:t>因此，持续深入开展保护区陆生野生动物疫源疫病专项调查，不断加强野生动物资源保护，维护生态平衡，强化疫源疫病风险预警和防控，防范野生动物疫病传播扩散，将成为保护区今后一段时期野生动物疫源疫病监测防控工作的重要任务，也是履行自身职责、保障生态安全和公共卫生安全的必然要求。</w:t>
            </w:r>
          </w:p>
          <w:p>
            <w:pPr>
              <w:pStyle w:val="null3"/>
              <w:ind w:firstLine="560"/>
              <w:jc w:val="both"/>
            </w:pPr>
            <w:r>
              <w:rPr>
                <w:rFonts w:ascii="仿宋_GB2312" w:hAnsi="仿宋_GB2312" w:cs="仿宋_GB2312" w:eastAsia="仿宋_GB2312"/>
                <w:sz w:val="18"/>
              </w:rPr>
              <w:t>1、监测目的</w:t>
            </w:r>
          </w:p>
          <w:p>
            <w:pPr>
              <w:pStyle w:val="null3"/>
              <w:ind w:firstLine="560"/>
              <w:jc w:val="both"/>
            </w:pPr>
            <w:r>
              <w:rPr>
                <w:rFonts w:ascii="仿宋_GB2312" w:hAnsi="仿宋_GB2312" w:cs="仿宋_GB2312" w:eastAsia="仿宋_GB2312"/>
                <w:sz w:val="18"/>
              </w:rPr>
              <w:t>通过对保护区陆生野生动物观察、样本采集</w:t>
            </w:r>
            <w:r>
              <w:rPr>
                <w:rFonts w:ascii="仿宋_GB2312" w:hAnsi="仿宋_GB2312" w:cs="仿宋_GB2312" w:eastAsia="仿宋_GB2312"/>
                <w:sz w:val="18"/>
              </w:rPr>
              <w:t>（如粪便、血液）、死亡动物检测等方式进行监测，及时发现野生动物异常情况，掌握保护区及周边社区、村落野生动物中可能携带的病原体、病原体变异或跨种传播风险，研判疫病流行趋势，早期发现预警，积极做好防控工作，</w:t>
            </w:r>
            <w:r>
              <w:rPr>
                <w:rFonts w:ascii="仿宋_GB2312" w:hAnsi="仿宋_GB2312" w:cs="仿宋_GB2312" w:eastAsia="仿宋_GB2312"/>
                <w:sz w:val="18"/>
              </w:rPr>
              <w:t>最大限度从源头阻断人畜共患病传播，有助于保护区域内生物多样性和生态平衡，也有助于维护社会公共卫生安全。</w:t>
            </w:r>
          </w:p>
          <w:p>
            <w:pPr>
              <w:pStyle w:val="null3"/>
              <w:ind w:firstLine="560"/>
              <w:jc w:val="both"/>
            </w:pPr>
            <w:r>
              <w:rPr>
                <w:rFonts w:ascii="仿宋_GB2312" w:hAnsi="仿宋_GB2312" w:cs="仿宋_GB2312" w:eastAsia="仿宋_GB2312"/>
                <w:sz w:val="18"/>
              </w:rPr>
              <w:t>2、监测内容、对象及指标</w:t>
            </w:r>
          </w:p>
          <w:p>
            <w:pPr>
              <w:pStyle w:val="null3"/>
              <w:ind w:firstLine="560"/>
              <w:jc w:val="both"/>
            </w:pPr>
            <w:r>
              <w:rPr>
                <w:rFonts w:ascii="仿宋_GB2312" w:hAnsi="仿宋_GB2312" w:cs="仿宋_GB2312" w:eastAsia="仿宋_GB2312"/>
                <w:sz w:val="18"/>
              </w:rPr>
              <w:t>（</w:t>
            </w:r>
            <w:r>
              <w:rPr>
                <w:rFonts w:ascii="仿宋_GB2312" w:hAnsi="仿宋_GB2312" w:cs="仿宋_GB2312" w:eastAsia="仿宋_GB2312"/>
                <w:sz w:val="18"/>
              </w:rPr>
              <w:t>1）监测内容。疫源疫病监测的内容是重点监测疫病种类和疫源物种目录应包括疫病种类、重点疫源物种和重点区域等内容。</w:t>
            </w:r>
          </w:p>
          <w:p>
            <w:pPr>
              <w:pStyle w:val="null3"/>
              <w:ind w:firstLine="560"/>
              <w:jc w:val="both"/>
            </w:pPr>
            <w:r>
              <w:rPr>
                <w:rFonts w:ascii="仿宋_GB2312" w:hAnsi="仿宋_GB2312" w:cs="仿宋_GB2312" w:eastAsia="仿宋_GB2312"/>
                <w:sz w:val="18"/>
              </w:rPr>
              <w:t>（</w:t>
            </w:r>
            <w:r>
              <w:rPr>
                <w:rFonts w:ascii="仿宋_GB2312" w:hAnsi="仿宋_GB2312" w:cs="仿宋_GB2312" w:eastAsia="仿宋_GB2312"/>
                <w:sz w:val="18"/>
              </w:rPr>
              <w:t>2）监测对象。包括哺乳类、鸟类、爬行类和两栖类陆生野生动物。</w:t>
            </w:r>
          </w:p>
          <w:p>
            <w:pPr>
              <w:pStyle w:val="null3"/>
              <w:ind w:firstLine="560"/>
              <w:jc w:val="both"/>
            </w:pPr>
            <w:r>
              <w:rPr>
                <w:rFonts w:ascii="仿宋_GB2312" w:hAnsi="仿宋_GB2312" w:cs="仿宋_GB2312" w:eastAsia="仿宋_GB2312"/>
                <w:sz w:val="18"/>
              </w:rPr>
              <w:t>（</w:t>
            </w:r>
            <w:r>
              <w:rPr>
                <w:rFonts w:ascii="仿宋_GB2312" w:hAnsi="仿宋_GB2312" w:cs="仿宋_GB2312" w:eastAsia="仿宋_GB2312"/>
                <w:sz w:val="18"/>
              </w:rPr>
              <w:t>3）监测指标</w:t>
            </w:r>
          </w:p>
          <w:p>
            <w:pPr>
              <w:pStyle w:val="null3"/>
              <w:ind w:firstLine="560"/>
              <w:jc w:val="both"/>
            </w:pPr>
            <w:r>
              <w:rPr>
                <w:rFonts w:ascii="仿宋_GB2312" w:hAnsi="仿宋_GB2312" w:cs="仿宋_GB2312" w:eastAsia="仿宋_GB2312"/>
                <w:sz w:val="18"/>
              </w:rPr>
              <w:t>主要是通过调查监测发现目标物种是否异常，如果异常则采样进行分子生物学检验，从而来判断是否发生疫情。同时通过监测掌握辖区内目标动物（易感物种）的种群分布状况。异常是指野生动物表现出与该物种自然生活、生长过程不相符合的生理、形态和行为等方面的差异，主要表现包括以下几点：</w:t>
            </w:r>
            <w:r>
              <w:rPr>
                <w:rFonts w:ascii="仿宋_GB2312" w:hAnsi="仿宋_GB2312" w:cs="仿宋_GB2312" w:eastAsia="仿宋_GB2312"/>
                <w:sz w:val="18"/>
              </w:rPr>
              <w:t>①死亡现象：个体猝死、种群大规模死亡或群体死亡；②行为异常：如跌倒、头颈部倾斜、头及颈部扭曲、打转、瘫痪、惊厥等；③运动异常：如在没有受外伤的情况下，无法正常站立、行走或扇动翅膀等；④形态异常：如不明原因的消瘦、组织器官肿胀和/或变色、开放性溃疡等；⑤生理异常：如口、鼻、耳或肛门流出或清或浊液体、打喷嚏、腹泻、反胃等。</w:t>
            </w:r>
          </w:p>
          <w:p>
            <w:pPr>
              <w:pStyle w:val="null3"/>
              <w:ind w:firstLine="560"/>
              <w:jc w:val="both"/>
            </w:pPr>
            <w:r>
              <w:rPr>
                <w:rFonts w:ascii="仿宋_GB2312" w:hAnsi="仿宋_GB2312" w:cs="仿宋_GB2312" w:eastAsia="仿宋_GB2312"/>
                <w:sz w:val="18"/>
              </w:rPr>
              <w:t>3、监测区域</w:t>
            </w:r>
          </w:p>
          <w:p>
            <w:pPr>
              <w:pStyle w:val="null3"/>
              <w:ind w:firstLine="560"/>
              <w:jc w:val="both"/>
            </w:pPr>
            <w:r>
              <w:rPr>
                <w:rFonts w:ascii="仿宋_GB2312" w:hAnsi="仿宋_GB2312" w:cs="仿宋_GB2312" w:eastAsia="仿宋_GB2312"/>
                <w:sz w:val="18"/>
              </w:rPr>
              <w:t>陕西米仓山国家级自然保护区辖区内及周边附近社区、村落。</w:t>
            </w:r>
            <w:r>
              <w:rPr>
                <w:rFonts w:ascii="仿宋_GB2312" w:hAnsi="仿宋_GB2312" w:cs="仿宋_GB2312" w:eastAsia="仿宋_GB2312"/>
                <w:sz w:val="18"/>
              </w:rPr>
              <w:t>①陆生野生动物分布、活动的区域。②陆生野生动物集中分布区域，包括集中繁殖地、越冬地、夜栖地、取食地及迁徙中途停歇地等。③陆生野生动物与人、饲养动物密切接触区域。</w:t>
            </w:r>
          </w:p>
          <w:p>
            <w:pPr>
              <w:pStyle w:val="null3"/>
              <w:ind w:firstLine="560"/>
              <w:jc w:val="both"/>
            </w:pPr>
            <w:r>
              <w:rPr>
                <w:rFonts w:ascii="仿宋_GB2312" w:hAnsi="仿宋_GB2312" w:cs="仿宋_GB2312" w:eastAsia="仿宋_GB2312"/>
                <w:sz w:val="18"/>
              </w:rPr>
              <w:t>4、监测方法</w:t>
            </w:r>
          </w:p>
          <w:p>
            <w:pPr>
              <w:pStyle w:val="null3"/>
              <w:ind w:firstLine="560"/>
              <w:jc w:val="both"/>
            </w:pPr>
            <w:r>
              <w:rPr>
                <w:rFonts w:ascii="仿宋_GB2312" w:hAnsi="仿宋_GB2312" w:cs="仿宋_GB2312" w:eastAsia="仿宋_GB2312"/>
                <w:sz w:val="18"/>
              </w:rPr>
              <w:t>本次野生动物疫源疫病监测主要采取样线法、定点监测和红外相机监测等方法进行。</w:t>
            </w:r>
          </w:p>
          <w:p>
            <w:pPr>
              <w:pStyle w:val="null3"/>
              <w:ind w:firstLine="560"/>
              <w:jc w:val="both"/>
            </w:pPr>
            <w:r>
              <w:rPr>
                <w:rFonts w:ascii="仿宋_GB2312" w:hAnsi="仿宋_GB2312" w:cs="仿宋_GB2312" w:eastAsia="仿宋_GB2312"/>
                <w:sz w:val="18"/>
              </w:rPr>
              <w:t>（</w:t>
            </w:r>
            <w:r>
              <w:rPr>
                <w:rFonts w:ascii="仿宋_GB2312" w:hAnsi="仿宋_GB2312" w:cs="仿宋_GB2312" w:eastAsia="仿宋_GB2312"/>
                <w:sz w:val="18"/>
              </w:rPr>
              <w:t>1）监测样线设计</w:t>
            </w:r>
          </w:p>
          <w:p>
            <w:pPr>
              <w:pStyle w:val="null3"/>
              <w:ind w:firstLine="560"/>
              <w:jc w:val="both"/>
            </w:pPr>
            <w:r>
              <w:rPr>
                <w:rFonts w:ascii="仿宋_GB2312" w:hAnsi="仿宋_GB2312" w:cs="仿宋_GB2312" w:eastAsia="仿宋_GB2312"/>
                <w:sz w:val="18"/>
              </w:rPr>
              <w:t>①样线布设应根据保护区内陆生野生动物资源分布情况、生态环境类型，综合考虑人员、交通等因素而科学设计监测样线。</w:t>
            </w:r>
          </w:p>
          <w:p>
            <w:pPr>
              <w:pStyle w:val="null3"/>
              <w:ind w:firstLine="560"/>
              <w:jc w:val="both"/>
            </w:pPr>
            <w:r>
              <w:rPr>
                <w:rFonts w:ascii="仿宋_GB2312" w:hAnsi="仿宋_GB2312" w:cs="仿宋_GB2312" w:eastAsia="仿宋_GB2312"/>
                <w:sz w:val="18"/>
              </w:rPr>
              <w:t>②样线应充分考虑陆生野生动物随季节动态变化进行布设，应覆盖保护区内陆生野生动物主要分布区、相同生态类型的应安排在同一样线上。</w:t>
            </w:r>
          </w:p>
          <w:p>
            <w:pPr>
              <w:pStyle w:val="null3"/>
              <w:ind w:firstLine="560"/>
              <w:jc w:val="both"/>
            </w:pPr>
            <w:r>
              <w:rPr>
                <w:rFonts w:ascii="仿宋_GB2312" w:hAnsi="仿宋_GB2312" w:cs="仿宋_GB2312" w:eastAsia="仿宋_GB2312"/>
                <w:sz w:val="18"/>
              </w:rPr>
              <w:t>③样线宽度应使监测人员能够清楚观察到两侧的陆生野生动物及活动痕迹。</w:t>
            </w:r>
          </w:p>
          <w:p>
            <w:pPr>
              <w:pStyle w:val="null3"/>
              <w:ind w:firstLine="560"/>
              <w:jc w:val="both"/>
            </w:pPr>
            <w:r>
              <w:rPr>
                <w:rFonts w:ascii="仿宋_GB2312" w:hAnsi="仿宋_GB2312" w:cs="仿宋_GB2312" w:eastAsia="仿宋_GB2312"/>
                <w:sz w:val="18"/>
              </w:rPr>
              <w:t>④样线长度应使监测人员当天能够完成一条样线的监测工作，并用GPS进行定位。</w:t>
            </w:r>
          </w:p>
          <w:p>
            <w:pPr>
              <w:pStyle w:val="null3"/>
              <w:ind w:firstLine="560"/>
              <w:jc w:val="both"/>
            </w:pPr>
            <w:r>
              <w:rPr>
                <w:rFonts w:ascii="仿宋_GB2312" w:hAnsi="仿宋_GB2312" w:cs="仿宋_GB2312" w:eastAsia="仿宋_GB2312"/>
                <w:sz w:val="18"/>
              </w:rPr>
              <w:t>（</w:t>
            </w:r>
            <w:r>
              <w:rPr>
                <w:rFonts w:ascii="仿宋_GB2312" w:hAnsi="仿宋_GB2312" w:cs="仿宋_GB2312" w:eastAsia="仿宋_GB2312"/>
                <w:sz w:val="18"/>
              </w:rPr>
              <w:t>2）监测方法</w:t>
            </w:r>
          </w:p>
          <w:p>
            <w:pPr>
              <w:pStyle w:val="null3"/>
              <w:ind w:firstLine="560"/>
              <w:jc w:val="both"/>
            </w:pPr>
            <w:r>
              <w:rPr>
                <w:rFonts w:ascii="仿宋_GB2312" w:hAnsi="仿宋_GB2312" w:cs="仿宋_GB2312" w:eastAsia="仿宋_GB2312"/>
                <w:sz w:val="18"/>
              </w:rPr>
              <w:t>①样线监测</w:t>
            </w:r>
          </w:p>
          <w:p>
            <w:pPr>
              <w:pStyle w:val="null3"/>
              <w:ind w:firstLine="560"/>
              <w:jc w:val="both"/>
            </w:pPr>
            <w:r>
              <w:rPr>
                <w:rFonts w:ascii="仿宋_GB2312" w:hAnsi="仿宋_GB2312" w:cs="仿宋_GB2312" w:eastAsia="仿宋_GB2312"/>
                <w:sz w:val="18"/>
              </w:rPr>
              <w:t>本项目采用样线监测，针对保护区森林生态系统中的针叶林、针阔混交林以及阔叶林以及地形条件的特点，样线的布设要覆盖辖区内重点野生动物集中分布区，能够使辖区内重点野生动物种群资源情况、异常状况等得到全面有效调查，共布设样线</w:t>
            </w:r>
            <w:r>
              <w:rPr>
                <w:rFonts w:ascii="仿宋_GB2312" w:hAnsi="仿宋_GB2312" w:cs="仿宋_GB2312" w:eastAsia="仿宋_GB2312"/>
                <w:sz w:val="18"/>
              </w:rPr>
              <w:t>30条，每条样线长度不少于5km，样线宽度基于调查动物特性，两栖类、爬行类单侧宽度不少于10m，鸟类、兽类单侧宽度不少于15m，采用徒步进行观测监测，实时记录发现的陆生野生动物种类、数量及其地理坐标和死亡、行为和形态等异常情况及其地理坐标以及与发病陆生野生动物密切接触的饲养动物种类。</w:t>
            </w:r>
          </w:p>
          <w:p>
            <w:pPr>
              <w:pStyle w:val="null3"/>
              <w:ind w:firstLine="560"/>
              <w:jc w:val="both"/>
            </w:pPr>
            <w:r>
              <w:rPr>
                <w:rFonts w:ascii="仿宋_GB2312" w:hAnsi="仿宋_GB2312" w:cs="仿宋_GB2312" w:eastAsia="仿宋_GB2312"/>
                <w:sz w:val="18"/>
              </w:rPr>
              <w:t>②定点观测</w:t>
            </w:r>
          </w:p>
          <w:p>
            <w:pPr>
              <w:pStyle w:val="null3"/>
              <w:ind w:firstLine="560"/>
              <w:jc w:val="both"/>
            </w:pPr>
            <w:r>
              <w:rPr>
                <w:rFonts w:ascii="仿宋_GB2312" w:hAnsi="仿宋_GB2312" w:cs="仿宋_GB2312" w:eastAsia="仿宋_GB2312"/>
                <w:sz w:val="18"/>
              </w:rPr>
              <w:t>定点观测结合样线监测实施。观测点主要设置在陆生野生动物种群集中分布、活动区域或者迁徙通道的重点地区，监测人员应使用大比例尺地形图、</w:t>
            </w:r>
            <w:r>
              <w:rPr>
                <w:rFonts w:ascii="仿宋_GB2312" w:hAnsi="仿宋_GB2312" w:cs="仿宋_GB2312" w:eastAsia="仿宋_GB2312"/>
                <w:sz w:val="18"/>
              </w:rPr>
              <w:t>GPS等方法对监测点进行定位，采用直接计数法进行监测记录。</w:t>
            </w:r>
          </w:p>
          <w:p>
            <w:pPr>
              <w:pStyle w:val="null3"/>
              <w:ind w:firstLine="560"/>
              <w:jc w:val="both"/>
            </w:pPr>
            <w:r>
              <w:rPr>
                <w:rFonts w:ascii="仿宋_GB2312" w:hAnsi="仿宋_GB2312" w:cs="仿宋_GB2312" w:eastAsia="仿宋_GB2312"/>
                <w:sz w:val="18"/>
              </w:rPr>
              <w:t>兽类应记录其种类、数量及其所在的栖息地类型，发现痕迹时，应对痕迹拍照，并记录痕迹数量以及周围的生境。</w:t>
            </w:r>
          </w:p>
          <w:p>
            <w:pPr>
              <w:pStyle w:val="null3"/>
              <w:ind w:firstLine="560"/>
              <w:jc w:val="both"/>
            </w:pPr>
            <w:r>
              <w:rPr>
                <w:rFonts w:ascii="仿宋_GB2312" w:hAnsi="仿宋_GB2312" w:cs="仿宋_GB2312" w:eastAsia="仿宋_GB2312"/>
                <w:sz w:val="18"/>
              </w:rPr>
              <w:t>鸟类观测时间宜为清晨（日出</w:t>
            </w:r>
            <w:r>
              <w:rPr>
                <w:rFonts w:ascii="仿宋_GB2312" w:hAnsi="仿宋_GB2312" w:cs="仿宋_GB2312" w:eastAsia="仿宋_GB2312"/>
                <w:sz w:val="18"/>
              </w:rPr>
              <w:t>0.5小时至3小时）或傍晚（日落3小时至日落）。到达样点后，宜安静休息5分钟后，以调查人员所在地为样点中心，观察并记录四周发现的鸟类名称、数量、距离样点中心距离等信息，每个个体只记录一次，能够判明是飞出又飞回的鸟不进行计数。</w:t>
            </w:r>
          </w:p>
          <w:p>
            <w:pPr>
              <w:pStyle w:val="null3"/>
              <w:ind w:firstLine="560"/>
              <w:jc w:val="both"/>
            </w:pPr>
            <w:r>
              <w:rPr>
                <w:rFonts w:ascii="仿宋_GB2312" w:hAnsi="仿宋_GB2312" w:cs="仿宋_GB2312" w:eastAsia="仿宋_GB2312"/>
                <w:sz w:val="18"/>
              </w:rPr>
              <w:t>爬行类、两栖类监测宜为出蛰后的</w:t>
            </w:r>
            <w:r>
              <w:rPr>
                <w:rFonts w:ascii="仿宋_GB2312" w:hAnsi="仿宋_GB2312" w:cs="仿宋_GB2312" w:eastAsia="仿宋_GB2312"/>
                <w:sz w:val="18"/>
              </w:rPr>
              <w:t>5个月内，根据不同种类活动时间，监测时间为分昼间监测和夜晚监测，记录其种类、数量及其所在的栖息地类型，发现痕迹时，应对痕迹拍照，并记录痕迹数量以及周围的生境。</w:t>
            </w:r>
          </w:p>
          <w:p>
            <w:pPr>
              <w:pStyle w:val="null3"/>
              <w:ind w:firstLine="560"/>
              <w:jc w:val="both"/>
            </w:pPr>
            <w:r>
              <w:rPr>
                <w:rFonts w:ascii="仿宋_GB2312" w:hAnsi="仿宋_GB2312" w:cs="仿宋_GB2312" w:eastAsia="仿宋_GB2312"/>
                <w:sz w:val="18"/>
              </w:rPr>
              <w:t>③红外相机监测</w:t>
            </w:r>
          </w:p>
          <w:p>
            <w:pPr>
              <w:pStyle w:val="null3"/>
              <w:ind w:firstLine="560"/>
              <w:jc w:val="both"/>
            </w:pPr>
            <w:r>
              <w:rPr>
                <w:rFonts w:ascii="仿宋_GB2312" w:hAnsi="仿宋_GB2312" w:cs="仿宋_GB2312" w:eastAsia="仿宋_GB2312"/>
                <w:sz w:val="18"/>
              </w:rPr>
              <w:t>红外相机监测在既设监测样线每条样线上布设</w:t>
            </w:r>
            <w:r>
              <w:rPr>
                <w:rFonts w:ascii="仿宋_GB2312" w:hAnsi="仿宋_GB2312" w:cs="仿宋_GB2312" w:eastAsia="仿宋_GB2312"/>
                <w:sz w:val="18"/>
              </w:rPr>
              <w:t>2个红外相机位点，间隔距离不少于1.5公里，特别是要选择野生动物集中分布或活动痕迹频繁的路径或区域位点布设红外相机，确保红外相机拍摄到监测区内野生动物种群数量、分布情况、生境情况以及野生动物异常情况。</w:t>
            </w:r>
          </w:p>
          <w:p>
            <w:pPr>
              <w:pStyle w:val="null3"/>
              <w:ind w:firstLine="200"/>
              <w:jc w:val="center"/>
            </w:pPr>
            <w:r>
              <w:rPr>
                <w:rFonts w:ascii="仿宋_GB2312" w:hAnsi="仿宋_GB2312" w:cs="仿宋_GB2312" w:eastAsia="仿宋_GB2312"/>
                <w:sz w:val="18"/>
              </w:rPr>
              <w:t>野生动物疫源疫病监测记录表</w:t>
            </w:r>
          </w:p>
          <w:p>
            <w:pPr>
              <w:pStyle w:val="null3"/>
              <w:ind w:firstLine="200"/>
              <w:jc w:val="center"/>
            </w:pPr>
            <w:r>
              <w:rPr>
                <w:rFonts w:ascii="仿宋_GB2312" w:hAnsi="仿宋_GB2312" w:cs="仿宋_GB2312" w:eastAsia="仿宋_GB2312"/>
                <w:sz w:val="18"/>
              </w:rPr>
              <w:t xml:space="preserve">                                   </w:t>
            </w:r>
            <w:r>
              <w:rPr>
                <w:rFonts w:ascii="仿宋_GB2312" w:hAnsi="仿宋_GB2312" w:cs="仿宋_GB2312" w:eastAsia="仿宋_GB2312"/>
                <w:sz w:val="18"/>
              </w:rPr>
              <w:t>填表人：</w:t>
            </w:r>
          </w:p>
          <w:tbl>
            <w:tblPr>
              <w:tblInd w:type="dxa" w:w="45"/>
              <w:tblBorders>
                <w:top w:val="none" w:color="000000" w:sz="4"/>
                <w:left w:val="none" w:color="000000" w:sz="4"/>
                <w:bottom w:val="none" w:color="000000" w:sz="4"/>
                <w:right w:val="none" w:color="000000" w:sz="4"/>
                <w:insideH w:val="none"/>
                <w:insideV w:val="none"/>
              </w:tblBorders>
            </w:tblPr>
            <w:tblGrid>
              <w:gridCol w:w="320"/>
              <w:gridCol w:w="191"/>
              <w:gridCol w:w="204"/>
              <w:gridCol w:w="298"/>
              <w:gridCol w:w="82"/>
              <w:gridCol w:w="218"/>
              <w:gridCol w:w="204"/>
              <w:gridCol w:w="82"/>
              <w:gridCol w:w="82"/>
              <w:gridCol w:w="82"/>
              <w:gridCol w:w="173"/>
              <w:gridCol w:w="82"/>
              <w:gridCol w:w="100"/>
              <w:gridCol w:w="100"/>
              <w:gridCol w:w="147"/>
              <w:gridCol w:w="173"/>
            </w:tblGrid>
            <w:tr>
              <w:tc>
                <w:tcPr>
                  <w:tcW w:type="dxa" w:w="3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jc w:val="center"/>
                  </w:pPr>
                  <w:r>
                    <w:rPr>
                      <w:rFonts w:ascii="仿宋_GB2312" w:hAnsi="仿宋_GB2312" w:cs="仿宋_GB2312" w:eastAsia="仿宋_GB2312"/>
                      <w:sz w:val="18"/>
                      <w:b/>
                    </w:rPr>
                    <w:t>样线编号</w:t>
                  </w:r>
                </w:p>
              </w:tc>
              <w:tc>
                <w:tcPr>
                  <w:tcW w:type="dxa" w:w="39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ind w:firstLine="195"/>
                    <w:jc w:val="center"/>
                  </w:pPr>
                </w:p>
              </w:tc>
              <w:tc>
                <w:tcPr>
                  <w:tcW w:type="dxa" w:w="1303"/>
                  <w:gridSpan w:val="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b/>
                    </w:rPr>
                    <w:t>日期</w:t>
                  </w:r>
                  <w:r>
                    <w:rPr>
                      <w:rFonts w:ascii="仿宋_GB2312" w:hAnsi="仿宋_GB2312" w:cs="仿宋_GB2312" w:eastAsia="仿宋_GB2312"/>
                      <w:sz w:val="18"/>
                    </w:rPr>
                    <w:t>：</w:t>
                  </w:r>
                  <w:r>
                    <w:rPr>
                      <w:rFonts w:ascii="仿宋_GB2312" w:hAnsi="仿宋_GB2312" w:cs="仿宋_GB2312" w:eastAsia="仿宋_GB2312"/>
                      <w:sz w:val="18"/>
                    </w:rPr>
                    <w:t xml:space="preserve">       </w:t>
                  </w:r>
                  <w:r>
                    <w:rPr>
                      <w:rFonts w:ascii="仿宋_GB2312" w:hAnsi="仿宋_GB2312" w:cs="仿宋_GB2312" w:eastAsia="仿宋_GB2312"/>
                      <w:sz w:val="18"/>
                    </w:rPr>
                    <w:t>年</w:t>
                  </w:r>
                  <w:r>
                    <w:rPr>
                      <w:rFonts w:ascii="仿宋_GB2312" w:hAnsi="仿宋_GB2312" w:cs="仿宋_GB2312" w:eastAsia="仿宋_GB2312"/>
                      <w:sz w:val="18"/>
                    </w:rPr>
                    <w:t xml:space="preserve">     </w:t>
                  </w:r>
                  <w:r>
                    <w:rPr>
                      <w:rFonts w:ascii="仿宋_GB2312" w:hAnsi="仿宋_GB2312" w:cs="仿宋_GB2312" w:eastAsia="仿宋_GB2312"/>
                      <w:sz w:val="18"/>
                    </w:rPr>
                    <w:t>月</w:t>
                  </w:r>
                  <w:r>
                    <w:rPr>
                      <w:rFonts w:ascii="仿宋_GB2312" w:hAnsi="仿宋_GB2312" w:cs="仿宋_GB2312" w:eastAsia="仿宋_GB2312"/>
                      <w:sz w:val="18"/>
                    </w:rPr>
                    <w:t xml:space="preserve">     </w:t>
                  </w:r>
                  <w:r>
                    <w:rPr>
                      <w:rFonts w:ascii="仿宋_GB2312" w:hAnsi="仿宋_GB2312" w:cs="仿宋_GB2312" w:eastAsia="仿宋_GB2312"/>
                      <w:sz w:val="18"/>
                    </w:rPr>
                    <w:t>日</w:t>
                  </w:r>
                </w:p>
              </w:tc>
              <w:tc>
                <w:tcPr>
                  <w:tcW w:type="dxa" w:w="20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jc w:val="center"/>
                  </w:pPr>
                  <w:r>
                    <w:rPr>
                      <w:rFonts w:ascii="仿宋_GB2312" w:hAnsi="仿宋_GB2312" w:cs="仿宋_GB2312" w:eastAsia="仿宋_GB2312"/>
                      <w:sz w:val="18"/>
                      <w:b/>
                    </w:rPr>
                    <w:t>天气</w:t>
                  </w:r>
                </w:p>
              </w:tc>
              <w:tc>
                <w:tcPr>
                  <w:tcW w:type="dxa" w:w="32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ind w:firstLine="195"/>
                    <w:jc w:val="center"/>
                  </w:pP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记录点编号</w:t>
                  </w:r>
                </w:p>
              </w:tc>
              <w:tc>
                <w:tcPr>
                  <w:tcW w:type="dxa" w:w="77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ind w:firstLine="195"/>
                    <w:jc w:val="center"/>
                  </w:pPr>
                </w:p>
              </w:tc>
              <w:tc>
                <w:tcPr>
                  <w:tcW w:type="dxa" w:w="4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调查人</w:t>
                  </w:r>
                </w:p>
              </w:tc>
              <w:tc>
                <w:tcPr>
                  <w:tcW w:type="dxa" w:w="1021"/>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ind w:firstLine="195"/>
                    <w:jc w:val="center"/>
                  </w:pPr>
                </w:p>
              </w:tc>
            </w:tr>
            <w:tr>
              <w:tc>
                <w:tcPr>
                  <w:tcW w:type="dxa" w:w="3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地</w:t>
                  </w:r>
                  <w:r>
                    <w:rPr>
                      <w:rFonts w:ascii="仿宋_GB2312" w:hAnsi="仿宋_GB2312" w:cs="仿宋_GB2312" w:eastAsia="仿宋_GB2312"/>
                      <w:sz w:val="18"/>
                      <w:b/>
                    </w:rPr>
                    <w:t xml:space="preserve">   </w:t>
                  </w:r>
                  <w:r>
                    <w:rPr>
                      <w:rFonts w:ascii="仿宋_GB2312" w:hAnsi="仿宋_GB2312" w:cs="仿宋_GB2312" w:eastAsia="仿宋_GB2312"/>
                      <w:sz w:val="18"/>
                      <w:b/>
                    </w:rPr>
                    <w:t>点</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jc w:val="center"/>
                  </w:pPr>
                  <w:r>
                    <w:rPr>
                      <w:rFonts w:ascii="仿宋_GB2312" w:hAnsi="仿宋_GB2312" w:cs="仿宋_GB2312" w:eastAsia="仿宋_GB2312"/>
                      <w:sz w:val="18"/>
                    </w:rPr>
                    <w:t>山系</w:t>
                  </w:r>
                </w:p>
              </w:tc>
              <w:tc>
                <w:tcPr>
                  <w:tcW w:type="dxa" w:w="58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ind w:firstLine="195"/>
                    <w:jc w:val="center"/>
                  </w:pP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省</w:t>
                  </w:r>
                </w:p>
              </w:tc>
              <w:tc>
                <w:tcPr>
                  <w:tcW w:type="dxa" w:w="2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jc w:val="center"/>
                  </w:pPr>
                </w:p>
              </w:tc>
              <w:tc>
                <w:tcPr>
                  <w:tcW w:type="dxa" w:w="164"/>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市</w:t>
                  </w:r>
                </w:p>
              </w:tc>
              <w:tc>
                <w:tcPr>
                  <w:tcW w:type="dxa" w:w="337"/>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ind w:firstLine="195"/>
                    <w:jc w:val="center"/>
                  </w:pPr>
                </w:p>
              </w:tc>
              <w:tc>
                <w:tcPr>
                  <w:tcW w:type="dxa" w:w="20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县</w:t>
                  </w:r>
                </w:p>
              </w:tc>
              <w:tc>
                <w:tcPr>
                  <w:tcW w:type="dxa" w:w="32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ind w:firstLine="195"/>
                    <w:jc w:val="center"/>
                  </w:pPr>
                </w:p>
              </w:tc>
            </w:tr>
            <w:tr>
              <w:tc>
                <w:tcPr>
                  <w:tcW w:type="dxa" w:w="320"/>
                  <w:vMerge/>
                  <w:tcBorders>
                    <w:top w:val="none" w:color="000000" w:sz="4"/>
                    <w:left w:val="single" w:color="000000" w:sz="4"/>
                    <w:bottom w:val="single" w:color="000000" w:sz="4"/>
                    <w:right w:val="single" w:color="000000" w:sz="4"/>
                  </w:tcBorders>
                </w:tcP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乡镇</w:t>
                  </w:r>
                </w:p>
              </w:tc>
              <w:tc>
                <w:tcPr>
                  <w:tcW w:type="dxa" w:w="58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ind w:firstLine="195"/>
                    <w:jc w:val="center"/>
                  </w:pPr>
                </w:p>
              </w:tc>
              <w:tc>
                <w:tcPr>
                  <w:tcW w:type="dxa" w:w="4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小地名</w:t>
                  </w:r>
                </w:p>
              </w:tc>
              <w:tc>
                <w:tcPr>
                  <w:tcW w:type="dxa" w:w="1021"/>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ind w:firstLine="195"/>
                    <w:jc w:val="center"/>
                  </w:pP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地理坐标</w:t>
                  </w:r>
                </w:p>
              </w:tc>
              <w:tc>
                <w:tcPr>
                  <w:tcW w:type="dxa" w:w="77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jc w:val="left"/>
                  </w:pPr>
                  <w:r>
                    <w:rPr>
                      <w:rFonts w:ascii="仿宋_GB2312" w:hAnsi="仿宋_GB2312" w:cs="仿宋_GB2312" w:eastAsia="仿宋_GB2312"/>
                      <w:sz w:val="18"/>
                      <w:b/>
                    </w:rPr>
                    <w:t>N:</w:t>
                  </w:r>
                </w:p>
              </w:tc>
              <w:tc>
                <w:tcPr>
                  <w:tcW w:type="dxa" w:w="58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jc w:val="left"/>
                  </w:pPr>
                  <w:r>
                    <w:rPr>
                      <w:rFonts w:ascii="仿宋_GB2312" w:hAnsi="仿宋_GB2312" w:cs="仿宋_GB2312" w:eastAsia="仿宋_GB2312"/>
                      <w:sz w:val="18"/>
                      <w:b/>
                    </w:rPr>
                    <w:t>E:</w:t>
                  </w:r>
                </w:p>
              </w:tc>
              <w:tc>
                <w:tcPr>
                  <w:tcW w:type="dxa" w:w="857"/>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jc w:val="left"/>
                  </w:pPr>
                  <w:r>
                    <w:rPr>
                      <w:rFonts w:ascii="仿宋_GB2312" w:hAnsi="仿宋_GB2312" w:cs="仿宋_GB2312" w:eastAsia="仿宋_GB2312"/>
                      <w:sz w:val="18"/>
                      <w:b/>
                    </w:rPr>
                    <w:t>海拔：</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jc w:val="center"/>
                  </w:pPr>
                  <w:r>
                    <w:rPr>
                      <w:rFonts w:ascii="仿宋_GB2312" w:hAnsi="仿宋_GB2312" w:cs="仿宋_GB2312" w:eastAsia="仿宋_GB2312"/>
                      <w:sz w:val="18"/>
                      <w:b/>
                    </w:rPr>
                    <w:t>目标动物</w:t>
                  </w:r>
                </w:p>
                <w:p>
                  <w:pPr>
                    <w:pStyle w:val="null3"/>
                    <w:spacing w:lineRule="exact" w:line="555"/>
                    <w:jc w:val="center"/>
                  </w:pPr>
                  <w:r>
                    <w:rPr>
                      <w:rFonts w:ascii="仿宋_GB2312" w:hAnsi="仿宋_GB2312" w:cs="仿宋_GB2312" w:eastAsia="仿宋_GB2312"/>
                      <w:sz w:val="18"/>
                      <w:b/>
                    </w:rPr>
                    <w:t>名称</w:t>
                  </w:r>
                </w:p>
              </w:tc>
              <w:tc>
                <w:tcPr>
                  <w:tcW w:type="dxa" w:w="39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ind w:firstLine="195"/>
                    <w:jc w:val="center"/>
                  </w:pPr>
                </w:p>
              </w:tc>
              <w:tc>
                <w:tcPr>
                  <w:tcW w:type="dxa" w:w="38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异常情况</w:t>
                  </w:r>
                </w:p>
              </w:tc>
              <w:tc>
                <w:tcPr>
                  <w:tcW w:type="dxa" w:w="58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jc w:val="center"/>
                  </w:pPr>
                  <w:r>
                    <w:rPr>
                      <w:rFonts w:ascii="仿宋_GB2312" w:hAnsi="仿宋_GB2312" w:cs="仿宋_GB2312" w:eastAsia="仿宋_GB2312"/>
                      <w:sz w:val="18"/>
                    </w:rPr>
                    <w:t>□ 有       □无</w:t>
                  </w:r>
                </w:p>
              </w:tc>
              <w:tc>
                <w:tcPr>
                  <w:tcW w:type="dxa" w:w="337"/>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jc w:val="center"/>
                  </w:pPr>
                  <w:r>
                    <w:rPr>
                      <w:rFonts w:ascii="仿宋_GB2312" w:hAnsi="仿宋_GB2312" w:cs="仿宋_GB2312" w:eastAsia="仿宋_GB2312"/>
                      <w:sz w:val="18"/>
                      <w:b/>
                    </w:rPr>
                    <w:t>是否取样</w:t>
                  </w:r>
                </w:p>
              </w:tc>
              <w:tc>
                <w:tcPr>
                  <w:tcW w:type="dxa" w:w="520"/>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jc w:val="center"/>
                  </w:pPr>
                  <w:r>
                    <w:rPr>
                      <w:rFonts w:ascii="仿宋_GB2312" w:hAnsi="仿宋_GB2312" w:cs="仿宋_GB2312" w:eastAsia="仿宋_GB2312"/>
                      <w:sz w:val="18"/>
                    </w:rPr>
                    <w:t>□ 有     □无</w:t>
                  </w:r>
                </w:p>
              </w:tc>
            </w:tr>
            <w:tr>
              <w:tc>
                <w:tcPr>
                  <w:tcW w:type="dxa" w:w="3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jc w:val="center"/>
                  </w:pPr>
                  <w:r>
                    <w:rPr>
                      <w:rFonts w:ascii="仿宋_GB2312" w:hAnsi="仿宋_GB2312" w:cs="仿宋_GB2312" w:eastAsia="仿宋_GB2312"/>
                      <w:sz w:val="18"/>
                      <w:b/>
                    </w:rPr>
                    <w:t>痕迹</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jc w:val="center"/>
                  </w:pPr>
                  <w:r>
                    <w:rPr>
                      <w:rFonts w:ascii="仿宋_GB2312" w:hAnsi="仿宋_GB2312" w:cs="仿宋_GB2312" w:eastAsia="仿宋_GB2312"/>
                      <w:sz w:val="18"/>
                    </w:rPr>
                    <w:t>足迹</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jc w:val="center"/>
                  </w:pPr>
                  <w:r>
                    <w:rPr>
                      <w:rFonts w:ascii="仿宋_GB2312" w:hAnsi="仿宋_GB2312" w:cs="仿宋_GB2312" w:eastAsia="仿宋_GB2312"/>
                      <w:sz w:val="18"/>
                    </w:rPr>
                    <w:t>食迹</w:t>
                  </w:r>
                </w:p>
              </w:tc>
              <w:tc>
                <w:tcPr>
                  <w:tcW w:type="dxa" w:w="38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jc w:val="center"/>
                  </w:pPr>
                  <w:r>
                    <w:rPr>
                      <w:rFonts w:ascii="仿宋_GB2312" w:hAnsi="仿宋_GB2312" w:cs="仿宋_GB2312" w:eastAsia="仿宋_GB2312"/>
                      <w:sz w:val="18"/>
                    </w:rPr>
                    <w:t>卧迹</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jc w:val="center"/>
                  </w:pPr>
                  <w:r>
                    <w:rPr>
                      <w:rFonts w:ascii="仿宋_GB2312" w:hAnsi="仿宋_GB2312" w:cs="仿宋_GB2312" w:eastAsia="仿宋_GB2312"/>
                      <w:sz w:val="18"/>
                    </w:rPr>
                    <w:t>毛发</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jc w:val="center"/>
                  </w:pPr>
                  <w:r>
                    <w:rPr>
                      <w:rFonts w:ascii="仿宋_GB2312" w:hAnsi="仿宋_GB2312" w:cs="仿宋_GB2312" w:eastAsia="仿宋_GB2312"/>
                      <w:sz w:val="18"/>
                    </w:rPr>
                    <w:t>巢穴</w:t>
                  </w:r>
                </w:p>
              </w:tc>
              <w:tc>
                <w:tcPr>
                  <w:tcW w:type="dxa" w:w="164"/>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jc w:val="center"/>
                  </w:pPr>
                  <w:r>
                    <w:rPr>
                      <w:rFonts w:ascii="仿宋_GB2312" w:hAnsi="仿宋_GB2312" w:cs="仿宋_GB2312" w:eastAsia="仿宋_GB2312"/>
                      <w:sz w:val="18"/>
                    </w:rPr>
                    <w:t>嗅味树</w:t>
                  </w:r>
                </w:p>
              </w:tc>
              <w:tc>
                <w:tcPr>
                  <w:tcW w:type="dxa" w:w="337"/>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jc w:val="center"/>
                  </w:pPr>
                  <w:r>
                    <w:rPr>
                      <w:rFonts w:ascii="仿宋_GB2312" w:hAnsi="仿宋_GB2312" w:cs="仿宋_GB2312" w:eastAsia="仿宋_GB2312"/>
                      <w:sz w:val="18"/>
                    </w:rPr>
                    <w:t>发情场所</w:t>
                  </w:r>
                </w:p>
              </w:tc>
              <w:tc>
                <w:tcPr>
                  <w:tcW w:type="dxa" w:w="520"/>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jc w:val="center"/>
                  </w:pPr>
                  <w:r>
                    <w:rPr>
                      <w:rFonts w:ascii="仿宋_GB2312" w:hAnsi="仿宋_GB2312" w:cs="仿宋_GB2312" w:eastAsia="仿宋_GB2312"/>
                      <w:sz w:val="18"/>
                    </w:rPr>
                    <w:t>其它</w:t>
                  </w:r>
                </w:p>
              </w:tc>
            </w:tr>
            <w:tr>
              <w:tc>
                <w:tcPr>
                  <w:tcW w:type="dxa" w:w="320"/>
                  <w:vMerge/>
                  <w:tcBorders>
                    <w:top w:val="none" w:color="000000" w:sz="4"/>
                    <w:left w:val="single" w:color="000000" w:sz="4"/>
                    <w:bottom w:val="single" w:color="000000" w:sz="4"/>
                    <w:right w:val="single" w:color="000000" w:sz="4"/>
                  </w:tcBorders>
                </w:tcP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ind w:firstLine="195"/>
                    <w:jc w:val="center"/>
                  </w:pP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3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实体</w:t>
                  </w:r>
                </w:p>
              </w:tc>
              <w:tc>
                <w:tcPr>
                  <w:tcW w:type="dxa" w:w="39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jc w:val="center"/>
                  </w:pPr>
                  <w:r>
                    <w:rPr>
                      <w:rFonts w:ascii="仿宋_GB2312" w:hAnsi="仿宋_GB2312" w:cs="仿宋_GB2312" w:eastAsia="仿宋_GB2312"/>
                      <w:sz w:val="18"/>
                    </w:rPr>
                    <w:t>数量</w:t>
                  </w:r>
                  <w:r>
                    <w:rPr>
                      <w:rFonts w:ascii="仿宋_GB2312" w:hAnsi="仿宋_GB2312" w:cs="仿宋_GB2312" w:eastAsia="仿宋_GB2312"/>
                      <w:sz w:val="18"/>
                      <w:b/>
                      <w:u w:val="single"/>
                    </w:rPr>
                    <w:t xml:space="preserve">    </w:t>
                  </w:r>
                  <w:r>
                    <w:rPr>
                      <w:rFonts w:ascii="仿宋_GB2312" w:hAnsi="仿宋_GB2312" w:cs="仿宋_GB2312" w:eastAsia="仿宋_GB2312"/>
                      <w:sz w:val="18"/>
                    </w:rPr>
                    <w:t xml:space="preserve"> </w:t>
                  </w:r>
                  <w:r>
                    <w:rPr>
                      <w:rFonts w:ascii="仿宋_GB2312" w:hAnsi="仿宋_GB2312" w:cs="仿宋_GB2312" w:eastAsia="仿宋_GB2312"/>
                      <w:sz w:val="18"/>
                    </w:rPr>
                    <w:t>只</w:t>
                  </w:r>
                </w:p>
              </w:tc>
              <w:tc>
                <w:tcPr>
                  <w:tcW w:type="dxa" w:w="1303"/>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jc w:val="center"/>
                  </w:pPr>
                  <w:r>
                    <w:rPr>
                      <w:rFonts w:ascii="仿宋_GB2312" w:hAnsi="仿宋_GB2312" w:cs="仿宋_GB2312" w:eastAsia="仿宋_GB2312"/>
                      <w:sz w:val="18"/>
                    </w:rPr>
                    <w:t>□幼体   只；□亚成体</w:t>
                  </w:r>
                  <w:r>
                    <w:rPr>
                      <w:rFonts w:ascii="仿宋_GB2312" w:hAnsi="仿宋_GB2312" w:cs="仿宋_GB2312" w:eastAsia="仿宋_GB2312"/>
                      <w:sz w:val="18"/>
                      <w:b/>
                      <w:u w:val="single"/>
                    </w:rPr>
                    <w:t xml:space="preserve">    </w:t>
                  </w:r>
                  <w:r>
                    <w:rPr>
                      <w:rFonts w:ascii="仿宋_GB2312" w:hAnsi="仿宋_GB2312" w:cs="仿宋_GB2312" w:eastAsia="仿宋_GB2312"/>
                      <w:sz w:val="18"/>
                    </w:rPr>
                    <w:t>只；</w:t>
                  </w:r>
                  <w:r>
                    <w:rPr>
                      <w:rFonts w:ascii="仿宋_GB2312" w:hAnsi="仿宋_GB2312" w:cs="仿宋_GB2312" w:eastAsia="仿宋_GB2312"/>
                      <w:sz w:val="18"/>
                    </w:rPr>
                    <w:t>□成体</w:t>
                  </w:r>
                  <w:r>
                    <w:rPr>
                      <w:rFonts w:ascii="仿宋_GB2312" w:hAnsi="仿宋_GB2312" w:cs="仿宋_GB2312" w:eastAsia="仿宋_GB2312"/>
                      <w:sz w:val="18"/>
                      <w:b/>
                      <w:u w:val="single"/>
                    </w:rPr>
                    <w:t xml:space="preserve">    </w:t>
                  </w:r>
                  <w:r>
                    <w:rPr>
                      <w:rFonts w:ascii="仿宋_GB2312" w:hAnsi="仿宋_GB2312" w:cs="仿宋_GB2312" w:eastAsia="仿宋_GB2312"/>
                      <w:sz w:val="18"/>
                    </w:rPr>
                    <w:t>只</w:t>
                  </w:r>
                </w:p>
              </w:tc>
              <w:tc>
                <w:tcPr>
                  <w:tcW w:type="dxa" w:w="52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jc w:val="both"/>
                  </w:pPr>
                  <w:r>
                    <w:rPr>
                      <w:rFonts w:ascii="仿宋_GB2312" w:hAnsi="仿宋_GB2312" w:cs="仿宋_GB2312" w:eastAsia="仿宋_GB2312"/>
                      <w:sz w:val="18"/>
                      <w:b/>
                    </w:rPr>
                    <w:t>行为</w:t>
                  </w:r>
                  <w:r>
                    <w:rPr>
                      <w:rFonts w:ascii="仿宋_GB2312" w:hAnsi="仿宋_GB2312" w:cs="仿宋_GB2312" w:eastAsia="仿宋_GB2312"/>
                      <w:sz w:val="18"/>
                    </w:rPr>
                    <w:t>：</w:t>
                  </w:r>
                </w:p>
              </w:tc>
            </w:tr>
            <w:tr>
              <w:tc>
                <w:tcPr>
                  <w:tcW w:type="dxa" w:w="3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jc w:val="center"/>
                  </w:pPr>
                  <w:r>
                    <w:rPr>
                      <w:rFonts w:ascii="仿宋_GB2312" w:hAnsi="仿宋_GB2312" w:cs="仿宋_GB2312" w:eastAsia="仿宋_GB2312"/>
                      <w:sz w:val="18"/>
                      <w:b/>
                    </w:rPr>
                    <w:t>尸体</w:t>
                  </w:r>
                </w:p>
              </w:tc>
              <w:tc>
                <w:tcPr>
                  <w:tcW w:type="dxa" w:w="39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jc w:val="center"/>
                  </w:pPr>
                  <w:r>
                    <w:rPr>
                      <w:rFonts w:ascii="仿宋_GB2312" w:hAnsi="仿宋_GB2312" w:cs="仿宋_GB2312" w:eastAsia="仿宋_GB2312"/>
                      <w:sz w:val="18"/>
                    </w:rPr>
                    <w:t>数量</w:t>
                  </w:r>
                  <w:r>
                    <w:rPr>
                      <w:rFonts w:ascii="仿宋_GB2312" w:hAnsi="仿宋_GB2312" w:cs="仿宋_GB2312" w:eastAsia="仿宋_GB2312"/>
                      <w:sz w:val="18"/>
                    </w:rPr>
                    <w:t xml:space="preserve">      </w:t>
                  </w:r>
                  <w:r>
                    <w:rPr>
                      <w:rFonts w:ascii="仿宋_GB2312" w:hAnsi="仿宋_GB2312" w:cs="仿宋_GB2312" w:eastAsia="仿宋_GB2312"/>
                      <w:sz w:val="18"/>
                    </w:rPr>
                    <w:t>只</w:t>
                  </w:r>
                </w:p>
              </w:tc>
              <w:tc>
                <w:tcPr>
                  <w:tcW w:type="dxa" w:w="1823"/>
                  <w:gridSpan w:val="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jc w:val="center"/>
                  </w:pPr>
                  <w:r>
                    <w:rPr>
                      <w:rFonts w:ascii="仿宋_GB2312" w:hAnsi="仿宋_GB2312" w:cs="仿宋_GB2312" w:eastAsia="仿宋_GB2312"/>
                      <w:sz w:val="18"/>
                    </w:rPr>
                    <w:t>□幼体   只；□亚成体</w:t>
                  </w:r>
                  <w:r>
                    <w:rPr>
                      <w:rFonts w:ascii="仿宋_GB2312" w:hAnsi="仿宋_GB2312" w:cs="仿宋_GB2312" w:eastAsia="仿宋_GB2312"/>
                      <w:sz w:val="18"/>
                      <w:b/>
                      <w:u w:val="single"/>
                    </w:rPr>
                    <w:t xml:space="preserve">    </w:t>
                  </w:r>
                  <w:r>
                    <w:rPr>
                      <w:rFonts w:ascii="仿宋_GB2312" w:hAnsi="仿宋_GB2312" w:cs="仿宋_GB2312" w:eastAsia="仿宋_GB2312"/>
                      <w:sz w:val="18"/>
                    </w:rPr>
                    <w:t>只；</w:t>
                  </w:r>
                  <w:r>
                    <w:rPr>
                      <w:rFonts w:ascii="仿宋_GB2312" w:hAnsi="仿宋_GB2312" w:cs="仿宋_GB2312" w:eastAsia="仿宋_GB2312"/>
                      <w:sz w:val="18"/>
                    </w:rPr>
                    <w:t>□成体</w:t>
                  </w:r>
                  <w:r>
                    <w:rPr>
                      <w:rFonts w:ascii="仿宋_GB2312" w:hAnsi="仿宋_GB2312" w:cs="仿宋_GB2312" w:eastAsia="仿宋_GB2312"/>
                      <w:sz w:val="18"/>
                      <w:b/>
                      <w:u w:val="single"/>
                    </w:rPr>
                    <w:t xml:space="preserve">    </w:t>
                  </w:r>
                  <w:r>
                    <w:rPr>
                      <w:rFonts w:ascii="仿宋_GB2312" w:hAnsi="仿宋_GB2312" w:cs="仿宋_GB2312" w:eastAsia="仿宋_GB2312"/>
                      <w:sz w:val="18"/>
                    </w:rPr>
                    <w:t>只</w:t>
                  </w:r>
                </w:p>
              </w:tc>
            </w:tr>
            <w:tr>
              <w:tc>
                <w:tcPr>
                  <w:tcW w:type="dxa" w:w="320"/>
                  <w:vMerge/>
                  <w:tcBorders>
                    <w:top w:val="none" w:color="000000" w:sz="4"/>
                    <w:left w:val="single" w:color="000000" w:sz="4"/>
                    <w:bottom w:val="single" w:color="000000" w:sz="4"/>
                    <w:right w:val="single" w:color="000000" w:sz="4"/>
                  </w:tcBorders>
                </w:tcPr>
                <w:p/>
              </w:tc>
              <w:tc>
                <w:tcPr>
                  <w:tcW w:type="dxa" w:w="1279"/>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jc w:val="both"/>
                  </w:pPr>
                  <w:r>
                    <w:rPr>
                      <w:rFonts w:ascii="仿宋_GB2312" w:hAnsi="仿宋_GB2312" w:cs="仿宋_GB2312" w:eastAsia="仿宋_GB2312"/>
                      <w:sz w:val="18"/>
                    </w:rPr>
                    <w:t>死亡时间大约</w:t>
                  </w:r>
                  <w:r>
                    <w:rPr>
                      <w:rFonts w:ascii="仿宋_GB2312" w:hAnsi="仿宋_GB2312" w:cs="仿宋_GB2312" w:eastAsia="仿宋_GB2312"/>
                      <w:sz w:val="18"/>
                      <w:b/>
                      <w:u w:val="single"/>
                    </w:rPr>
                    <w:t xml:space="preserve">         </w:t>
                  </w:r>
                  <w:r>
                    <w:rPr>
                      <w:rFonts w:ascii="仿宋_GB2312" w:hAnsi="仿宋_GB2312" w:cs="仿宋_GB2312" w:eastAsia="仿宋_GB2312"/>
                      <w:sz w:val="18"/>
                    </w:rPr>
                    <w:t>（月、周、日）</w:t>
                  </w:r>
                </w:p>
              </w:tc>
              <w:tc>
                <w:tcPr>
                  <w:tcW w:type="dxa" w:w="939"/>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jc w:val="both"/>
                  </w:pPr>
                  <w:r>
                    <w:rPr>
                      <w:rFonts w:ascii="仿宋_GB2312" w:hAnsi="仿宋_GB2312" w:cs="仿宋_GB2312" w:eastAsia="仿宋_GB2312"/>
                      <w:sz w:val="18"/>
                    </w:rPr>
                    <w:t>可能死亡的原因：</w:t>
                  </w:r>
                </w:p>
              </w:tc>
            </w:tr>
            <w:tr>
              <w:tc>
                <w:tcPr>
                  <w:tcW w:type="dxa" w:w="3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jc w:val="center"/>
                  </w:pPr>
                  <w:r>
                    <w:rPr>
                      <w:rFonts w:ascii="仿宋_GB2312" w:hAnsi="仿宋_GB2312" w:cs="仿宋_GB2312" w:eastAsia="仿宋_GB2312"/>
                      <w:sz w:val="18"/>
                      <w:b/>
                    </w:rPr>
                    <w:t>生境类型</w:t>
                  </w:r>
                </w:p>
              </w:tc>
              <w:tc>
                <w:tcPr>
                  <w:tcW w:type="dxa" w:w="39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jc w:val="center"/>
                  </w:pPr>
                  <w:r>
                    <w:rPr>
                      <w:rFonts w:ascii="仿宋_GB2312" w:hAnsi="仿宋_GB2312" w:cs="仿宋_GB2312" w:eastAsia="仿宋_GB2312"/>
                      <w:sz w:val="18"/>
                    </w:rPr>
                    <w:t>常阔落阔混交</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jc w:val="center"/>
                  </w:pPr>
                  <w:r>
                    <w:rPr>
                      <w:rFonts w:ascii="仿宋_GB2312" w:hAnsi="仿宋_GB2312" w:cs="仿宋_GB2312" w:eastAsia="仿宋_GB2312"/>
                      <w:sz w:val="18"/>
                    </w:rPr>
                    <w:t>常绿阔叶</w:t>
                  </w:r>
                </w:p>
              </w:tc>
              <w:tc>
                <w:tcPr>
                  <w:tcW w:type="dxa" w:w="30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jc w:val="center"/>
                  </w:pPr>
                  <w:r>
                    <w:rPr>
                      <w:rFonts w:ascii="仿宋_GB2312" w:hAnsi="仿宋_GB2312" w:cs="仿宋_GB2312" w:eastAsia="仿宋_GB2312"/>
                      <w:sz w:val="18"/>
                    </w:rPr>
                    <w:t>落叶阔叶</w:t>
                  </w:r>
                </w:p>
              </w:tc>
              <w:tc>
                <w:tcPr>
                  <w:tcW w:type="dxa" w:w="28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jc w:val="center"/>
                  </w:pPr>
                  <w:r>
                    <w:rPr>
                      <w:rFonts w:ascii="仿宋_GB2312" w:hAnsi="仿宋_GB2312" w:cs="仿宋_GB2312" w:eastAsia="仿宋_GB2312"/>
                      <w:sz w:val="18"/>
                    </w:rPr>
                    <w:t>针阔混交</w:t>
                  </w:r>
                </w:p>
              </w:tc>
              <w:tc>
                <w:tcPr>
                  <w:tcW w:type="dxa" w:w="164"/>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jc w:val="center"/>
                  </w:pPr>
                  <w:r>
                    <w:rPr>
                      <w:rFonts w:ascii="仿宋_GB2312" w:hAnsi="仿宋_GB2312" w:cs="仿宋_GB2312" w:eastAsia="仿宋_GB2312"/>
                      <w:sz w:val="18"/>
                    </w:rPr>
                    <w:t>针叶林</w:t>
                  </w:r>
                </w:p>
              </w:tc>
              <w:tc>
                <w:tcPr>
                  <w:tcW w:type="dxa" w:w="1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jc w:val="center"/>
                  </w:pPr>
                  <w:r>
                    <w:rPr>
                      <w:rFonts w:ascii="仿宋_GB2312" w:hAnsi="仿宋_GB2312" w:cs="仿宋_GB2312" w:eastAsia="仿宋_GB2312"/>
                      <w:sz w:val="18"/>
                    </w:rPr>
                    <w:t>灌丛</w:t>
                  </w:r>
                </w:p>
              </w:tc>
              <w:tc>
                <w:tcPr>
                  <w:tcW w:type="dxa" w:w="182"/>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jc w:val="center"/>
                  </w:pPr>
                  <w:r>
                    <w:rPr>
                      <w:rFonts w:ascii="仿宋_GB2312" w:hAnsi="仿宋_GB2312" w:cs="仿宋_GB2312" w:eastAsia="仿宋_GB2312"/>
                      <w:sz w:val="18"/>
                    </w:rPr>
                    <w:t>草地</w:t>
                  </w:r>
                </w:p>
              </w:tc>
              <w:tc>
                <w:tcPr>
                  <w:tcW w:type="dxa" w:w="24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jc w:val="center"/>
                  </w:pPr>
                  <w:r>
                    <w:rPr>
                      <w:rFonts w:ascii="仿宋_GB2312" w:hAnsi="仿宋_GB2312" w:cs="仿宋_GB2312" w:eastAsia="仿宋_GB2312"/>
                      <w:sz w:val="18"/>
                    </w:rPr>
                    <w:t>裸岩</w:t>
                  </w:r>
                </w:p>
              </w:tc>
              <w:tc>
                <w:tcPr>
                  <w:tcW w:type="dxa" w:w="1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jc w:val="both"/>
                  </w:pPr>
                  <w:r>
                    <w:rPr>
                      <w:rFonts w:ascii="仿宋_GB2312" w:hAnsi="仿宋_GB2312" w:cs="仿宋_GB2312" w:eastAsia="仿宋_GB2312"/>
                      <w:sz w:val="18"/>
                    </w:rPr>
                    <w:t>农田</w:t>
                  </w:r>
                </w:p>
              </w:tc>
            </w:tr>
            <w:tr>
              <w:tc>
                <w:tcPr>
                  <w:tcW w:type="dxa" w:w="320"/>
                  <w:vMerge/>
                  <w:tcBorders>
                    <w:top w:val="none" w:color="000000" w:sz="4"/>
                    <w:left w:val="single" w:color="000000" w:sz="4"/>
                    <w:bottom w:val="single" w:color="000000" w:sz="4"/>
                    <w:right w:val="single" w:color="000000" w:sz="4"/>
                  </w:tcBorders>
                </w:tcPr>
                <w:p/>
              </w:tc>
              <w:tc>
                <w:tcPr>
                  <w:tcW w:type="dxa" w:w="39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jc w:val="both"/>
                  </w:pP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20"/>
                  <w:vMerge/>
                  <w:tcBorders>
                    <w:top w:val="none" w:color="000000" w:sz="4"/>
                    <w:left w:val="single" w:color="000000" w:sz="4"/>
                    <w:bottom w:val="single" w:color="000000" w:sz="4"/>
                    <w:right w:val="single" w:color="000000" w:sz="4"/>
                  </w:tcBorders>
                </w:tcPr>
                <w:p/>
              </w:tc>
              <w:tc>
                <w:tcPr>
                  <w:tcW w:type="dxa" w:w="2218"/>
                  <w:gridSpan w:val="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b/>
                    </w:rPr>
                    <w:t>常绿阔叶</w:t>
                  </w:r>
                  <w:r>
                    <w:rPr>
                      <w:rFonts w:ascii="仿宋_GB2312" w:hAnsi="仿宋_GB2312" w:cs="仿宋_GB2312" w:eastAsia="仿宋_GB2312"/>
                      <w:sz w:val="18"/>
                    </w:rPr>
                    <w:t>：</w:t>
                  </w:r>
                  <w:r>
                    <w:rPr>
                      <w:rFonts w:ascii="仿宋_GB2312" w:hAnsi="仿宋_GB2312" w:cs="仿宋_GB2312" w:eastAsia="仿宋_GB2312"/>
                      <w:sz w:val="18"/>
                    </w:rPr>
                    <w:t xml:space="preserve">1.常绿阔叶林，2.硬叶常绿阔叶林；  </w:t>
                  </w:r>
                  <w:r>
                    <w:rPr>
                      <w:rFonts w:ascii="仿宋_GB2312" w:hAnsi="仿宋_GB2312" w:cs="仿宋_GB2312" w:eastAsia="仿宋_GB2312"/>
                      <w:sz w:val="18"/>
                      <w:b/>
                    </w:rPr>
                    <w:t>针叶</w:t>
                  </w:r>
                  <w:r>
                    <w:rPr>
                      <w:rFonts w:ascii="仿宋_GB2312" w:hAnsi="仿宋_GB2312" w:cs="仿宋_GB2312" w:eastAsia="仿宋_GB2312"/>
                      <w:sz w:val="18"/>
                    </w:rPr>
                    <w:t>：</w:t>
                  </w:r>
                  <w:r>
                    <w:rPr>
                      <w:rFonts w:ascii="仿宋_GB2312" w:hAnsi="仿宋_GB2312" w:cs="仿宋_GB2312" w:eastAsia="仿宋_GB2312"/>
                      <w:sz w:val="18"/>
                    </w:rPr>
                    <w:t xml:space="preserve">3.寒温针叶林，4、温性针叶林，5.暖性针叶林； </w:t>
                  </w:r>
                  <w:r>
                    <w:rPr>
                      <w:rFonts w:ascii="仿宋_GB2312" w:hAnsi="仿宋_GB2312" w:cs="仿宋_GB2312" w:eastAsia="仿宋_GB2312"/>
                      <w:sz w:val="18"/>
                      <w:b/>
                    </w:rPr>
                    <w:t>灌丛</w:t>
                  </w:r>
                  <w:r>
                    <w:rPr>
                      <w:rFonts w:ascii="仿宋_GB2312" w:hAnsi="仿宋_GB2312" w:cs="仿宋_GB2312" w:eastAsia="仿宋_GB2312"/>
                      <w:sz w:val="18"/>
                    </w:rPr>
                    <w:t>：</w:t>
                  </w:r>
                  <w:r>
                    <w:rPr>
                      <w:rFonts w:ascii="仿宋_GB2312" w:hAnsi="仿宋_GB2312" w:cs="仿宋_GB2312" w:eastAsia="仿宋_GB2312"/>
                      <w:sz w:val="18"/>
                    </w:rPr>
                    <w:t>6.常绿针叶灌丛，7.常绿革叶灌丛，8.落叶阔叶灌丛，9.常绿阔叶灌丛，10.竹林，11.灌草丛。</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jc w:val="center"/>
                  </w:pPr>
                  <w:r>
                    <w:rPr>
                      <w:rFonts w:ascii="仿宋_GB2312" w:hAnsi="仿宋_GB2312" w:cs="仿宋_GB2312" w:eastAsia="仿宋_GB2312"/>
                      <w:sz w:val="18"/>
                      <w:b/>
                    </w:rPr>
                    <w:t>备注</w:t>
                  </w:r>
                </w:p>
              </w:tc>
              <w:tc>
                <w:tcPr>
                  <w:tcW w:type="dxa" w:w="2218"/>
                  <w:gridSpan w:val="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exact" w:line="555"/>
                    <w:jc w:val="both"/>
                  </w:pPr>
                </w:p>
              </w:tc>
            </w:tr>
          </w:tbl>
          <w:p>
            <w:pPr>
              <w:pStyle w:val="null3"/>
              <w:jc w:val="both"/>
            </w:pPr>
            <w:r>
              <w:rPr>
                <w:rFonts w:ascii="仿宋_GB2312" w:hAnsi="仿宋_GB2312" w:cs="仿宋_GB2312" w:eastAsia="仿宋_GB2312"/>
                <w:sz w:val="18"/>
              </w:rPr>
              <w:t>5、监测要求</w:t>
            </w:r>
          </w:p>
          <w:p>
            <w:pPr>
              <w:pStyle w:val="null3"/>
              <w:ind w:firstLine="560"/>
              <w:jc w:val="both"/>
            </w:pPr>
            <w:r>
              <w:rPr>
                <w:rFonts w:ascii="仿宋_GB2312" w:hAnsi="仿宋_GB2312" w:cs="仿宋_GB2312" w:eastAsia="仿宋_GB2312"/>
                <w:sz w:val="18"/>
              </w:rPr>
              <w:t>本项目通过巡查、观测等方式掌握野生动物种群动态。在项目期春季、夏季、秋季、冬季四季各开展</w:t>
            </w:r>
            <w:r>
              <w:rPr>
                <w:rFonts w:ascii="仿宋_GB2312" w:hAnsi="仿宋_GB2312" w:cs="仿宋_GB2312" w:eastAsia="仿宋_GB2312"/>
                <w:sz w:val="18"/>
              </w:rPr>
              <w:t>1次监测共4次，监测时要记录野生动物资源异常现象、种群活动位置、数量、栖息地状况等相关情况。野外监测工作要求至少3人1组，全程记录航迹。</w:t>
            </w:r>
          </w:p>
          <w:p>
            <w:pPr>
              <w:pStyle w:val="null3"/>
              <w:ind w:firstLine="560"/>
              <w:jc w:val="both"/>
            </w:pPr>
            <w:r>
              <w:rPr>
                <w:rFonts w:ascii="仿宋_GB2312" w:hAnsi="仿宋_GB2312" w:cs="仿宋_GB2312" w:eastAsia="仿宋_GB2312"/>
                <w:sz w:val="18"/>
              </w:rPr>
              <w:t>①如发现异常情况，按照《野生动物保护条例》和《陆生野生动物疫源疫病监测技术规范》，对活体目标动物进行无损伤取样（粪便、血液、组织样本等），对死亡野生动物解剖取样送检。采样后对活体动物应根据情况及时放归或进行救护，对死亡野生动物解剖采样后，按程序上报处置。</w:t>
            </w:r>
          </w:p>
          <w:p>
            <w:pPr>
              <w:pStyle w:val="null3"/>
              <w:ind w:firstLine="560"/>
              <w:jc w:val="both"/>
            </w:pPr>
            <w:r>
              <w:rPr>
                <w:rFonts w:ascii="仿宋_GB2312" w:hAnsi="仿宋_GB2312" w:cs="仿宋_GB2312" w:eastAsia="仿宋_GB2312"/>
                <w:sz w:val="18"/>
              </w:rPr>
              <w:t>②如确认发生疫情，要严格按照有关法律法规规定，第一时间将异常情况通报同级农业农村、卫生健康、疾控部门以及上级主管部门，同时做好现场封控、环境消杀、风险提示以及无害化处理等应急处置工作。严格落实人员防护等生物安全措施，防范疫病扩散蔓延。</w:t>
            </w:r>
          </w:p>
          <w:p>
            <w:pPr>
              <w:pStyle w:val="null3"/>
              <w:ind w:firstLine="560"/>
              <w:jc w:val="both"/>
            </w:pPr>
            <w:r>
              <w:rPr>
                <w:rFonts w:ascii="仿宋_GB2312" w:hAnsi="仿宋_GB2312" w:cs="仿宋_GB2312" w:eastAsia="仿宋_GB2312"/>
                <w:sz w:val="18"/>
              </w:rPr>
              <w:t>6、数据整理与分析</w:t>
            </w:r>
          </w:p>
          <w:p>
            <w:pPr>
              <w:pStyle w:val="null3"/>
              <w:ind w:firstLine="560"/>
              <w:jc w:val="both"/>
            </w:pPr>
            <w:r>
              <w:rPr>
                <w:rFonts w:ascii="仿宋_GB2312" w:hAnsi="仿宋_GB2312" w:cs="仿宋_GB2312" w:eastAsia="仿宋_GB2312"/>
                <w:sz w:val="18"/>
              </w:rPr>
              <w:t>收集野外监测可记录动物种类、数量、异常情况及实验室检测获取动物样本的病原体信息，将收集的数据录入数据库或电子表格，确保准确完整，检查数据，处理重复、错误、缺失值等问题，按动物种类、疫病类型、时间、地点等分类，便于后续分析。</w:t>
            </w:r>
          </w:p>
          <w:p>
            <w:pPr>
              <w:pStyle w:val="null3"/>
              <w:ind w:firstLine="560"/>
              <w:jc w:val="both"/>
            </w:pPr>
            <w:r>
              <w:rPr>
                <w:rFonts w:ascii="仿宋_GB2312" w:hAnsi="仿宋_GB2312" w:cs="仿宋_GB2312" w:eastAsia="仿宋_GB2312"/>
                <w:sz w:val="18"/>
              </w:rPr>
              <w:t>计算发病率、死亡率等指标，描述疫病分布特征；利用</w:t>
            </w:r>
            <w:r>
              <w:rPr>
                <w:rFonts w:ascii="仿宋_GB2312" w:hAnsi="仿宋_GB2312" w:cs="仿宋_GB2312" w:eastAsia="仿宋_GB2312"/>
                <w:sz w:val="18"/>
              </w:rPr>
              <w:t>GIS技术，分析疫病的空间分布，找出高发区域；分析疫病随时间的变化趋势，预测疫情发展；研究动物种类、环境因素与疫病发生的关联；以报告、图表等形式呈现结果，为决策提供依据。</w:t>
            </w:r>
          </w:p>
          <w:p>
            <w:pPr>
              <w:pStyle w:val="null3"/>
              <w:ind w:firstLine="560"/>
              <w:jc w:val="both"/>
            </w:pPr>
            <w:r>
              <w:rPr>
                <w:rFonts w:ascii="仿宋_GB2312" w:hAnsi="仿宋_GB2312" w:cs="仿宋_GB2312" w:eastAsia="仿宋_GB2312"/>
                <w:sz w:val="18"/>
              </w:rPr>
              <w:t>7、预期成果</w:t>
            </w:r>
          </w:p>
          <w:p>
            <w:pPr>
              <w:pStyle w:val="null3"/>
              <w:ind w:firstLine="560"/>
              <w:jc w:val="both"/>
            </w:pPr>
            <w:r>
              <w:rPr>
                <w:rFonts w:ascii="仿宋_GB2312" w:hAnsi="仿宋_GB2312" w:cs="仿宋_GB2312" w:eastAsia="仿宋_GB2312"/>
                <w:sz w:val="18"/>
              </w:rPr>
              <w:t>落实野生动物疫源疫病监测防控政策，维护辖区生态安全。完成专题调查报告《陕西米仓山国家级自然保护区野生动物疫源疫病监测报告》。报告需确保数据准确、逻辑清晰，并符合《突发公共卫生事件与传染病疫情监测信息报告管理办法》等法规要求，兼顾生态保护与公共卫生安全双重目标。</w:t>
            </w:r>
          </w:p>
          <w:p>
            <w:pPr>
              <w:pStyle w:val="null3"/>
              <w:ind w:firstLine="560"/>
              <w:jc w:val="both"/>
            </w:pPr>
            <w:r>
              <w:rPr>
                <w:rFonts w:ascii="仿宋_GB2312" w:hAnsi="仿宋_GB2312" w:cs="仿宋_GB2312" w:eastAsia="仿宋_GB2312"/>
                <w:sz w:val="18"/>
              </w:rPr>
              <w:t>提供成果：</w:t>
            </w:r>
            <w:r>
              <w:rPr>
                <w:rFonts w:ascii="仿宋_GB2312" w:hAnsi="仿宋_GB2312" w:cs="仿宋_GB2312" w:eastAsia="仿宋_GB2312"/>
                <w:sz w:val="18"/>
              </w:rPr>
              <w:t>①</w:t>
            </w:r>
            <w:r>
              <w:rPr>
                <w:rFonts w:ascii="仿宋_GB2312" w:hAnsi="仿宋_GB2312" w:cs="仿宋_GB2312" w:eastAsia="仿宋_GB2312"/>
                <w:sz w:val="18"/>
              </w:rPr>
              <w:t>陆生野生动物</w:t>
            </w:r>
            <w:r>
              <w:rPr>
                <w:rFonts w:ascii="仿宋_GB2312" w:hAnsi="仿宋_GB2312" w:cs="仿宋_GB2312" w:eastAsia="仿宋_GB2312"/>
                <w:sz w:val="18"/>
              </w:rPr>
              <w:t>疫源疫病</w:t>
            </w:r>
            <w:r>
              <w:rPr>
                <w:rFonts w:ascii="仿宋_GB2312" w:hAnsi="仿宋_GB2312" w:cs="仿宋_GB2312" w:eastAsia="仿宋_GB2312"/>
                <w:sz w:val="18"/>
              </w:rPr>
              <w:t>现地调查原始记录表（纸质和电子版）各</w:t>
            </w:r>
            <w:r>
              <w:rPr>
                <w:rFonts w:ascii="仿宋_GB2312" w:hAnsi="仿宋_GB2312" w:cs="仿宋_GB2312" w:eastAsia="仿宋_GB2312"/>
                <w:sz w:val="18"/>
              </w:rPr>
              <w:t>1</w:t>
            </w:r>
            <w:r>
              <w:rPr>
                <w:rFonts w:ascii="仿宋_GB2312" w:hAnsi="仿宋_GB2312" w:cs="仿宋_GB2312" w:eastAsia="仿宋_GB2312"/>
                <w:sz w:val="18"/>
              </w:rPr>
              <w:t>套</w:t>
            </w:r>
            <w:r>
              <w:rPr>
                <w:rFonts w:ascii="仿宋_GB2312" w:hAnsi="仿宋_GB2312" w:cs="仿宋_GB2312" w:eastAsia="仿宋_GB2312"/>
                <w:sz w:val="18"/>
              </w:rPr>
              <w:t>。</w:t>
            </w:r>
          </w:p>
          <w:p>
            <w:pPr>
              <w:pStyle w:val="null3"/>
              <w:ind w:firstLine="560"/>
              <w:jc w:val="both"/>
            </w:pPr>
            <w:r>
              <w:rPr>
                <w:rFonts w:ascii="仿宋_GB2312" w:hAnsi="仿宋_GB2312" w:cs="仿宋_GB2312" w:eastAsia="仿宋_GB2312"/>
                <w:sz w:val="18"/>
              </w:rPr>
              <w:t>②</w:t>
            </w:r>
            <w:r>
              <w:rPr>
                <w:rFonts w:ascii="仿宋_GB2312" w:hAnsi="仿宋_GB2312" w:cs="仿宋_GB2312" w:eastAsia="仿宋_GB2312"/>
                <w:sz w:val="18"/>
              </w:rPr>
              <w:t>陆生野生动物</w:t>
            </w:r>
            <w:r>
              <w:rPr>
                <w:rFonts w:ascii="仿宋_GB2312" w:hAnsi="仿宋_GB2312" w:cs="仿宋_GB2312" w:eastAsia="仿宋_GB2312"/>
                <w:sz w:val="18"/>
              </w:rPr>
              <w:t>疫源疫病</w:t>
            </w:r>
            <w:r>
              <w:rPr>
                <w:rFonts w:ascii="仿宋_GB2312" w:hAnsi="仿宋_GB2312" w:cs="仿宋_GB2312" w:eastAsia="仿宋_GB2312"/>
                <w:sz w:val="18"/>
              </w:rPr>
              <w:t>调查工作照片及调查</w:t>
            </w:r>
            <w:r>
              <w:rPr>
                <w:rFonts w:ascii="仿宋_GB2312" w:hAnsi="仿宋_GB2312" w:cs="仿宋_GB2312" w:eastAsia="仿宋_GB2312"/>
                <w:sz w:val="18"/>
              </w:rPr>
              <w:t>目标物</w:t>
            </w:r>
            <w:r>
              <w:rPr>
                <w:rFonts w:ascii="仿宋_GB2312" w:hAnsi="仿宋_GB2312" w:cs="仿宋_GB2312" w:eastAsia="仿宋_GB2312"/>
                <w:sz w:val="18"/>
              </w:rPr>
              <w:t>等影像资料各</w:t>
            </w:r>
            <w:r>
              <w:rPr>
                <w:rFonts w:ascii="仿宋_GB2312" w:hAnsi="仿宋_GB2312" w:cs="仿宋_GB2312" w:eastAsia="仿宋_GB2312"/>
                <w:sz w:val="18"/>
              </w:rPr>
              <w:t>1</w:t>
            </w:r>
            <w:r>
              <w:rPr>
                <w:rFonts w:ascii="仿宋_GB2312" w:hAnsi="仿宋_GB2312" w:cs="仿宋_GB2312" w:eastAsia="仿宋_GB2312"/>
                <w:sz w:val="18"/>
              </w:rPr>
              <w:t>套</w:t>
            </w:r>
            <w:r>
              <w:rPr>
                <w:rFonts w:ascii="仿宋_GB2312" w:hAnsi="仿宋_GB2312" w:cs="仿宋_GB2312" w:eastAsia="仿宋_GB2312"/>
                <w:sz w:val="18"/>
              </w:rPr>
              <w:t>。</w:t>
            </w:r>
          </w:p>
          <w:p>
            <w:pPr>
              <w:pStyle w:val="null3"/>
              <w:ind w:firstLine="560"/>
              <w:jc w:val="both"/>
            </w:pPr>
            <w:r>
              <w:rPr>
                <w:rFonts w:ascii="仿宋_GB2312" w:hAnsi="仿宋_GB2312" w:cs="仿宋_GB2312" w:eastAsia="仿宋_GB2312"/>
                <w:sz w:val="18"/>
              </w:rPr>
              <w:t>③</w:t>
            </w:r>
            <w:r>
              <w:rPr>
                <w:rFonts w:ascii="仿宋_GB2312" w:hAnsi="仿宋_GB2312" w:cs="仿宋_GB2312" w:eastAsia="仿宋_GB2312"/>
                <w:sz w:val="18"/>
              </w:rPr>
              <w:t>提供</w:t>
            </w:r>
            <w:r>
              <w:rPr>
                <w:rFonts w:ascii="仿宋_GB2312" w:hAnsi="仿宋_GB2312" w:cs="仿宋_GB2312" w:eastAsia="仿宋_GB2312"/>
                <w:sz w:val="18"/>
              </w:rPr>
              <w:t>陕西米仓山国家级自然保护区野生动物疫源疫病监测报告</w:t>
            </w:r>
            <w:r>
              <w:rPr>
                <w:rFonts w:ascii="仿宋_GB2312" w:hAnsi="仿宋_GB2312" w:cs="仿宋_GB2312" w:eastAsia="仿宋_GB2312"/>
                <w:sz w:val="18"/>
              </w:rPr>
              <w:t>纸质版</w:t>
            </w:r>
            <w:r>
              <w:rPr>
                <w:rFonts w:ascii="仿宋_GB2312" w:hAnsi="仿宋_GB2312" w:cs="仿宋_GB2312" w:eastAsia="仿宋_GB2312"/>
                <w:sz w:val="18"/>
              </w:rPr>
              <w:t>10</w:t>
            </w:r>
            <w:r>
              <w:rPr>
                <w:rFonts w:ascii="仿宋_GB2312" w:hAnsi="仿宋_GB2312" w:cs="仿宋_GB2312" w:eastAsia="仿宋_GB2312"/>
                <w:sz w:val="18"/>
              </w:rPr>
              <w:t>份，电子版</w:t>
            </w:r>
            <w:r>
              <w:rPr>
                <w:rFonts w:ascii="仿宋_GB2312" w:hAnsi="仿宋_GB2312" w:cs="仿宋_GB2312" w:eastAsia="仿宋_GB2312"/>
                <w:sz w:val="18"/>
              </w:rPr>
              <w:t>1</w:t>
            </w:r>
            <w:r>
              <w:rPr>
                <w:rFonts w:ascii="仿宋_GB2312" w:hAnsi="仿宋_GB2312" w:cs="仿宋_GB2312" w:eastAsia="仿宋_GB2312"/>
                <w:sz w:val="18"/>
              </w:rPr>
              <w:t>套</w:t>
            </w:r>
            <w:r>
              <w:rPr>
                <w:rFonts w:ascii="仿宋_GB2312" w:hAnsi="仿宋_GB2312" w:cs="仿宋_GB2312" w:eastAsia="仿宋_GB2312"/>
                <w:sz w:val="18"/>
              </w:rPr>
              <w:t>。</w:t>
            </w:r>
          </w:p>
          <w:p>
            <w:pPr>
              <w:pStyle w:val="null3"/>
              <w:ind w:firstLine="560"/>
              <w:jc w:val="both"/>
            </w:pPr>
            <w:r>
              <w:rPr>
                <w:rFonts w:ascii="仿宋_GB2312" w:hAnsi="仿宋_GB2312" w:cs="仿宋_GB2312" w:eastAsia="仿宋_GB2312"/>
                <w:sz w:val="18"/>
              </w:rPr>
              <w:t>④</w:t>
            </w:r>
            <w:r>
              <w:rPr>
                <w:rFonts w:ascii="仿宋_GB2312" w:hAnsi="仿宋_GB2312" w:cs="仿宋_GB2312" w:eastAsia="仿宋_GB2312"/>
                <w:sz w:val="18"/>
              </w:rPr>
              <w:t>以陕西米仓山国家级自然保护区管理局为第一单位发表相关中文期刊</w:t>
            </w:r>
            <w:r>
              <w:rPr>
                <w:rFonts w:ascii="仿宋_GB2312" w:hAnsi="仿宋_GB2312" w:cs="仿宋_GB2312" w:eastAsia="仿宋_GB2312"/>
                <w:sz w:val="18"/>
              </w:rPr>
              <w:t>论文</w:t>
            </w:r>
            <w:r>
              <w:rPr>
                <w:rFonts w:ascii="仿宋_GB2312" w:hAnsi="仿宋_GB2312" w:cs="仿宋_GB2312" w:eastAsia="仿宋_GB2312"/>
                <w:sz w:val="18"/>
              </w:rPr>
              <w:t>2</w:t>
            </w:r>
            <w:r>
              <w:rPr>
                <w:rFonts w:ascii="仿宋_GB2312" w:hAnsi="仿宋_GB2312" w:cs="仿宋_GB2312" w:eastAsia="仿宋_GB2312"/>
                <w:sz w:val="18"/>
              </w:rPr>
              <w:t>篇。</w:t>
            </w:r>
          </w:p>
          <w:p>
            <w:pPr>
              <w:pStyle w:val="null3"/>
              <w:ind w:firstLine="560"/>
              <w:jc w:val="both"/>
            </w:pPr>
            <w:r>
              <w:rPr>
                <w:rFonts w:ascii="仿宋_GB2312" w:hAnsi="仿宋_GB2312" w:cs="仿宋_GB2312" w:eastAsia="仿宋_GB2312"/>
                <w:sz w:val="18"/>
              </w:rPr>
              <w:t>陕西米仓山保护区野生动物疫源疫病监测报告主要包括：</w:t>
            </w:r>
          </w:p>
          <w:p>
            <w:pPr>
              <w:pStyle w:val="null3"/>
              <w:ind w:firstLine="560"/>
              <w:jc w:val="both"/>
            </w:pPr>
            <w:r>
              <w:rPr>
                <w:rFonts w:ascii="仿宋_GB2312" w:hAnsi="仿宋_GB2312" w:cs="仿宋_GB2312" w:eastAsia="仿宋_GB2312"/>
                <w:sz w:val="18"/>
              </w:rPr>
              <w:t>一、监测概况与背景</w:t>
            </w:r>
          </w:p>
          <w:p>
            <w:pPr>
              <w:pStyle w:val="null3"/>
              <w:ind w:firstLine="560"/>
              <w:jc w:val="both"/>
            </w:pPr>
            <w:r>
              <w:rPr>
                <w:rFonts w:ascii="仿宋_GB2312" w:hAnsi="仿宋_GB2312" w:cs="仿宋_GB2312" w:eastAsia="仿宋_GB2312"/>
                <w:sz w:val="18"/>
              </w:rPr>
              <w:t>包括监测区域基本信息（地理位置、生态类型、保护物种等）、监测周期、依据的法律法规（如《陆生野生动物疫源疫病监测防控管理办法》）及技术标准，明确监测目的。</w:t>
            </w:r>
          </w:p>
          <w:p>
            <w:pPr>
              <w:pStyle w:val="null3"/>
              <w:ind w:firstLine="560"/>
              <w:jc w:val="both"/>
            </w:pPr>
            <w:r>
              <w:rPr>
                <w:rFonts w:ascii="仿宋_GB2312" w:hAnsi="仿宋_GB2312" w:cs="仿宋_GB2312" w:eastAsia="仿宋_GB2312"/>
                <w:sz w:val="18"/>
              </w:rPr>
              <w:t>二、监测实施情况</w:t>
            </w:r>
          </w:p>
          <w:p>
            <w:pPr>
              <w:pStyle w:val="null3"/>
              <w:ind w:firstLine="560"/>
              <w:jc w:val="both"/>
            </w:pPr>
            <w:r>
              <w:rPr>
                <w:rFonts w:ascii="仿宋_GB2312" w:hAnsi="仿宋_GB2312" w:cs="仿宋_GB2312" w:eastAsia="仿宋_GB2312"/>
                <w:sz w:val="18"/>
              </w:rPr>
              <w:t>1.监测对象与方法：记录监测的野生动物种类（重点关注迁徙鸟类、群居哺乳动物等疫源物种）、监测点布设（如水源地、栖息地等关键区域）、采样方式（如粪便、血液、组织样本）及工具（红外相机、检测设备等）。</w:t>
            </w:r>
          </w:p>
          <w:p>
            <w:pPr>
              <w:pStyle w:val="null3"/>
              <w:ind w:firstLine="560"/>
              <w:jc w:val="both"/>
            </w:pPr>
            <w:r>
              <w:rPr>
                <w:rFonts w:ascii="仿宋_GB2312" w:hAnsi="仿宋_GB2312" w:cs="仿宋_GB2312" w:eastAsia="仿宋_GB2312"/>
                <w:sz w:val="18"/>
              </w:rPr>
              <w:t>2.数据收集：通过野外巡查、样品采集、检测等手段，记录动物种群数量、行为异常情况及环境因素。</w:t>
            </w:r>
          </w:p>
          <w:p>
            <w:pPr>
              <w:pStyle w:val="null3"/>
              <w:ind w:firstLine="560"/>
              <w:jc w:val="both"/>
            </w:pPr>
            <w:r>
              <w:rPr>
                <w:rFonts w:ascii="仿宋_GB2312" w:hAnsi="仿宋_GB2312" w:cs="仿宋_GB2312" w:eastAsia="仿宋_GB2312"/>
                <w:sz w:val="18"/>
              </w:rPr>
              <w:t>三、疫情监测结果</w:t>
            </w:r>
          </w:p>
          <w:p>
            <w:pPr>
              <w:pStyle w:val="null3"/>
              <w:ind w:firstLine="560"/>
              <w:jc w:val="both"/>
            </w:pPr>
            <w:r>
              <w:rPr>
                <w:rFonts w:ascii="仿宋_GB2312" w:hAnsi="仿宋_GB2312" w:cs="仿宋_GB2312" w:eastAsia="仿宋_GB2312"/>
                <w:sz w:val="18"/>
              </w:rPr>
              <w:t>1.疫病检出情况：检测结果，包括病原体类型、阳性样本数量及分布，明确是否存在疫源或疫病流行。</w:t>
            </w:r>
          </w:p>
          <w:p>
            <w:pPr>
              <w:pStyle w:val="null3"/>
              <w:ind w:firstLine="560"/>
              <w:jc w:val="both"/>
            </w:pPr>
            <w:r>
              <w:rPr>
                <w:rFonts w:ascii="仿宋_GB2312" w:hAnsi="仿宋_GB2312" w:cs="仿宋_GB2312" w:eastAsia="仿宋_GB2312"/>
                <w:sz w:val="18"/>
              </w:rPr>
              <w:t>2.异常事件描述：对发现的动物异常死亡或发病案例，详细记录时间、地点、涉及物种及症状，并分析可能的传播途径。</w:t>
            </w:r>
          </w:p>
          <w:p>
            <w:pPr>
              <w:pStyle w:val="null3"/>
              <w:ind w:firstLine="560"/>
              <w:jc w:val="both"/>
            </w:pPr>
            <w:r>
              <w:rPr>
                <w:rFonts w:ascii="仿宋_GB2312" w:hAnsi="仿宋_GB2312" w:cs="仿宋_GB2312" w:eastAsia="仿宋_GB2312"/>
                <w:sz w:val="18"/>
              </w:rPr>
              <w:t>四、防控措施与效果评估</w:t>
            </w:r>
          </w:p>
          <w:p>
            <w:pPr>
              <w:pStyle w:val="null3"/>
              <w:ind w:firstLine="560"/>
              <w:jc w:val="both"/>
            </w:pPr>
            <w:r>
              <w:rPr>
                <w:rFonts w:ascii="仿宋_GB2312" w:hAnsi="仿宋_GB2312" w:cs="仿宋_GB2312" w:eastAsia="仿宋_GB2312"/>
                <w:sz w:val="18"/>
              </w:rPr>
              <w:t>1.应急处置：针对阳性结果或异常情况采取的措施，如隔离、消毒、栖息地环境治理等，并说明执行情况（如消毒覆盖率、处理异常动物数量）。</w:t>
            </w:r>
          </w:p>
          <w:p>
            <w:pPr>
              <w:pStyle w:val="null3"/>
              <w:ind w:firstLine="560"/>
              <w:jc w:val="both"/>
            </w:pPr>
            <w:r>
              <w:rPr>
                <w:rFonts w:ascii="仿宋_GB2312" w:hAnsi="仿宋_GB2312" w:cs="仿宋_GB2312" w:eastAsia="仿宋_GB2312"/>
                <w:sz w:val="18"/>
              </w:rPr>
              <w:t>2.效果分析：评估防控措施对疫情扩散的遏制效果，结合监测数据判断疫情是否得到控制，提出后续优化建议。</w:t>
            </w:r>
          </w:p>
          <w:p>
            <w:pPr>
              <w:pStyle w:val="null3"/>
              <w:ind w:firstLine="560"/>
              <w:jc w:val="both"/>
            </w:pPr>
            <w:r>
              <w:rPr>
                <w:rFonts w:ascii="仿宋_GB2312" w:hAnsi="仿宋_GB2312" w:cs="仿宋_GB2312" w:eastAsia="仿宋_GB2312"/>
                <w:sz w:val="18"/>
              </w:rPr>
              <w:t>五、结论与建议</w:t>
            </w:r>
          </w:p>
          <w:p>
            <w:pPr>
              <w:pStyle w:val="null3"/>
              <w:ind w:firstLine="560"/>
              <w:jc w:val="both"/>
            </w:pPr>
            <w:r>
              <w:rPr>
                <w:rFonts w:ascii="仿宋_GB2312" w:hAnsi="仿宋_GB2312" w:cs="仿宋_GB2312" w:eastAsia="仿宋_GB2312"/>
                <w:sz w:val="18"/>
              </w:rPr>
              <w:t>总结监测期内疫病风险等级，提出下步工作方向，如完善监测网络、提升检测能力、开展公众科普等，为保护区管理及公共卫生安全提供决策依据。</w:t>
            </w:r>
            <w:r>
              <w:rPr>
                <w:rFonts w:ascii="仿宋_GB2312" w:hAnsi="仿宋_GB2312" w:cs="仿宋_GB2312" w:eastAsia="仿宋_GB2312"/>
                <w:sz w:val="18"/>
              </w:rPr>
              <w:t xml:space="preserve">  </w:t>
            </w:r>
          </w:p>
          <w:p>
            <w:pPr>
              <w:pStyle w:val="null3"/>
              <w:ind w:firstLine="560"/>
              <w:jc w:val="both"/>
            </w:pPr>
            <w:r>
              <w:rPr>
                <w:rFonts w:ascii="仿宋_GB2312" w:hAnsi="仿宋_GB2312" w:cs="仿宋_GB2312" w:eastAsia="仿宋_GB2312"/>
                <w:sz w:val="18"/>
              </w:rPr>
              <w:t>本项目疫源疫病调查监测所包含建设内容涉及的成果资料，待项目实施完成后，由施工单位据实组织汇编。</w:t>
            </w:r>
            <w:r>
              <w:rPr>
                <w:rFonts w:ascii="仿宋_GB2312" w:hAnsi="仿宋_GB2312" w:cs="仿宋_GB2312" w:eastAsia="仿宋_GB2312"/>
                <w:sz w:val="18"/>
              </w:rPr>
              <w:t>通过本项目取得的所有资料和成果均属于项目建设单位所有；未经项目建设单位同意，</w:t>
            </w:r>
            <w:r>
              <w:rPr>
                <w:rFonts w:ascii="仿宋_GB2312" w:hAnsi="仿宋_GB2312" w:cs="仿宋_GB2312" w:eastAsia="仿宋_GB2312"/>
                <w:sz w:val="18"/>
              </w:rPr>
              <w:t>施工单位（受托单位）</w:t>
            </w:r>
            <w:r>
              <w:rPr>
                <w:rFonts w:ascii="仿宋_GB2312" w:hAnsi="仿宋_GB2312" w:cs="仿宋_GB2312" w:eastAsia="仿宋_GB2312"/>
                <w:sz w:val="18"/>
              </w:rPr>
              <w:t>不得将项目内容和成果公开发表或转给其他任何单位或个人。</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以最终签订合同内容为准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进度款，成果提交后，达到付款条件起30个工作日内，支付合同总金额的50.0%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进度款，结题报告提交，项目评审验收通过后，达到付款条件起30个工作日内，支付合同总金额的20.0%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因合同发⽣的任何争议，双⽅应协商解决，协商不成，应向合同签订地⼈⺠法院提 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供应商需在项目电子化交易系统中按要求上传承诺函并进行电子签章。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营业执照等主体资格证明⽂件</w:t>
            </w:r>
          </w:p>
        </w:tc>
        <w:tc>
          <w:tcPr>
            <w:tcW w:type="dxa" w:w="3322"/>
          </w:tcPr>
          <w:p>
            <w:pPr>
              <w:pStyle w:val="null3"/>
            </w:pPr>
            <w:r>
              <w:rPr>
                <w:rFonts w:ascii="仿宋_GB2312" w:hAnsi="仿宋_GB2312" w:cs="仿宋_GB2312" w:eastAsia="仿宋_GB2312"/>
              </w:rPr>
              <w:t>供应商应是独⽴承担⺠事责任能⼒的法⼈、其他组织或⾃然⼈，法⼈、其他组织须提供合法有效的 营业执照(或事业单位法⼈证书)等证明资料，⾃然⼈须提供⾝份证明。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w:t>
            </w:r>
          </w:p>
        </w:tc>
        <w:tc>
          <w:tcPr>
            <w:tcW w:type="dxa" w:w="3322"/>
          </w:tcPr>
          <w:p>
            <w:pPr>
              <w:pStyle w:val="null3"/>
            </w:pPr>
            <w:r>
              <w:rPr>
                <w:rFonts w:ascii="仿宋_GB2312" w:hAnsi="仿宋_GB2312" w:cs="仿宋_GB2312" w:eastAsia="仿宋_GB2312"/>
              </w:rPr>
              <w:t>法定代表⼈参加磋商的，提供本人⾝份证；法定代表⼈授权他⼈参加磋商的，提供法定代表人委托授权书及被授权代表的⾝份证。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基本资格承诺函</w:t>
            </w:r>
          </w:p>
        </w:tc>
        <w:tc>
          <w:tcPr>
            <w:tcW w:type="dxa" w:w="3322"/>
          </w:tcPr>
          <w:p>
            <w:pPr>
              <w:pStyle w:val="null3"/>
            </w:pPr>
            <w:r>
              <w:rPr>
                <w:rFonts w:ascii="仿宋_GB2312" w:hAnsi="仿宋_GB2312" w:cs="仿宋_GB2312" w:eastAsia="仿宋_GB2312"/>
              </w:rPr>
              <w:t>供应商应具有良好的商业信誉和健全的财务会计制度，具有履⾏合同所必需的设备和专业技术能力 ，具有依法缴纳税收和社会保障⾦的良好记录，参加本项⽬采购活动前三年内⽆重⼤违法活动记录 ，须提供《汉中市政府采购供应商资格承诺函》。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w:t>
            </w:r>
          </w:p>
        </w:tc>
        <w:tc>
          <w:tcPr>
            <w:tcW w:type="dxa" w:w="3322"/>
          </w:tcPr>
          <w:p>
            <w:pPr>
              <w:pStyle w:val="null3"/>
            </w:pPr>
            <w:r>
              <w:rPr>
                <w:rFonts w:ascii="仿宋_GB2312" w:hAnsi="仿宋_GB2312" w:cs="仿宋_GB2312" w:eastAsia="仿宋_GB2312"/>
              </w:rPr>
              <w:t>项⽬负责人具有林业工程、林业、林学、林业资源监测、生态学等相关专业高级职称（副高级）及以上。</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符合文件要求， 响应文件内容齐全、无遗漏。</w:t>
            </w:r>
          </w:p>
        </w:tc>
        <w:tc>
          <w:tcPr>
            <w:tcW w:type="dxa" w:w="1661"/>
          </w:tcPr>
          <w:p>
            <w:pPr>
              <w:pStyle w:val="null3"/>
            </w:pPr>
            <w:r>
              <w:rPr>
                <w:rFonts w:ascii="仿宋_GB2312" w:hAnsi="仿宋_GB2312" w:cs="仿宋_GB2312" w:eastAsia="仿宋_GB2312"/>
              </w:rPr>
              <w:t>响应文件封面 中小企业声明函 残疾人福利性单位声明函 服务方案 标的清单 报价表 服务内容及服务要求应答表.docx 商务应答表.docx 供应商资格证明文件.docx 响应函 监狱企业的证明文件 业绩与人员.docx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按磋商文件要求报价，不得提交选择性报价，报价符合竞争性磋商文件的要求。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均按文件要求签字、盖章。</w:t>
            </w:r>
          </w:p>
        </w:tc>
        <w:tc>
          <w:tcPr>
            <w:tcW w:type="dxa" w:w="1661"/>
          </w:tcPr>
          <w:p>
            <w:pPr>
              <w:pStyle w:val="null3"/>
            </w:pPr>
            <w:r>
              <w:rPr>
                <w:rFonts w:ascii="仿宋_GB2312" w:hAnsi="仿宋_GB2312" w:cs="仿宋_GB2312" w:eastAsia="仿宋_GB2312"/>
              </w:rPr>
              <w:t>响应文件封面 中小企业声明函 残疾人福利性单位声明函 服务方案 标的清单 报价表 服务内容及服务要求应答表.docx 商务应答表.docx 供应商资格证明文件.docx 响应函 监狱企业的证明文件 业绩与人员.docx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供应商提供2023年1⽉⾄今（截⽌磋商时间前）已完成的类似项⽬业绩。以提供合同复印件为准。每提供⼀份合同得1分，满分4分。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业绩与人员.docx</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本次拟派团队人员（除项目负责人），提供林业工程、林业、林学、林业资源监测、生态学等相关专业⼈员中级及以上职称。每提供中级职称1⼈得1分，每提供高级及以上职称1⼈得2分，本项满分6分。 说明：提供人员职称证书、身份证。</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业绩与人员.docx</w:t>
            </w:r>
          </w:p>
        </w:tc>
      </w:tr>
      <w:tr>
        <w:tc>
          <w:tcPr>
            <w:tcW w:type="dxa" w:w="831"/>
            <w:vMerge/>
          </w:tcP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⼀、评审内容：供应商针对本项⽬的理解，包括但不限于：①核⼼任务及背景意义②保护区专属特性与项⽬痛点③核⼼重难点及初步解决思路。 ⼆、赋分标准： （1）完整性：内容完整全⾯，对上述各项内容均有描述及说明，得3.0分；缺1项，扣1.0分；（2）针对性：针对性强，得3.0分；针对性⼀般，得2.0分；缺乏针对性，得1.0分；未按要求进⾏响应的，得0分； （3）可实施性：可实施性强，得3.0分；可实施性⼀般，得2.0分；缺乏可实施性，得1.0分。未按要求进⾏响应的，得0分。 说明：1、针对性：（1）针对性强：⽅案能够完全切合本项⽬实际情况。（2）针对性⼀般：⽅案中多数内容能够切合本项⽬实际情况，但存在⾄少⼀处不适⽤本项⽬实际的内容。（3）缺乏针对性：⽅案描述不符合本项⽬采购情况，存在明显套⽤其他项⽬⽅案的内容。 2、可实施性：（1）可实施性强：⽅案⼯作流程完善，实施步骤清晰，科学合理，可操作性强。（2）可实施性⼀般：⽅案中存在⾄少⼀处表述模糊、难以执⾏或不够科学合理的内容。（3）缺乏可实施性：⽅案内容空洞，⼯作流程不完善，实施标准、实施质量不利于采购需求的实现，存在逻辑漏洞、常识错误或合理性差。</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服务⽅案（森林碳储量调查）</w:t>
            </w:r>
          </w:p>
        </w:tc>
        <w:tc>
          <w:tcPr>
            <w:tcW w:type="dxa" w:w="2492"/>
          </w:tcPr>
          <w:p>
            <w:pPr>
              <w:pStyle w:val="null3"/>
            </w:pPr>
            <w:r>
              <w:rPr>
                <w:rFonts w:ascii="仿宋_GB2312" w:hAnsi="仿宋_GB2312" w:cs="仿宋_GB2312" w:eastAsia="仿宋_GB2312"/>
              </w:rPr>
              <w:t>⼀、评审内容：供应商针对本项⽬编制的森林碳储量调查专项⽅案，包括但不限于：①监测范围与布设规则②调查⽅法及精度要求③外业时间节点④成果提交要求。 ⼆、赋分标准： （1）完整性：内容完整全⾯，对上述各项内容均有描述及说明，得4.0分；缺1项，扣1.0分； （2）针对性：针对性强，得4.0分；针对性⼀般，得2.0分；缺乏针对性，得1.0分；未按要求进⾏响应的，得0分； （3）可实施性：可实施性强，得4.0分；可实施性⼀般，得2.0分；缺乏可实施性，得1.0分。未按要求进⾏响应的，得0分； 说明：1、针对性：（1）针对性强：⽅案能够完全切合本项⽬实际情况。（2）针对性⼀般：⽅案中多数内容能够切合本项⽬实际情况，但存在⾄少⼀处不适⽤本项⽬实际的内容。（3）缺乏针对性：⽅案描述不符合本项⽬采购情况，存在明显套⽤其他项⽬⽅案的内容。 2、可实施性：（1）可实施性强：⽅案⼯作流程完善，实施步骤清晰，科学合理，可操作性强。（2）可实施性⼀般：⽅案中存在⾄少⼀处表述模糊、难以执⾏或不够科学合理的内容。（3）缺乏可实施性：⽅案内容空洞，⼯作流程不完善，实施标准、实施质量不利于采购需求的实现，存在逻辑漏洞、常识错误或合理性差。</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服务方案（陆⽣野⽣动物疫源疫病监测）</w:t>
            </w:r>
          </w:p>
        </w:tc>
        <w:tc>
          <w:tcPr>
            <w:tcW w:type="dxa" w:w="2492"/>
          </w:tcPr>
          <w:p>
            <w:pPr>
              <w:pStyle w:val="null3"/>
            </w:pPr>
            <w:r>
              <w:rPr>
                <w:rFonts w:ascii="仿宋_GB2312" w:hAnsi="仿宋_GB2312" w:cs="仿宋_GB2312" w:eastAsia="仿宋_GB2312"/>
              </w:rPr>
              <w:t>⼀、评审内容：供应商针对本项⽬编制的陆⽣野⽣动物疫源疫病监测专项⽅案，包括但不限于：①监测范围与布设标准②四季监测频次与分组作业要求③异常情况判定与处置流程④数据整理与成果编制要求。 ⼆、赋分标准： （1）完整性：内容完整全⾯，对上述各项内容均有描述及说明，得4.0分；缺1项，扣1.0分； （2）针对性：针对性强，得4.0分；针对性⼀般，得2.0分；缺乏针对性，得1.0分；未按要求进⾏响应的 ，得0分； （3）可实施性：可实施性强，得4.0分；可实施性⼀般，得2.0分；缺乏可实施性，得1.0分。未按要求进⾏响应的，得0分； 说明：1、针对性：（1）针对性强：⽅案能够完全切合本项⽬实际情况。（2）针对性⼀般：⽅案中多数内容能够切合本项⽬实际情况，但存在⾄少⼀处不适⽤本项⽬实际的内容。（3）缺乏针对性：⽅案描述不符合本项⽬采购情况，存在明显套⽤其他项⽬⽅案的内容。 2、可实施性：（1）可实施性强：⽅案⼯作流程完善，实施步骤清晰，科学合理，可操作性强。（2）可实施性⼀般：⽅案中存在⾄少⼀处表述模糊、难以执⾏或不够科学合理的内容。（3）缺乏可实施性：⽅案内容空洞，⼯作流程不完善，实施标准、实施质量不利于采购需求的实现，存在逻辑漏洞、常识错误或合理性差。</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保障措施及计划进度方案</w:t>
            </w:r>
          </w:p>
        </w:tc>
        <w:tc>
          <w:tcPr>
            <w:tcW w:type="dxa" w:w="2492"/>
          </w:tcPr>
          <w:p>
            <w:pPr>
              <w:pStyle w:val="null3"/>
            </w:pPr>
            <w:r>
              <w:rPr>
                <w:rFonts w:ascii="仿宋_GB2312" w:hAnsi="仿宋_GB2312" w:cs="仿宋_GB2312" w:eastAsia="仿宋_GB2312"/>
              </w:rPr>
              <w:t>⼀、评审内容：供应商针对本项⽬编制的保障措施及计划进度⽅案，包括但不限于：①⼩组组建及分⼯②安全保障措施③⼯期进度表④进度偏差调整机制。 ⼆、赋分标准： （1）完整性：内容完整全⾯，对上述各项内容均有描述及说明，得2.0分；缺1项，扣0.5分； （2）针对性：针对性强，得5.0分；针对性⼀般，得3.0分；缺乏针对性，得1.0分；未按要求进⾏响应的，得0分； （3）可实施性：可实施性强，得5.0分；可实施性⼀般，得3.0分；缺乏可实施性，得1.0分。未按要求进⾏响应的，得0分； 说明：1、针对性：（1）针对性强：⽅案能够完全切合本项⽬实际情况。（2）针对性⼀般：⽅案中多数内容能够切合本项⽬实际情况，但存在⾄少⼀处不适⽤本项⽬实际的内容。（3）缺乏针对性：⽅案描述不符合本项⽬采购情况，存在明显套⽤其他项⽬⽅案的内容。 2、可实施性：（1）可实施性强：⽅案⼯作流程完善，实施步骤清晰，科学合理，可操作性强。（2）可实施性⼀般：⽅案中存在⾄少⼀处表述模糊、难以执⾏或不够科学合理的内容。（3）缺乏可实施性：⽅案内容空洞，⼯作流程不完善，实施标准、实施质量不利于采购需求的实现，存在逻辑漏洞、常识错误或合理性差。</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质量控制方案</w:t>
            </w:r>
          </w:p>
        </w:tc>
        <w:tc>
          <w:tcPr>
            <w:tcW w:type="dxa" w:w="2492"/>
          </w:tcPr>
          <w:p>
            <w:pPr>
              <w:pStyle w:val="null3"/>
            </w:pPr>
            <w:r>
              <w:rPr>
                <w:rFonts w:ascii="仿宋_GB2312" w:hAnsi="仿宋_GB2312" w:cs="仿宋_GB2312" w:eastAsia="仿宋_GB2312"/>
              </w:rPr>
              <w:t>⼀、评审内容：供应商针对本项⽬编制的质量控制⽅案，包括但不限于：①质量控制点②质量控制体系③关键指标精度控制标准④数据复核与质量问题整改机制。⼆、赋分标准：（1）完整性：内容完整全⾯，对上述各项内容均有描述及说明，得2.0分；缺1项，扣0.5分；（2）针对性：针对性强，得5.0分；针对性⼀般，得3.0分；缺乏针对性，得1.0分；未按要求进⾏响应的，得0分；（3）可实施性：可实施性强，得5.0分；可实施性⼀般，得3.0分；缺乏可实施性，得1.0分。未按要求进⾏响应的，得0分。 说明：1、针对性：（1）针对性强：⽅案能够完全切合本项⽬实际情况。（2）针对性⼀般：⽅案中多数内容能够切合本项⽬实际情况，但存在⾄少⼀处不适⽤本项⽬实际的内容。（3）缺乏针对性：⽅案描述不符合本项⽬采购情况，存在明显套⽤其他项⽬⽅案的内容。 2、可实施性：（1）可实施性强：⽅案⼯作流程完善，实施步骤清晰，科学合理，可操作性强。（2）可实施性⼀般：⽅案中存在⾄少⼀处表述模糊、难以执⾏或不够科学合理的内容。（3）缺乏可实施性：⽅案内容空洞，⼯作流程不完善，实施标准、实施质量不利于采购需求的实现，存在逻辑漏洞、常识错误或合理性差。</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应急⽅案</w:t>
            </w:r>
          </w:p>
        </w:tc>
        <w:tc>
          <w:tcPr>
            <w:tcW w:type="dxa" w:w="2492"/>
          </w:tcPr>
          <w:p>
            <w:pPr>
              <w:pStyle w:val="null3"/>
            </w:pPr>
            <w:r>
              <w:rPr>
                <w:rFonts w:ascii="仿宋_GB2312" w:hAnsi="仿宋_GB2312" w:cs="仿宋_GB2312" w:eastAsia="仿宋_GB2312"/>
              </w:rPr>
              <w:t>⼀、评审内容：供应商针对本项⽬编制的应急⽅案，包括但不限于：①核⼼⻛险识别②各类⻛险分级处置流程及责任⼈③应急物资储备清单④多部⻔应急联动机制。⼆、赋分标准：（1）完整性：内容完整全⾯，对上述各项内容均有描述及说明，得2.0分；缺1项，扣0.5分；（2）针对性：针对性强，得5.0分；针对性⼀般，得3.0分；缺乏针对性，得1.0分；未按要求进⾏响应的，得0分；（3）可实施性：可实施性强，得5.0分；可实施性⼀般，得3.0分；缺乏可实施性，得1.0分。未按要求进⾏响应的，得0分。 说明：1、针对性：（1）针对性强：⽅案能够完全切合本项⽬实际情况。（2）针对性⼀般：⽅案中多数内容能够切合本项⽬实际情况，但存在⾄少⼀处不适⽤本项⽬实际的内容。（3）缺乏针对性：⽅案描述不符合本项⽬采购情况，存在明显套⽤其他项⽬⽅案的内容。 2、可实施性：（1）可实施性强：⽅案⼯作流程完善，实施步骤清晰，科学合理，可操作性强。（2）可实施性⼀般：⽅案中存在⾄少⼀处表述模糊、难以执⾏或不够科学合理的内容。（3）缺乏可实施性：⽅案内容空洞，⼯作流程不完善，实施标准、实施质量不利于采购需求的实现，存在逻辑漏洞、常识错误或合理性差。</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⼀、评审内容：供应商针对本项⽬编制的售后服务⽅案，包括但不限于：①成果修改服务②响应时效与服务标准。 ⼆、赋分标准： （1）完整性：内容完整全⾯，对上述各项内容均有描述及说明，得1.0分；缺1项，扣0.5分； （2）针对性：针对性强，得5.0分；针对性⼀般，得3.0分；缺乏针对性，得1.0分；未按要求进⾏响应的，得0分； （3）可实施性：可实施性强，得5.0分；可实施性⼀般，得3.0分；缺乏可实施性，得1.0分。未按要求进⾏响应的，得0分。 说明：1、针对性：（1）针对性强：⽅案能够完全切合本项⽬实际情况。（2）针对性⼀般：⽅案中多数内容能够切合本项⽬实际情况，但存在⾄少⼀处不适⽤本项⽬实际的内容。（3）缺乏针对性：⽅案描述不符合本项⽬采购情况，存在明显套⽤其他项⽬⽅案的内容。 2、可实施性：（1）可实施性强：⽅案⼯作流程完善，实施步骤清晰，科学合理，可操作性强。（2）可实施性⼀般：⽅案中存在⾄少⼀处表述模糊、难以执⾏或不够科学合理的内容。（3）缺乏可实施性：⽅案内容空洞，⼯作流程不完善，实施标准、实施质量不利于采购需求的实现，存在逻辑漏洞、常识错误或合理性差。</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得分=（评审基准价/磋商报价）×价格分值（注：满⾜磋商文件要求且报价最低的磋商报价为评审基准价）。最低报价不是中标的唯⼀依据。因落实政府采购政策进⾏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详见附件：业绩与人员.docx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