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BB50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6A24B9E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208D8D9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3D07F847">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val="en-US" w:eastAsia="zh-CN"/>
        </w:rPr>
        <w:t>竞争性磋商</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文件等有关规定，为确保甲方采购项目的顺利实施，甲、乙双方在平等自愿原则下签订本合同，并共同遵守如下条款：</w:t>
      </w:r>
    </w:p>
    <w:p w14:paraId="713D1BF4">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0C44E862">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2DD7B291">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1134"/>
        <w:gridCol w:w="1249"/>
        <w:gridCol w:w="675"/>
        <w:gridCol w:w="1134"/>
        <w:gridCol w:w="675"/>
        <w:gridCol w:w="1363"/>
        <w:gridCol w:w="1249"/>
      </w:tblGrid>
      <w:tr w14:paraId="0895F6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8" w:type="pct"/>
            <w:tcBorders>
              <w:top w:val="single" w:color="auto" w:sz="12" w:space="0"/>
              <w:left w:val="single" w:color="auto" w:sz="12" w:space="0"/>
              <w:bottom w:val="single" w:color="auto" w:sz="4" w:space="0"/>
              <w:right w:val="single" w:color="auto" w:sz="4" w:space="0"/>
            </w:tcBorders>
            <w:noWrap/>
            <w:vAlign w:val="center"/>
          </w:tcPr>
          <w:p w14:paraId="7020352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0" w:name="_Toc12862"/>
            <w:bookmarkStart w:id="1" w:name="_Toc30936"/>
            <w:bookmarkStart w:id="2" w:name="_Toc8098"/>
            <w:bookmarkStart w:id="3" w:name="_Toc731"/>
            <w:bookmarkStart w:id="4" w:name="_Toc11029"/>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28" w:type="pct"/>
            <w:tcBorders>
              <w:top w:val="single" w:color="auto" w:sz="12" w:space="0"/>
              <w:left w:val="single" w:color="auto" w:sz="4" w:space="0"/>
              <w:bottom w:val="single" w:color="auto" w:sz="4" w:space="0"/>
              <w:right w:val="single" w:color="auto" w:sz="4" w:space="0"/>
            </w:tcBorders>
            <w:noWrap/>
            <w:vAlign w:val="center"/>
          </w:tcPr>
          <w:p w14:paraId="6E02AC44">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5" w:name="_Toc11846"/>
            <w:bookmarkStart w:id="6" w:name="_Toc18138"/>
            <w:bookmarkStart w:id="7" w:name="_Toc10937"/>
            <w:bookmarkStart w:id="8" w:name="_Toc14606"/>
            <w:bookmarkStart w:id="9" w:name="_Toc12848"/>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63" w:type="pct"/>
            <w:tcBorders>
              <w:top w:val="single" w:color="auto" w:sz="12" w:space="0"/>
              <w:left w:val="single" w:color="auto" w:sz="4" w:space="0"/>
              <w:bottom w:val="single" w:color="auto" w:sz="4" w:space="0"/>
              <w:right w:val="single" w:color="auto" w:sz="4" w:space="0"/>
            </w:tcBorders>
            <w:noWrap/>
            <w:vAlign w:val="center"/>
          </w:tcPr>
          <w:p w14:paraId="13FCA85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0" w:name="_Toc10792"/>
            <w:bookmarkStart w:id="11" w:name="_Toc11018"/>
            <w:bookmarkStart w:id="12" w:name="_Toc32341"/>
            <w:bookmarkStart w:id="13" w:name="_Toc24749"/>
            <w:bookmarkStart w:id="14" w:name="_Toc30052"/>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99" w:type="pct"/>
            <w:tcBorders>
              <w:top w:val="single" w:color="auto" w:sz="12" w:space="0"/>
              <w:left w:val="single" w:color="auto" w:sz="4" w:space="0"/>
              <w:bottom w:val="single" w:color="auto" w:sz="4" w:space="0"/>
              <w:right w:val="single" w:color="auto" w:sz="4" w:space="0"/>
            </w:tcBorders>
            <w:noWrap/>
            <w:vAlign w:val="center"/>
          </w:tcPr>
          <w:p w14:paraId="422F315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5" w:name="_Toc23775"/>
            <w:bookmarkStart w:id="16" w:name="_Toc2505"/>
            <w:bookmarkStart w:id="17" w:name="_Toc30994"/>
            <w:bookmarkStart w:id="18" w:name="_Toc18279"/>
            <w:bookmarkStart w:id="19" w:name="_Toc31993"/>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432" w:type="pct"/>
            <w:tcBorders>
              <w:top w:val="single" w:color="auto" w:sz="12" w:space="0"/>
              <w:left w:val="single" w:color="auto" w:sz="4" w:space="0"/>
              <w:bottom w:val="single" w:color="auto" w:sz="4" w:space="0"/>
              <w:right w:val="single" w:color="auto" w:sz="4" w:space="0"/>
            </w:tcBorders>
            <w:noWrap/>
            <w:vAlign w:val="center"/>
          </w:tcPr>
          <w:p w14:paraId="42FF886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0" w:name="_Toc16809"/>
            <w:bookmarkStart w:id="21" w:name="_Toc28515"/>
            <w:bookmarkStart w:id="22" w:name="_Toc8038"/>
            <w:bookmarkStart w:id="23" w:name="_Toc19146"/>
            <w:bookmarkStart w:id="24" w:name="_Toc20736"/>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443" w:type="pct"/>
            <w:tcBorders>
              <w:top w:val="single" w:color="auto" w:sz="12" w:space="0"/>
              <w:left w:val="single" w:color="auto" w:sz="4" w:space="0"/>
              <w:bottom w:val="single" w:color="auto" w:sz="4" w:space="0"/>
              <w:right w:val="single" w:color="auto" w:sz="4" w:space="0"/>
            </w:tcBorders>
            <w:noWrap/>
            <w:vAlign w:val="center"/>
          </w:tcPr>
          <w:p w14:paraId="62DF77D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5" w:name="_Toc9385"/>
            <w:bookmarkStart w:id="26" w:name="_Toc12530"/>
            <w:bookmarkStart w:id="27" w:name="_Toc21245"/>
            <w:bookmarkStart w:id="28" w:name="_Toc13868"/>
            <w:bookmarkStart w:id="29" w:name="_Toc8453"/>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1" w:type="pct"/>
            <w:tcBorders>
              <w:top w:val="single" w:color="auto" w:sz="12" w:space="0"/>
              <w:left w:val="single" w:color="auto" w:sz="4" w:space="0"/>
              <w:bottom w:val="single" w:color="auto" w:sz="4" w:space="0"/>
              <w:right w:val="single" w:color="auto" w:sz="4" w:space="0"/>
            </w:tcBorders>
            <w:noWrap/>
            <w:vAlign w:val="center"/>
          </w:tcPr>
          <w:p w14:paraId="6924EC71">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0" w:name="_Toc31770"/>
            <w:bookmarkStart w:id="31" w:name="_Toc13771"/>
            <w:bookmarkStart w:id="32" w:name="_Toc25464"/>
            <w:bookmarkStart w:id="33" w:name="_Toc2753"/>
            <w:bookmarkStart w:id="34" w:name="_Toc26700"/>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538" w:type="pct"/>
            <w:tcBorders>
              <w:top w:val="single" w:color="auto" w:sz="12" w:space="0"/>
              <w:left w:val="single" w:color="auto" w:sz="4" w:space="0"/>
              <w:bottom w:val="single" w:color="auto" w:sz="4" w:space="0"/>
              <w:right w:val="single" w:color="auto" w:sz="4" w:space="0"/>
            </w:tcBorders>
            <w:noWrap/>
            <w:vAlign w:val="center"/>
          </w:tcPr>
          <w:p w14:paraId="18D6C4F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5" w:name="_Toc18214"/>
            <w:bookmarkStart w:id="36" w:name="_Toc12281"/>
            <w:bookmarkStart w:id="37" w:name="_Toc13068"/>
            <w:bookmarkStart w:id="38" w:name="_Toc8363"/>
            <w:bookmarkStart w:id="39" w:name="_Toc1099"/>
            <w:r>
              <w:rPr>
                <w:rFonts w:hint="eastAsia" w:asciiTheme="minorEastAsia" w:hAnsiTheme="minorEastAsia" w:eastAsiaTheme="minorEastAsia" w:cstheme="minorEastAsia"/>
                <w:color w:val="000000"/>
                <w:kern w:val="2"/>
                <w:sz w:val="24"/>
                <w:szCs w:val="24"/>
                <w:highlight w:val="none"/>
              </w:rPr>
              <w:t>单价（元）</w:t>
            </w:r>
            <w:bookmarkEnd w:id="35"/>
            <w:bookmarkEnd w:id="36"/>
            <w:bookmarkEnd w:id="37"/>
            <w:bookmarkEnd w:id="38"/>
            <w:bookmarkEnd w:id="39"/>
          </w:p>
        </w:tc>
        <w:tc>
          <w:tcPr>
            <w:tcW w:w="862" w:type="pct"/>
            <w:tcBorders>
              <w:top w:val="single" w:color="auto" w:sz="12" w:space="0"/>
              <w:left w:val="single" w:color="auto" w:sz="4" w:space="0"/>
              <w:bottom w:val="single" w:color="auto" w:sz="4" w:space="0"/>
              <w:right w:val="single" w:color="auto" w:sz="12" w:space="0"/>
            </w:tcBorders>
            <w:noWrap/>
            <w:vAlign w:val="center"/>
          </w:tcPr>
          <w:p w14:paraId="7875D998">
            <w:pPr>
              <w:pageBreakBefore w:val="0"/>
              <w:kinsoku/>
              <w:wordWrap/>
              <w:overflowPunct/>
              <w:topLinePunct w:val="0"/>
              <w:autoSpaceDE/>
              <w:autoSpaceDN/>
              <w:bidi w:val="0"/>
              <w:adjustRightInd/>
              <w:spacing w:before="0"/>
              <w:ind w:left="207" w:hanging="235" w:hangingChars="98"/>
              <w:jc w:val="both"/>
              <w:outlineLvl w:val="9"/>
              <w:rPr>
                <w:rFonts w:hint="eastAsia" w:asciiTheme="minorEastAsia" w:hAnsiTheme="minorEastAsia" w:eastAsiaTheme="minorEastAsia" w:cstheme="minorEastAsia"/>
                <w:color w:val="000000"/>
                <w:kern w:val="2"/>
                <w:sz w:val="24"/>
                <w:szCs w:val="24"/>
                <w:highlight w:val="none"/>
              </w:rPr>
            </w:pPr>
            <w:bookmarkStart w:id="40" w:name="_Toc23208"/>
            <w:bookmarkStart w:id="41" w:name="_Toc30167"/>
            <w:bookmarkStart w:id="42" w:name="_Toc32252"/>
            <w:bookmarkStart w:id="43" w:name="_Toc16235"/>
            <w:bookmarkStart w:id="44" w:name="_Toc3069"/>
            <w:r>
              <w:rPr>
                <w:rFonts w:hint="eastAsia" w:asciiTheme="minorEastAsia" w:hAnsiTheme="minorEastAsia" w:eastAsiaTheme="minorEastAsia" w:cstheme="minorEastAsia"/>
                <w:color w:val="000000"/>
                <w:kern w:val="2"/>
                <w:sz w:val="24"/>
                <w:szCs w:val="24"/>
                <w:highlight w:val="none"/>
              </w:rPr>
              <w:t>金额 (元)</w:t>
            </w:r>
            <w:bookmarkEnd w:id="40"/>
            <w:bookmarkEnd w:id="41"/>
            <w:bookmarkEnd w:id="42"/>
            <w:bookmarkEnd w:id="43"/>
            <w:bookmarkEnd w:id="44"/>
          </w:p>
        </w:tc>
      </w:tr>
      <w:tr w14:paraId="5BAD1D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3D66308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47471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4DED43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5E84101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04E6499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038BD58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68200C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4A8635E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017BA9E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676A1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8D786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CE3761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61BB257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9D76EE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45DC190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1C24AA5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32FD459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24EA3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1559156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1340D6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476241C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1AFF322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34E82B0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AACEAE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D0D99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0B2715D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22799F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C5A215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145A5A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1D0FE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6A2A7E1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7A178F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07D11C2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6A32135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65F40B0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33A915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1FB1912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209EB5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5CCFFBE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74403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A8438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5735A3B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27892DD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B7E972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293E0AF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47AE711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1058966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2B34796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55B4583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AA156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074BB11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0538DA4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0EDB387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9151CB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BE0A76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700E4F1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361E57E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6D81102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6BB1F4A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759488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8" w:type="pct"/>
            <w:tcBorders>
              <w:top w:val="single" w:color="auto" w:sz="4" w:space="0"/>
              <w:left w:val="single" w:color="auto" w:sz="12" w:space="0"/>
              <w:bottom w:val="single" w:color="auto" w:sz="12" w:space="0"/>
              <w:right w:val="single" w:color="auto" w:sz="4" w:space="0"/>
            </w:tcBorders>
            <w:noWrap/>
            <w:vAlign w:val="top"/>
          </w:tcPr>
          <w:p w14:paraId="2A054D3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12" w:space="0"/>
              <w:right w:val="single" w:color="auto" w:sz="4" w:space="0"/>
            </w:tcBorders>
            <w:noWrap/>
            <w:vAlign w:val="center"/>
          </w:tcPr>
          <w:p w14:paraId="057BABC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29310"/>
            <w:bookmarkStart w:id="46" w:name="_Toc19191"/>
            <w:bookmarkStart w:id="47" w:name="_Toc21829"/>
            <w:bookmarkStart w:id="48" w:name="_Toc32106"/>
            <w:bookmarkStart w:id="49" w:name="_Toc19124"/>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00" w:type="pct"/>
            <w:gridSpan w:val="5"/>
            <w:tcBorders>
              <w:top w:val="single" w:color="auto" w:sz="4" w:space="0"/>
              <w:left w:val="single" w:color="auto" w:sz="4" w:space="0"/>
              <w:bottom w:val="single" w:color="auto" w:sz="12" w:space="0"/>
              <w:right w:val="single" w:color="auto" w:sz="4" w:space="0"/>
            </w:tcBorders>
            <w:noWrap/>
            <w:vAlign w:val="center"/>
          </w:tcPr>
          <w:p w14:paraId="37EB969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14595"/>
            <w:bookmarkStart w:id="51" w:name="_Toc25331"/>
            <w:bookmarkStart w:id="52" w:name="_Toc2960"/>
            <w:bookmarkStart w:id="53" w:name="_Toc4152"/>
            <w:bookmarkStart w:id="54" w:name="_Toc17082"/>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1" w:type="pct"/>
            <w:gridSpan w:val="2"/>
            <w:tcBorders>
              <w:top w:val="single" w:color="auto" w:sz="4" w:space="0"/>
              <w:left w:val="single" w:color="auto" w:sz="4" w:space="0"/>
              <w:bottom w:val="single" w:color="auto" w:sz="12" w:space="0"/>
              <w:right w:val="single" w:color="auto" w:sz="12" w:space="0"/>
            </w:tcBorders>
            <w:noWrap/>
            <w:vAlign w:val="center"/>
          </w:tcPr>
          <w:p w14:paraId="295B721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7999"/>
            <w:bookmarkStart w:id="56" w:name="_Toc13206"/>
            <w:bookmarkStart w:id="57" w:name="_Toc28580"/>
            <w:bookmarkStart w:id="58" w:name="_Toc10954"/>
            <w:bookmarkStart w:id="59" w:name="_Toc29773"/>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28DD079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5540C1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18D458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磋商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val="en-US" w:eastAsia="zh-CN"/>
        </w:rPr>
        <w:t>售后、</w:t>
      </w:r>
      <w:r>
        <w:rPr>
          <w:rFonts w:hint="eastAsia" w:asciiTheme="minorEastAsia" w:hAnsiTheme="minorEastAsia" w:eastAsiaTheme="minorEastAsia" w:cstheme="minorEastAsia"/>
          <w:sz w:val="24"/>
          <w:szCs w:val="24"/>
          <w:highlight w:val="none"/>
        </w:rPr>
        <w:t>招标代理服务费、政策性文件规定的各项应有费用等其他一切相关费用。供应商所报的价格应考虑到可能发生的所有与完成本次磋商相关货物、服务及履行合同义务有关的一切费用。</w:t>
      </w:r>
      <w:bookmarkEnd w:id="62"/>
    </w:p>
    <w:p w14:paraId="2D1BAF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042BF3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0595FD6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7B2D54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yellow"/>
          <w:lang w:eastAsia="zh-CN"/>
        </w:rPr>
      </w:pPr>
      <w:bookmarkStart w:id="65" w:name="_Toc4711"/>
      <w:r>
        <w:rPr>
          <w:rFonts w:hint="eastAsia" w:asciiTheme="minorEastAsia" w:hAnsiTheme="minorEastAsia" w:eastAsiaTheme="minorEastAsia" w:cstheme="minorEastAsia"/>
          <w:color w:val="auto"/>
          <w:sz w:val="24"/>
          <w:szCs w:val="24"/>
          <w:highlight w:val="none"/>
        </w:rPr>
        <w:t>货物（产品）按下列比例支付价款：</w:t>
      </w:r>
      <w:bookmarkEnd w:id="65"/>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w:t>
      </w:r>
    </w:p>
    <w:p w14:paraId="24D7F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770462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6" w:name="_Toc10542"/>
      <w:r>
        <w:rPr>
          <w:rFonts w:hint="eastAsia" w:asciiTheme="minorEastAsia" w:hAnsiTheme="minorEastAsia" w:eastAsiaTheme="minorEastAsia" w:cstheme="minorEastAsia"/>
          <w:sz w:val="24"/>
          <w:szCs w:val="24"/>
          <w:highlight w:val="none"/>
        </w:rPr>
        <w:t>3、结算方式：银行转账。</w:t>
      </w:r>
      <w:bookmarkEnd w:id="66"/>
    </w:p>
    <w:p w14:paraId="590E6568">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3CF7D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1C37FAD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4FD17B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696EE1A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616F61DA">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4E236C0B">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6507A1BF">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1、交货安装期：</w:t>
      </w:r>
      <w:r>
        <w:rPr>
          <w:rFonts w:hint="eastAsia" w:asciiTheme="minorEastAsia" w:hAnsiTheme="minorEastAsia" w:eastAsiaTheme="minorEastAsia" w:cstheme="minorEastAsia"/>
          <w:color w:val="auto"/>
          <w:kern w:val="0"/>
          <w:sz w:val="24"/>
          <w:szCs w:val="24"/>
          <w:highlight w:val="none"/>
        </w:rPr>
        <w:t>合同签订生效之日起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个日历日供货安装调试</w:t>
      </w:r>
      <w:r>
        <w:rPr>
          <w:rFonts w:hint="eastAsia" w:asciiTheme="minorEastAsia" w:hAnsiTheme="minorEastAsia" w:eastAsiaTheme="minorEastAsia" w:cstheme="minorEastAsia"/>
          <w:color w:val="auto"/>
          <w:kern w:val="0"/>
          <w:sz w:val="24"/>
          <w:szCs w:val="24"/>
          <w:highlight w:val="none"/>
          <w:lang w:val="en-US" w:eastAsia="zh-CN"/>
        </w:rPr>
        <w:t>完毕，验收合格，投入使用</w:t>
      </w:r>
      <w:r>
        <w:rPr>
          <w:rFonts w:hint="eastAsia" w:asciiTheme="minorEastAsia" w:hAnsiTheme="minorEastAsia" w:eastAsiaTheme="minorEastAsia" w:cstheme="minorEastAsia"/>
          <w:color w:val="auto"/>
          <w:kern w:val="0"/>
          <w:sz w:val="24"/>
          <w:szCs w:val="24"/>
          <w:highlight w:val="none"/>
        </w:rPr>
        <w:t>。</w:t>
      </w:r>
    </w:p>
    <w:p w14:paraId="1696243A">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2、交货地点：甲方指定地点</w:t>
      </w:r>
    </w:p>
    <w:p w14:paraId="53C04F6A">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包装要求与运输方式  </w:t>
      </w:r>
    </w:p>
    <w:p w14:paraId="049C0530">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1、除合同另有规定外，乙方提供的全部货物均应按标准保护措施进行包装，该包装应适应于远距离运输、防潮、防震、防锈和防野蛮装卸，以确保货物安全运抵指定地点。</w:t>
      </w:r>
    </w:p>
    <w:p w14:paraId="75CE858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2、每一包装单元应附详细的装箱单和质量合格证。</w:t>
      </w:r>
    </w:p>
    <w:p w14:paraId="28682C3A">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3、货物（产品）运输方式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34EB221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4、乙方负责货物（产品）运输，货物运输的合理损耗及计算方法。</w:t>
      </w:r>
    </w:p>
    <w:p w14:paraId="159539FC">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7E107EC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1、乙方须提供全新的、未使用过的合格正品货物（含零部件、配件等），完全符合合同规定的质量、规格和性能的要求。</w:t>
      </w:r>
    </w:p>
    <w:p w14:paraId="646FDBC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2、乙方提供的节能和环保产品必须是列入政府采购清单的产品。</w:t>
      </w:r>
    </w:p>
    <w:p w14:paraId="2E27153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3、质量标准按照最新颁布的国家标准、行业标准或制造商企业标准确定，上述标准不一致的，以严格标准为准。</w:t>
      </w:r>
    </w:p>
    <w:p w14:paraId="6FD942A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4、乙方所提供货物还应符合国家和陕西省有关安全、环保、节能之规定，“3C”认证的货物（产品）应加贴“3C”认证标志。</w:t>
      </w:r>
    </w:p>
    <w:p w14:paraId="7A814FA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5、货物制造质量出现问题，乙方应负责三包（包修、包换、包退），费用由乙方负担，甲方有权到乙方生产场地检查货物质量和生产进度。</w:t>
      </w:r>
    </w:p>
    <w:p w14:paraId="2BA05546">
      <w:pPr>
        <w:pStyle w:val="11"/>
        <w:pageBreakBefore w:val="0"/>
        <w:kinsoku/>
        <w:wordWrap/>
        <w:overflowPunct/>
        <w:topLinePunct w:val="0"/>
        <w:autoSpaceDE/>
        <w:autoSpaceDN/>
        <w:bidi w:val="0"/>
        <w:adjustRightInd/>
        <w:spacing w:line="360" w:lineRule="auto"/>
        <w:ind w:firstLine="480"/>
        <w:outlineLvl w:val="9"/>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6、质保期：</w:t>
      </w:r>
      <w:bookmarkStart w:id="67" w:name="_GoBack"/>
      <w:r>
        <w:rPr>
          <w:rFonts w:hint="eastAsia" w:asciiTheme="minorEastAsia" w:hAnsiTheme="minorEastAsia" w:eastAsiaTheme="minorEastAsia" w:cstheme="minorEastAsia"/>
          <w:sz w:val="24"/>
          <w:szCs w:val="24"/>
          <w:highlight w:val="none"/>
          <w:u w:val="single"/>
          <w:lang w:val="en-US" w:eastAsia="zh-CN"/>
        </w:rPr>
        <w:t xml:space="preserve">   </w:t>
      </w:r>
      <w:bookmarkEnd w:id="67"/>
      <w:r>
        <w:rPr>
          <w:rFonts w:hint="eastAsia" w:asciiTheme="minorEastAsia" w:hAnsiTheme="minorEastAsia" w:eastAsiaTheme="minorEastAsia" w:cstheme="minorEastAsia"/>
          <w:sz w:val="24"/>
          <w:szCs w:val="24"/>
          <w:highlight w:val="none"/>
          <w:lang w:val="en-US" w:eastAsia="zh-CN"/>
        </w:rPr>
        <w:t xml:space="preserve"> 年。</w:t>
      </w:r>
    </w:p>
    <w:p w14:paraId="25D47F91">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2BD1734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274766A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2、乙方保证合同所有设备是全新的（包括零部件），其规格参数及配件不低于（符合）本项目磋商文件和响应文件的要求。</w:t>
      </w:r>
    </w:p>
    <w:p w14:paraId="35F671FF">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3、自检最终通过后，乙方提出验收申请，甲方组织相关人员进行最终验收。</w:t>
      </w:r>
    </w:p>
    <w:p w14:paraId="3C984A5C">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4、设备采购从通过最终验收之日起进入保修期。</w:t>
      </w:r>
    </w:p>
    <w:p w14:paraId="465A5660">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第九条 售后服务</w:t>
      </w:r>
    </w:p>
    <w:p w14:paraId="323B1A7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乙方</w:t>
      </w:r>
      <w:r>
        <w:rPr>
          <w:rFonts w:hint="eastAsia" w:asciiTheme="minorEastAsia" w:hAnsiTheme="minorEastAsia" w:eastAsiaTheme="minorEastAsia" w:cstheme="minorEastAsia"/>
          <w:sz w:val="24"/>
          <w:szCs w:val="24"/>
          <w:highlight w:val="none"/>
        </w:rPr>
        <w:t>派专人对</w:t>
      </w:r>
      <w:r>
        <w:rPr>
          <w:rFonts w:hint="eastAsia" w:asciiTheme="minorEastAsia" w:hAnsiTheme="minorEastAsia" w:eastAsia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rPr>
        <w:t xml:space="preserve">提供售后服务；                  </w:t>
      </w:r>
    </w:p>
    <w:p w14:paraId="4D252EC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2、货物（产品）的现场安装、调试和启动监督；</w:t>
      </w:r>
    </w:p>
    <w:p w14:paraId="5050849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6484E59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4、质保期自采购人在货物质量验收单（终验）上签字之日起计算，质保费用计入总价；</w:t>
      </w:r>
    </w:p>
    <w:p w14:paraId="1483BF8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5、乙方对其所提供设备、材料等负责备品配件的供应，长期提供维修服务，并提供技术咨询等服务。质保期内应无偿负责的维修和替换等工作。超出质保期只收取维修所需原设备、材料成本费用。</w:t>
      </w:r>
    </w:p>
    <w:p w14:paraId="19CE35B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6、服务响应时限：7*24小时服务，提供售后服务电话（应具有：固定电话、移动电话、传真）；</w:t>
      </w:r>
    </w:p>
    <w:p w14:paraId="7E8D8F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7、成交供应商在接到采购人通知后维修工作时间不大于24小时，更换工作时间不大于72小时。</w:t>
      </w:r>
    </w:p>
    <w:p w14:paraId="3D6A00B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8、在质保期内更换系统中部件，其保修期应相应延长。</w:t>
      </w:r>
    </w:p>
    <w:p w14:paraId="721D378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9、所有货物服务方式均为成交供应商上门服务，即由成交供应商派员到货物使用现场维修，由此产生的一切费用均由成交供应商承担；</w:t>
      </w:r>
    </w:p>
    <w:p w14:paraId="2840B63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10、质保期结束后的货物维修、维护由双方协商再定。</w:t>
      </w:r>
    </w:p>
    <w:p w14:paraId="1148A73C">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64CE6DC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1、甲方违约责任</w:t>
      </w:r>
    </w:p>
    <w:p w14:paraId="5E18164B">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（1）甲方无正当理由拒收货物的，甲方应偿付合同总价3 %的违约金；</w:t>
      </w:r>
    </w:p>
    <w:p w14:paraId="31FBC863">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（2）甲方逾期支付货款的，除应及时付足货款外，应向乙方每天支付欠款总额1‰的滞纳金；但累计滞纳金总额不超过欠款总额的1%。</w:t>
      </w:r>
    </w:p>
    <w:p w14:paraId="1DD334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2、乙方违约责任</w:t>
      </w:r>
    </w:p>
    <w:p w14:paraId="3901C367">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（1）如乙方不能交付货物，乙方应向甲方支付合同总价5％的违约金；</w:t>
      </w:r>
    </w:p>
    <w:p w14:paraId="3209190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（2）乙方逾期交付货物的，每逾期1天，乙方向甲方偿付逾期交货部分货款总额的3‰的滞纳金。如乙方逾期交货达15天，甲方有权解除合同，解除合同的通知自到达乙方时生效；</w:t>
      </w:r>
    </w:p>
    <w:p w14:paraId="24FBF1EB">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（3）乙方所交付的货物品种、型号、规格不符合合同规定的，甲方有权拒收。甲方拒收的，乙方应向甲方支付货款总额5%的违约金；</w:t>
      </w:r>
    </w:p>
    <w:p w14:paraId="20560CA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593F1F4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C694B3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（6）乙方未按本合同约定履行自身应尽义务的，应向甲方承担违约责任，按合同总价款的5 %向甲方支付违约金；该违约金的支付不影响乙方应承担的其他违约责任；</w:t>
      </w:r>
    </w:p>
    <w:p w14:paraId="594EC61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（7）乙方未按本合同的规定和“服务承诺”提供伴随服务/售后服务的，应按合同总价款的5%向甲方承担违约责任；</w:t>
      </w:r>
    </w:p>
    <w:p w14:paraId="6D731DC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1F70FAF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（9）乙方偿付的违约金不足以弥补甲方损失的，还应按甲方损失尚未弥补的部分，支付赔偿金给甲方。</w:t>
      </w:r>
    </w:p>
    <w:p w14:paraId="3F3D2A56">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第十一条 合同的变更和终止</w:t>
      </w:r>
    </w:p>
    <w:p w14:paraId="43D8C9E8">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除《中华人民共和国政府采购法》第49条、第50条第二款规定的情形外，本合同一经签订，甲乙双方不得擅自变更、中止或终止合同。</w:t>
      </w:r>
    </w:p>
    <w:p w14:paraId="36EE50A1">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第十二条 争议的解决</w:t>
      </w:r>
    </w:p>
    <w:p w14:paraId="2C70E13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4203230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4328C84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2E73973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302E5C9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35ABA8FA">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第十三条 合同生效及其他</w:t>
      </w:r>
    </w:p>
    <w:p w14:paraId="68630BA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0405F3C3">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2C637AE8">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750B822B">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016A5A92">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08D5718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62D6CC8F">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7052DC32">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2DCB6A30">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1FF8BFA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573F834E">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4B645B7"/>
    <w:rsid w:val="076F3599"/>
    <w:rsid w:val="07A019A5"/>
    <w:rsid w:val="0AFD710E"/>
    <w:rsid w:val="0BDA7DDB"/>
    <w:rsid w:val="0BDE0CED"/>
    <w:rsid w:val="0D554FDF"/>
    <w:rsid w:val="10BC5375"/>
    <w:rsid w:val="125A1663"/>
    <w:rsid w:val="165A3666"/>
    <w:rsid w:val="1A423B81"/>
    <w:rsid w:val="1B79633D"/>
    <w:rsid w:val="1C7A05BE"/>
    <w:rsid w:val="1D434E54"/>
    <w:rsid w:val="20711CD8"/>
    <w:rsid w:val="247B4ED4"/>
    <w:rsid w:val="24FB6014"/>
    <w:rsid w:val="2A30050E"/>
    <w:rsid w:val="2BD01C52"/>
    <w:rsid w:val="300C557A"/>
    <w:rsid w:val="30F304E8"/>
    <w:rsid w:val="35800FB6"/>
    <w:rsid w:val="3A856D10"/>
    <w:rsid w:val="3F286E52"/>
    <w:rsid w:val="3F4D5267"/>
    <w:rsid w:val="424B1766"/>
    <w:rsid w:val="47F6293F"/>
    <w:rsid w:val="4DC61A36"/>
    <w:rsid w:val="529C2335"/>
    <w:rsid w:val="5CB62246"/>
    <w:rsid w:val="5ED54C05"/>
    <w:rsid w:val="5F115951"/>
    <w:rsid w:val="65B31A18"/>
    <w:rsid w:val="66CD6B09"/>
    <w:rsid w:val="6E8963C6"/>
    <w:rsid w:val="746B42E5"/>
    <w:rsid w:val="76CB03C9"/>
    <w:rsid w:val="78000AED"/>
    <w:rsid w:val="7D6E02A7"/>
    <w:rsid w:val="7E314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551</Words>
  <Characters>551</Characters>
  <Lines>0</Lines>
  <Paragraphs>0</Paragraphs>
  <TotalTime>10</TotalTime>
  <ScaleCrop>false</ScaleCrop>
  <LinksUpToDate>false</LinksUpToDate>
  <CharactersWithSpaces>635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QQQQ</cp:lastModifiedBy>
  <dcterms:modified xsi:type="dcterms:W3CDTF">2026-08-11T07:20:08Z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3006C60F7B3E4FC185664B3083845DA4_11</vt:lpwstr>
  </property>
  <property fmtid="{D5CDD505-2E9C-101B-9397-08002B2CF9AE}" pid="4" name="KSOTemplateDocerSaveRecord">
    <vt:lpwstr>eyJoZGlkIjoiZDJhNTYxMTllYzUwOTU1MjM0YzExYjc3OTk0ZTNlODgiLCJ1c2VySWQiOiIzODkzMjE1NzcifQ==</vt:lpwstr>
  </property>
</Properties>
</file>