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2A3240">
      <w:pPr>
        <w:pStyle w:val="4"/>
        <w:jc w:val="center"/>
        <w:outlineLvl w:val="1"/>
        <w:rPr>
          <w:color w:val="auto"/>
          <w:highlight w:val="none"/>
        </w:rPr>
      </w:pPr>
      <w:bookmarkStart w:id="0" w:name="_GoBack"/>
      <w:r>
        <w:rPr>
          <w:rFonts w:ascii="仿宋_GB2312" w:hAnsi="仿宋_GB2312" w:eastAsia="仿宋_GB2312" w:cs="仿宋_GB2312"/>
          <w:b/>
          <w:color w:val="auto"/>
          <w:sz w:val="36"/>
          <w:highlight w:val="none"/>
        </w:rPr>
        <w:t>第三章 磋商项目技术、服务、商务及其他要求</w:t>
      </w:r>
    </w:p>
    <w:p w14:paraId="2F36EBD4">
      <w:pPr>
        <w:pStyle w:val="4"/>
        <w:ind w:firstLine="480"/>
        <w:rPr>
          <w:color w:val="auto"/>
          <w:highlight w:val="none"/>
        </w:rPr>
      </w:pPr>
      <w:r>
        <w:rPr>
          <w:rFonts w:ascii="仿宋_GB2312" w:hAnsi="仿宋_GB2312" w:eastAsia="仿宋_GB2312" w:cs="仿宋_GB2312"/>
          <w:color w:val="auto"/>
          <w:highlight w:val="none"/>
        </w:rPr>
        <w:t xml:space="preserve"> （注：带“★”的参数需求为实质性要求，供应商必须响应并满足的参数需求，采购人、采购代理机构应当根据项目实际需求合理设定，并明确具体要求。带“▲”号条款为允许负偏离的参数需求，若未响应或者不满足，将在综合评审中予以扣分处理。）</w:t>
      </w:r>
    </w:p>
    <w:p w14:paraId="486F7C5F">
      <w:pPr>
        <w:pStyle w:val="4"/>
        <w:outlineLvl w:val="2"/>
        <w:rPr>
          <w:color w:val="auto"/>
          <w:highlight w:val="none"/>
        </w:rPr>
      </w:pPr>
      <w:r>
        <w:rPr>
          <w:rFonts w:ascii="仿宋_GB2312" w:hAnsi="仿宋_GB2312" w:eastAsia="仿宋_GB2312" w:cs="仿宋_GB2312"/>
          <w:b/>
          <w:color w:val="auto"/>
          <w:sz w:val="28"/>
          <w:highlight w:val="none"/>
        </w:rPr>
        <w:t>3.1采购项目概况</w:t>
      </w:r>
    </w:p>
    <w:p w14:paraId="3BE6BAFC">
      <w:pPr>
        <w:pStyle w:val="4"/>
        <w:ind w:firstLine="480"/>
        <w:rPr>
          <w:color w:val="auto"/>
          <w:highlight w:val="none"/>
        </w:rPr>
      </w:pPr>
      <w:r>
        <w:rPr>
          <w:rFonts w:ascii="仿宋_GB2312" w:hAnsi="仿宋_GB2312" w:eastAsia="仿宋_GB2312" w:cs="仿宋_GB2312"/>
          <w:color w:val="auto"/>
          <w:highlight w:val="none"/>
        </w:rPr>
        <w:t>为规范市级行政事业单位实体公物仓管理，保障办公家具、设备的合理流转与高效使用，做好实体公物仓办公家具（如桌椅、柜类等）和设备（如电脑、打印机等）日常调配统一管理工作，需对入仓调配办公家具进行维修、运输、搬运等工作。</w:t>
      </w:r>
    </w:p>
    <w:p w14:paraId="6AC463E1">
      <w:pPr>
        <w:pStyle w:val="4"/>
        <w:outlineLvl w:val="2"/>
        <w:rPr>
          <w:color w:val="auto"/>
          <w:highlight w:val="none"/>
        </w:rPr>
      </w:pPr>
      <w:r>
        <w:rPr>
          <w:rFonts w:ascii="仿宋_GB2312" w:hAnsi="仿宋_GB2312" w:eastAsia="仿宋_GB2312" w:cs="仿宋_GB2312"/>
          <w:b/>
          <w:color w:val="auto"/>
          <w:sz w:val="28"/>
          <w:highlight w:val="none"/>
        </w:rPr>
        <w:t>3.2服务内容及服务要求</w:t>
      </w:r>
    </w:p>
    <w:p w14:paraId="3BAA14F5">
      <w:pPr>
        <w:pStyle w:val="4"/>
        <w:outlineLvl w:val="3"/>
        <w:rPr>
          <w:color w:val="auto"/>
          <w:highlight w:val="none"/>
        </w:rPr>
      </w:pPr>
      <w:r>
        <w:rPr>
          <w:rFonts w:ascii="仿宋_GB2312" w:hAnsi="仿宋_GB2312" w:eastAsia="仿宋_GB2312" w:cs="仿宋_GB2312"/>
          <w:b/>
          <w:color w:val="auto"/>
          <w:sz w:val="24"/>
          <w:highlight w:val="none"/>
        </w:rPr>
        <w:t>3.2.1服务内容</w:t>
      </w:r>
    </w:p>
    <w:p w14:paraId="5D0A27A8">
      <w:pPr>
        <w:pStyle w:val="4"/>
        <w:rPr>
          <w:color w:val="auto"/>
          <w:highlight w:val="none"/>
        </w:rPr>
      </w:pPr>
      <w:r>
        <w:rPr>
          <w:rFonts w:ascii="仿宋_GB2312" w:hAnsi="仿宋_GB2312" w:eastAsia="仿宋_GB2312" w:cs="仿宋_GB2312"/>
          <w:color w:val="auto"/>
          <w:highlight w:val="none"/>
        </w:rPr>
        <w:t>采购包1：</w:t>
      </w:r>
    </w:p>
    <w:p w14:paraId="078B0521">
      <w:pPr>
        <w:pStyle w:val="4"/>
        <w:rPr>
          <w:color w:val="auto"/>
          <w:highlight w:val="none"/>
        </w:rPr>
      </w:pPr>
      <w:r>
        <w:rPr>
          <w:rFonts w:ascii="仿宋_GB2312" w:hAnsi="仿宋_GB2312" w:eastAsia="仿宋_GB2312" w:cs="仿宋_GB2312"/>
          <w:color w:val="auto"/>
          <w:highlight w:val="none"/>
        </w:rPr>
        <w:t>采购包预算金额（元）: 150,000.00</w:t>
      </w:r>
    </w:p>
    <w:p w14:paraId="3FA9F061">
      <w:pPr>
        <w:pStyle w:val="4"/>
        <w:rPr>
          <w:color w:val="auto"/>
          <w:highlight w:val="none"/>
        </w:rPr>
      </w:pPr>
      <w:r>
        <w:rPr>
          <w:rFonts w:ascii="仿宋_GB2312" w:hAnsi="仿宋_GB2312" w:eastAsia="仿宋_GB2312" w:cs="仿宋_GB2312"/>
          <w:color w:val="auto"/>
          <w:highlight w:val="none"/>
        </w:rPr>
        <w:t>采购包最高限价（元）: 150,000.00</w:t>
      </w:r>
    </w:p>
    <w:p w14:paraId="01772296">
      <w:pPr>
        <w:pStyle w:val="4"/>
        <w:rPr>
          <w:color w:val="auto"/>
          <w:highlight w:val="none"/>
        </w:rPr>
      </w:pPr>
      <w:r>
        <w:rPr>
          <w:rFonts w:ascii="仿宋_GB2312" w:hAnsi="仿宋_GB2312" w:eastAsia="仿宋_GB2312" w:cs="仿宋_GB2312"/>
          <w:color w:val="auto"/>
          <w:highlight w:val="none"/>
        </w:rPr>
        <w:t>供应商报价不允许超过标的金额</w:t>
      </w:r>
    </w:p>
    <w:p w14:paraId="2C3DF94A">
      <w:pPr>
        <w:pStyle w:val="4"/>
        <w:rPr>
          <w:color w:val="auto"/>
          <w:highlight w:val="none"/>
        </w:rPr>
      </w:pPr>
      <w:r>
        <w:rPr>
          <w:rFonts w:ascii="仿宋_GB2312" w:hAnsi="仿宋_GB2312" w:eastAsia="仿宋_GB2312" w:cs="仿宋_GB2312"/>
          <w:color w:val="auto"/>
          <w:highlight w:val="none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78B7F06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033D8463">
            <w:pPr>
              <w:pStyle w:val="4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序号</w:t>
            </w:r>
          </w:p>
        </w:tc>
        <w:tc>
          <w:tcPr>
            <w:tcW w:w="755" w:type="dxa"/>
          </w:tcPr>
          <w:p w14:paraId="7A02553C">
            <w:pPr>
              <w:pStyle w:val="4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标的名称</w:t>
            </w:r>
          </w:p>
        </w:tc>
        <w:tc>
          <w:tcPr>
            <w:tcW w:w="755" w:type="dxa"/>
          </w:tcPr>
          <w:p w14:paraId="3134023C">
            <w:pPr>
              <w:pStyle w:val="4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数量</w:t>
            </w:r>
          </w:p>
        </w:tc>
        <w:tc>
          <w:tcPr>
            <w:tcW w:w="755" w:type="dxa"/>
          </w:tcPr>
          <w:p w14:paraId="3B86A26E">
            <w:pPr>
              <w:pStyle w:val="4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标的金额 （元）</w:t>
            </w:r>
          </w:p>
        </w:tc>
        <w:tc>
          <w:tcPr>
            <w:tcW w:w="755" w:type="dxa"/>
          </w:tcPr>
          <w:p w14:paraId="7462C29C">
            <w:pPr>
              <w:pStyle w:val="4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计量单位</w:t>
            </w:r>
          </w:p>
        </w:tc>
        <w:tc>
          <w:tcPr>
            <w:tcW w:w="755" w:type="dxa"/>
          </w:tcPr>
          <w:p w14:paraId="69245881">
            <w:pPr>
              <w:pStyle w:val="4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所属行业</w:t>
            </w:r>
          </w:p>
        </w:tc>
        <w:tc>
          <w:tcPr>
            <w:tcW w:w="755" w:type="dxa"/>
          </w:tcPr>
          <w:p w14:paraId="3F2C2188">
            <w:pPr>
              <w:pStyle w:val="4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是否核心产品</w:t>
            </w:r>
          </w:p>
        </w:tc>
        <w:tc>
          <w:tcPr>
            <w:tcW w:w="755" w:type="dxa"/>
          </w:tcPr>
          <w:p w14:paraId="066BB63F">
            <w:pPr>
              <w:pStyle w:val="4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是否允许进口产品</w:t>
            </w:r>
          </w:p>
        </w:tc>
        <w:tc>
          <w:tcPr>
            <w:tcW w:w="755" w:type="dxa"/>
          </w:tcPr>
          <w:p w14:paraId="399FAAAE">
            <w:pPr>
              <w:pStyle w:val="4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是否属于节能产品</w:t>
            </w:r>
          </w:p>
        </w:tc>
        <w:tc>
          <w:tcPr>
            <w:tcW w:w="755" w:type="dxa"/>
          </w:tcPr>
          <w:p w14:paraId="1AF3C495">
            <w:pPr>
              <w:pStyle w:val="4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是否属于环境标志产品</w:t>
            </w:r>
          </w:p>
        </w:tc>
        <w:tc>
          <w:tcPr>
            <w:tcW w:w="755" w:type="dxa"/>
          </w:tcPr>
          <w:p w14:paraId="04E2DA91">
            <w:pPr>
              <w:pStyle w:val="4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是否实施本国产品政策</w:t>
            </w:r>
          </w:p>
        </w:tc>
      </w:tr>
      <w:tr w14:paraId="4A931C9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0DB8F395">
            <w:pPr>
              <w:pStyle w:val="4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1</w:t>
            </w:r>
          </w:p>
        </w:tc>
        <w:tc>
          <w:tcPr>
            <w:tcW w:w="755" w:type="dxa"/>
          </w:tcPr>
          <w:p w14:paraId="18638DF2">
            <w:pPr>
              <w:pStyle w:val="4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实体公物仓日常维护</w:t>
            </w:r>
          </w:p>
        </w:tc>
        <w:tc>
          <w:tcPr>
            <w:tcW w:w="755" w:type="dxa"/>
          </w:tcPr>
          <w:p w14:paraId="0084B401">
            <w:pPr>
              <w:pStyle w:val="4"/>
              <w:jc w:val="right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1.00</w:t>
            </w:r>
          </w:p>
        </w:tc>
        <w:tc>
          <w:tcPr>
            <w:tcW w:w="755" w:type="dxa"/>
          </w:tcPr>
          <w:p w14:paraId="49F1C825">
            <w:pPr>
              <w:pStyle w:val="4"/>
              <w:jc w:val="right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150,000.00</w:t>
            </w:r>
          </w:p>
        </w:tc>
        <w:tc>
          <w:tcPr>
            <w:tcW w:w="755" w:type="dxa"/>
          </w:tcPr>
          <w:p w14:paraId="16899299">
            <w:pPr>
              <w:pStyle w:val="4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项</w:t>
            </w:r>
          </w:p>
        </w:tc>
        <w:tc>
          <w:tcPr>
            <w:tcW w:w="755" w:type="dxa"/>
          </w:tcPr>
          <w:p w14:paraId="3934EADE">
            <w:pPr>
              <w:pStyle w:val="4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其他未列明行业</w:t>
            </w:r>
          </w:p>
        </w:tc>
        <w:tc>
          <w:tcPr>
            <w:tcW w:w="755" w:type="dxa"/>
          </w:tcPr>
          <w:p w14:paraId="5D71B6ED">
            <w:pPr>
              <w:pStyle w:val="4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否</w:t>
            </w:r>
          </w:p>
        </w:tc>
        <w:tc>
          <w:tcPr>
            <w:tcW w:w="755" w:type="dxa"/>
          </w:tcPr>
          <w:p w14:paraId="6FE9EAE4">
            <w:pPr>
              <w:pStyle w:val="4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否</w:t>
            </w:r>
          </w:p>
        </w:tc>
        <w:tc>
          <w:tcPr>
            <w:tcW w:w="755" w:type="dxa"/>
          </w:tcPr>
          <w:p w14:paraId="0F17DE0A">
            <w:pPr>
              <w:pStyle w:val="4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否</w:t>
            </w:r>
          </w:p>
        </w:tc>
        <w:tc>
          <w:tcPr>
            <w:tcW w:w="755" w:type="dxa"/>
          </w:tcPr>
          <w:p w14:paraId="1722C097">
            <w:pPr>
              <w:pStyle w:val="4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否</w:t>
            </w:r>
          </w:p>
        </w:tc>
        <w:tc>
          <w:tcPr>
            <w:tcW w:w="755" w:type="dxa"/>
          </w:tcPr>
          <w:p w14:paraId="5E7FBB77">
            <w:pPr>
              <w:pStyle w:val="4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否</w:t>
            </w:r>
          </w:p>
        </w:tc>
      </w:tr>
    </w:tbl>
    <w:p w14:paraId="321EF15B">
      <w:pPr>
        <w:pStyle w:val="4"/>
        <w:outlineLvl w:val="2"/>
        <w:rPr>
          <w:color w:val="auto"/>
          <w:highlight w:val="none"/>
        </w:rPr>
      </w:pPr>
      <w:r>
        <w:rPr>
          <w:rFonts w:ascii="仿宋_GB2312" w:hAnsi="仿宋_GB2312" w:eastAsia="仿宋_GB2312" w:cs="仿宋_GB2312"/>
          <w:b/>
          <w:color w:val="auto"/>
          <w:sz w:val="28"/>
          <w:highlight w:val="none"/>
        </w:rPr>
        <w:t>3.2.2服务要求</w:t>
      </w:r>
    </w:p>
    <w:p w14:paraId="17A7BF5A">
      <w:pPr>
        <w:pStyle w:val="4"/>
        <w:rPr>
          <w:color w:val="auto"/>
          <w:highlight w:val="none"/>
        </w:rPr>
      </w:pPr>
      <w:r>
        <w:rPr>
          <w:rFonts w:ascii="仿宋_GB2312" w:hAnsi="仿宋_GB2312" w:eastAsia="仿宋_GB2312" w:cs="仿宋_GB2312"/>
          <w:color w:val="auto"/>
          <w:highlight w:val="none"/>
        </w:rPr>
        <w:t>采购包1：</w:t>
      </w:r>
    </w:p>
    <w:p w14:paraId="78A13583">
      <w:pPr>
        <w:pStyle w:val="4"/>
        <w:rPr>
          <w:color w:val="auto"/>
          <w:highlight w:val="none"/>
        </w:rPr>
      </w:pPr>
      <w:r>
        <w:rPr>
          <w:rFonts w:ascii="仿宋_GB2312" w:hAnsi="仿宋_GB2312" w:eastAsia="仿宋_GB2312" w:cs="仿宋_GB2312"/>
          <w:color w:val="auto"/>
          <w:highlight w:val="none"/>
        </w:rPr>
        <w:t>标的名称：实体公物仓日常维护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1"/>
        <w:gridCol w:w="1360"/>
        <w:gridCol w:w="6581"/>
      </w:tblGrid>
      <w:tr w14:paraId="1B7E38E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1" w:type="dxa"/>
          </w:tcPr>
          <w:p w14:paraId="53E01872">
            <w:pPr>
              <w:pStyle w:val="4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 xml:space="preserve"> 序号</w:t>
            </w:r>
          </w:p>
        </w:tc>
        <w:tc>
          <w:tcPr>
            <w:tcW w:w="1360" w:type="dxa"/>
          </w:tcPr>
          <w:p w14:paraId="40209C1D">
            <w:pPr>
              <w:pStyle w:val="4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 xml:space="preserve"> 参数性质</w:t>
            </w:r>
          </w:p>
        </w:tc>
        <w:tc>
          <w:tcPr>
            <w:tcW w:w="6581" w:type="dxa"/>
          </w:tcPr>
          <w:p w14:paraId="7F0B70B4">
            <w:pPr>
              <w:pStyle w:val="4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 xml:space="preserve"> 技术参数与性能指标</w:t>
            </w:r>
          </w:p>
        </w:tc>
      </w:tr>
      <w:tr w14:paraId="445832F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1" w:type="dxa"/>
          </w:tcPr>
          <w:p w14:paraId="7BB52CB5">
            <w:pPr>
              <w:pStyle w:val="4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1</w:t>
            </w:r>
          </w:p>
        </w:tc>
        <w:tc>
          <w:tcPr>
            <w:tcW w:w="1360" w:type="dxa"/>
          </w:tcPr>
          <w:p w14:paraId="0D95A6F0">
            <w:pPr>
              <w:rPr>
                <w:color w:val="auto"/>
                <w:highlight w:val="none"/>
              </w:rPr>
            </w:pPr>
          </w:p>
        </w:tc>
        <w:tc>
          <w:tcPr>
            <w:tcW w:w="6581" w:type="dxa"/>
          </w:tcPr>
          <w:p w14:paraId="170D202C">
            <w:pPr>
              <w:pStyle w:val="4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一、项目概况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 xml:space="preserve">   为规范市级行政事业单位实体公物仓（以下简称“实体公物仓”）管理，保障办公家具、设备的合理流转与高效使用，做好实体公物仓办公家具（如桌椅、柜类等）和设备（如电脑、打印机等）日常调配统一管理工作，需对入仓调配办公家具、设备进行维修（办公家具）、运输、搬运等工作。</w:t>
            </w:r>
          </w:p>
        </w:tc>
      </w:tr>
      <w:tr w14:paraId="69742FB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1" w:type="dxa"/>
          </w:tcPr>
          <w:p w14:paraId="66EA529B">
            <w:pPr>
              <w:pStyle w:val="4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2</w:t>
            </w:r>
          </w:p>
        </w:tc>
        <w:tc>
          <w:tcPr>
            <w:tcW w:w="1360" w:type="dxa"/>
          </w:tcPr>
          <w:p w14:paraId="3EF661B0">
            <w:pPr>
              <w:rPr>
                <w:color w:val="auto"/>
                <w:highlight w:val="none"/>
              </w:rPr>
            </w:pPr>
          </w:p>
        </w:tc>
        <w:tc>
          <w:tcPr>
            <w:tcW w:w="6581" w:type="dxa"/>
          </w:tcPr>
          <w:p w14:paraId="4A3B5C5C">
            <w:pPr>
              <w:pStyle w:val="4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二、服务内容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 xml:space="preserve">   成交单位需对办公家具、设备等在实体公物仓出入仓过程中所产生的装卸、运输、摆放、垃圾清运以及针对办公家具如结构修复、部件更换、漆面修补、皮面修补等相关服务，此项服务需满足安全、高效的运输要求以及经维修后能确保恢复正常使用功能。</w:t>
            </w:r>
          </w:p>
        </w:tc>
      </w:tr>
      <w:tr w14:paraId="7CCA1BA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1" w:type="dxa"/>
          </w:tcPr>
          <w:p w14:paraId="3D8D71C9">
            <w:pPr>
              <w:pStyle w:val="4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3</w:t>
            </w:r>
          </w:p>
        </w:tc>
        <w:tc>
          <w:tcPr>
            <w:tcW w:w="1360" w:type="dxa"/>
          </w:tcPr>
          <w:p w14:paraId="3E339954">
            <w:pPr>
              <w:rPr>
                <w:color w:val="auto"/>
                <w:highlight w:val="none"/>
              </w:rPr>
            </w:pPr>
          </w:p>
        </w:tc>
        <w:tc>
          <w:tcPr>
            <w:tcW w:w="6581" w:type="dxa"/>
          </w:tcPr>
          <w:p w14:paraId="4A8AC995">
            <w:pPr>
              <w:pStyle w:val="4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三、服务要求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 xml:space="preserve"> 1.成交单位具备独立承担民事责任能力，拥有完善的服务团队，配备专职维修人员、搬运人员、运输操作人员，需经验丰富、无不良从业记录；维修人员具备办公家具维修专业技能，可快速处理各类常见故障；搬运、运输人员具备专业办公家具、设备的搬运、装卸、防护操作经验，操作规范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 xml:space="preserve"> 2.成交单位需按采购单位要求做好实体公物仓办公家具、设备的调配、维修、搬运等工作，需在24 小时内响应，简单故障即时维修、常规调配 48 小时内完成落地。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 xml:space="preserve"> 3.成交单位须根据采购单位工作安排，及时完成办公家具、设备的紧急调配、搬运及各项任务，严格遵照采购单位规定时限保质保量完成全部工作内容。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 xml:space="preserve"> 4.成交单位需严格遵守实体公物仓各项规章制度，规范操作、文明服务，爱护各类办公家具、设备，做好办公家具、设备安全、保密管理。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 xml:space="preserve"> 5.成交单位进行搬运、维修、运输作业时需严格遵守安全操作规范，杜绝安全事故，做好现场卫生清理及现场日常清洁维护，不影响实体公物仓所在地日常秩序。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 xml:space="preserve"> 6.成交单位严禁擅自挪用、调换、损毁、丢失采购单位办公家具、设备，全程保障办公家具、设备安全完整。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 xml:space="preserve"> 7.成交单位需按采购单位相关要求做好实体公物仓环境整洁、区域划分清晰，办公家具、设备摆放规范、无安全隐患。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 xml:space="preserve"> 8.成交单位需对办公家具、设备入仓调配、维修、搬运全流程无遗漏、无损坏、账物相符。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 xml:space="preserve"> 9.成交单位需按采购单位相关要求保障维修后的办公家具可正常使用，维修质量达标，更换配件为合格产品，质保期不低于3个月。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 xml:space="preserve"> 10.成交单位需确保服务人员遵守安全操作规范，如在搬运过程中造成车辆、人员伤害等事件与采购单位无关。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 xml:space="preserve"> 11.因成交单位原因导致办公家具、设备损坏、丢失的，成交单位应按以下方式赔偿：可修复的，承担全额修复费用，无法修复或丢失的，按该办公家具、设备购买时的实际价值（以采购单位提供的购买凭证为准）赔偿，安装或维修过程中因成交单位操作不当造成办公家具、设备损坏的，参照上述标准赔偿。</w:t>
            </w:r>
          </w:p>
        </w:tc>
      </w:tr>
      <w:tr w14:paraId="1D8DFBF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1" w:type="dxa"/>
          </w:tcPr>
          <w:p w14:paraId="1393199E">
            <w:pPr>
              <w:pStyle w:val="4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4</w:t>
            </w:r>
          </w:p>
        </w:tc>
        <w:tc>
          <w:tcPr>
            <w:tcW w:w="1360" w:type="dxa"/>
          </w:tcPr>
          <w:p w14:paraId="01F52C8A">
            <w:pPr>
              <w:rPr>
                <w:color w:val="auto"/>
                <w:highlight w:val="none"/>
              </w:rPr>
            </w:pPr>
          </w:p>
        </w:tc>
        <w:tc>
          <w:tcPr>
            <w:tcW w:w="6581" w:type="dxa"/>
          </w:tcPr>
          <w:p w14:paraId="5CACF219">
            <w:pPr>
              <w:pStyle w:val="4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四、其他要求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 xml:space="preserve"> 1.成交单位签订合同后，严格按照采购需求及合同约定提供全流程服务，不得转包、分包服务项目。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 xml:space="preserve"> 2.服务期间产生的安全责任、人员责任、办公家具、设备的损毁责任，全部由成交单位自行承担。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 xml:space="preserve"> 3.成交单位需配合采购单位日常监督、检查、考核，及时整改服务问题。</w:t>
            </w:r>
          </w:p>
        </w:tc>
      </w:tr>
      <w:tr w14:paraId="35B23E5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1" w:type="dxa"/>
          </w:tcPr>
          <w:p w14:paraId="44DD8CA6">
            <w:pPr>
              <w:pStyle w:val="4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5</w:t>
            </w:r>
          </w:p>
        </w:tc>
        <w:tc>
          <w:tcPr>
            <w:tcW w:w="1360" w:type="dxa"/>
          </w:tcPr>
          <w:p w14:paraId="08255293">
            <w:pPr>
              <w:rPr>
                <w:color w:val="auto"/>
                <w:highlight w:val="none"/>
              </w:rPr>
            </w:pPr>
          </w:p>
        </w:tc>
        <w:tc>
          <w:tcPr>
            <w:tcW w:w="6581" w:type="dxa"/>
          </w:tcPr>
          <w:p w14:paraId="435DD288">
            <w:pPr>
              <w:pStyle w:val="4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五、报价及结算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 xml:space="preserve"> 1.报价方式：本项目按所给任务清单报每项服务综合单价（包含完成每项任务所含的所有费用）。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 xml:space="preserve"> 2.结算方式：按最终成交单价与实际发生的任务数量据实结算，服务期内结算总价不超过本项目预算价。每次结算前，服务单位提供维修记录及等额发票与采购人结算。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 xml:space="preserve"> 3.实际服务过程中若出现附件以外的工作事项，由采购人和服务单位协商确定。</w:t>
            </w:r>
          </w:p>
        </w:tc>
      </w:tr>
      <w:tr w14:paraId="20A861D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1" w:type="dxa"/>
          </w:tcPr>
          <w:p w14:paraId="07690CC5">
            <w:pPr>
              <w:pStyle w:val="4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6</w:t>
            </w:r>
          </w:p>
        </w:tc>
        <w:tc>
          <w:tcPr>
            <w:tcW w:w="1360" w:type="dxa"/>
          </w:tcPr>
          <w:p w14:paraId="3A081DC8">
            <w:pPr>
              <w:rPr>
                <w:color w:val="auto"/>
                <w:highlight w:val="none"/>
              </w:rPr>
            </w:pPr>
          </w:p>
        </w:tc>
        <w:tc>
          <w:tcPr>
            <w:tcW w:w="6581" w:type="dxa"/>
          </w:tcPr>
          <w:p w14:paraId="1EFC8C66">
            <w:pPr>
              <w:pStyle w:val="4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六、报价清单</w:t>
            </w:r>
          </w:p>
          <w:p w14:paraId="4F195E16">
            <w:pPr>
              <w:pStyle w:val="4"/>
              <w:jc w:val="center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办公家具搬运、维修服务清单</w:t>
            </w:r>
          </w:p>
          <w:tbl>
            <w:tblPr>
              <w:tblStyle w:val="2"/>
              <w:tblW w:w="4996" w:type="pct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29"/>
              <w:gridCol w:w="1064"/>
              <w:gridCol w:w="729"/>
              <w:gridCol w:w="729"/>
              <w:gridCol w:w="1407"/>
              <w:gridCol w:w="1702"/>
            </w:tblGrid>
            <w:tr w14:paraId="46FEF5F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5A98C6">
                  <w:pPr>
                    <w:pStyle w:val="4"/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b/>
                      <w:color w:val="auto"/>
                      <w:sz w:val="18"/>
                      <w:highlight w:val="none"/>
                    </w:rPr>
                    <w:t>序号</w:t>
                  </w:r>
                </w:p>
              </w:tc>
              <w:tc>
                <w:tcPr>
                  <w:tcW w:w="83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C4E028">
                  <w:pPr>
                    <w:pStyle w:val="4"/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b/>
                      <w:color w:val="auto"/>
                      <w:sz w:val="18"/>
                      <w:highlight w:val="none"/>
                    </w:rPr>
                    <w:t>服务项目</w:t>
                  </w:r>
                </w:p>
              </w:tc>
              <w:tc>
                <w:tcPr>
                  <w:tcW w:w="57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E960AD">
                  <w:pPr>
                    <w:pStyle w:val="4"/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b/>
                      <w:color w:val="auto"/>
                      <w:sz w:val="18"/>
                      <w:highlight w:val="none"/>
                    </w:rPr>
                    <w:t>单位</w:t>
                  </w:r>
                </w:p>
              </w:tc>
              <w:tc>
                <w:tcPr>
                  <w:tcW w:w="57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DB9A59">
                  <w:pPr>
                    <w:pStyle w:val="4"/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b/>
                      <w:color w:val="auto"/>
                      <w:sz w:val="18"/>
                      <w:highlight w:val="none"/>
                    </w:rPr>
                    <w:t>数量</w:t>
                  </w:r>
                </w:p>
              </w:tc>
              <w:tc>
                <w:tcPr>
                  <w:tcW w:w="1105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516CE4">
                  <w:pPr>
                    <w:pStyle w:val="4"/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b/>
                      <w:color w:val="auto"/>
                      <w:sz w:val="18"/>
                      <w:highlight w:val="none"/>
                    </w:rPr>
                    <w:t>综合单价（元）</w:t>
                  </w:r>
                </w:p>
              </w:tc>
              <w:tc>
                <w:tcPr>
                  <w:tcW w:w="133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7D0F4F">
                  <w:pPr>
                    <w:pStyle w:val="4"/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b/>
                      <w:color w:val="auto"/>
                      <w:sz w:val="18"/>
                      <w:highlight w:val="none"/>
                    </w:rPr>
                    <w:t>说明</w:t>
                  </w:r>
                </w:p>
              </w:tc>
            </w:tr>
            <w:tr w14:paraId="0F5524F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B51315">
                  <w:pPr>
                    <w:pStyle w:val="4"/>
                    <w:numPr>
                      <w:ilvl w:val="0"/>
                      <w:numId w:val="1"/>
                    </w:numPr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</w:p>
              </w:tc>
              <w:tc>
                <w:tcPr>
                  <w:tcW w:w="83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FFF52E">
                  <w:pPr>
                    <w:pStyle w:val="4"/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办公家具、设备搬运</w:t>
                  </w:r>
                </w:p>
              </w:tc>
              <w:tc>
                <w:tcPr>
                  <w:tcW w:w="57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998CAA">
                  <w:pPr>
                    <w:pStyle w:val="4"/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车</w:t>
                  </w:r>
                </w:p>
              </w:tc>
              <w:tc>
                <w:tcPr>
                  <w:tcW w:w="57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E09A43">
                  <w:pPr>
                    <w:pStyle w:val="4"/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1</w:t>
                  </w:r>
                </w:p>
              </w:tc>
              <w:tc>
                <w:tcPr>
                  <w:tcW w:w="110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513D53">
                  <w:pPr>
                    <w:pStyle w:val="4"/>
                    <w:spacing w:before="165"/>
                    <w:ind w:firstLine="180"/>
                    <w:jc w:val="center"/>
                    <w:rPr>
                      <w:color w:val="auto"/>
                      <w:highlight w:val="none"/>
                    </w:rPr>
                  </w:pPr>
                </w:p>
              </w:tc>
              <w:tc>
                <w:tcPr>
                  <w:tcW w:w="133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97387F">
                  <w:pPr>
                    <w:pStyle w:val="4"/>
                    <w:jc w:val="center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详见备注</w:t>
                  </w:r>
                </w:p>
              </w:tc>
            </w:tr>
            <w:tr w14:paraId="661C65D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2547DE">
                  <w:pPr>
                    <w:pStyle w:val="4"/>
                    <w:numPr>
                      <w:ilvl w:val="0"/>
                      <w:numId w:val="1"/>
                    </w:numPr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</w:p>
              </w:tc>
              <w:tc>
                <w:tcPr>
                  <w:tcW w:w="83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D496AA">
                  <w:pPr>
                    <w:pStyle w:val="4"/>
                    <w:spacing w:before="165"/>
                    <w:ind w:firstLine="174"/>
                    <w:jc w:val="center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人工费</w:t>
                  </w:r>
                </w:p>
              </w:tc>
              <w:tc>
                <w:tcPr>
                  <w:tcW w:w="57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404D41">
                  <w:pPr>
                    <w:pStyle w:val="4"/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人/天</w:t>
                  </w:r>
                </w:p>
              </w:tc>
              <w:tc>
                <w:tcPr>
                  <w:tcW w:w="57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2CE2CB">
                  <w:pPr>
                    <w:pStyle w:val="4"/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1</w:t>
                  </w:r>
                </w:p>
              </w:tc>
              <w:tc>
                <w:tcPr>
                  <w:tcW w:w="110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F2624A">
                  <w:pPr>
                    <w:pStyle w:val="4"/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</w:p>
              </w:tc>
              <w:tc>
                <w:tcPr>
                  <w:tcW w:w="133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E1E1AC">
                  <w:pPr>
                    <w:pStyle w:val="4"/>
                    <w:jc w:val="center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详见备注</w:t>
                  </w:r>
                </w:p>
              </w:tc>
            </w:tr>
            <w:tr w14:paraId="3DA8BC5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143606">
                  <w:pPr>
                    <w:pStyle w:val="4"/>
                    <w:numPr>
                      <w:ilvl w:val="0"/>
                      <w:numId w:val="1"/>
                    </w:numPr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</w:p>
              </w:tc>
              <w:tc>
                <w:tcPr>
                  <w:tcW w:w="83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AFCF96">
                  <w:pPr>
                    <w:pStyle w:val="4"/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垃圾清运费</w:t>
                  </w:r>
                </w:p>
              </w:tc>
              <w:tc>
                <w:tcPr>
                  <w:tcW w:w="57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E6FD43">
                  <w:pPr>
                    <w:pStyle w:val="4"/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车</w:t>
                  </w:r>
                </w:p>
              </w:tc>
              <w:tc>
                <w:tcPr>
                  <w:tcW w:w="57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E847EB">
                  <w:pPr>
                    <w:pStyle w:val="4"/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1</w:t>
                  </w:r>
                </w:p>
              </w:tc>
              <w:tc>
                <w:tcPr>
                  <w:tcW w:w="110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998206">
                  <w:pPr>
                    <w:pStyle w:val="4"/>
                    <w:jc w:val="center"/>
                    <w:rPr>
                      <w:color w:val="auto"/>
                      <w:highlight w:val="none"/>
                    </w:rPr>
                  </w:pPr>
                </w:p>
              </w:tc>
              <w:tc>
                <w:tcPr>
                  <w:tcW w:w="133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BA4D83">
                  <w:pPr>
                    <w:pStyle w:val="4"/>
                    <w:jc w:val="center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详见备注</w:t>
                  </w:r>
                </w:p>
              </w:tc>
            </w:tr>
            <w:tr w14:paraId="2859573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340405">
                  <w:pPr>
                    <w:pStyle w:val="4"/>
                    <w:numPr>
                      <w:ilvl w:val="0"/>
                      <w:numId w:val="1"/>
                    </w:numPr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</w:p>
              </w:tc>
              <w:tc>
                <w:tcPr>
                  <w:tcW w:w="83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2111AA">
                  <w:pPr>
                    <w:pStyle w:val="4"/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抽屉换锁</w:t>
                  </w:r>
                </w:p>
              </w:tc>
              <w:tc>
                <w:tcPr>
                  <w:tcW w:w="57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44DA47">
                  <w:pPr>
                    <w:pStyle w:val="4"/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个</w:t>
                  </w:r>
                </w:p>
              </w:tc>
              <w:tc>
                <w:tcPr>
                  <w:tcW w:w="57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4FE3D2">
                  <w:pPr>
                    <w:pStyle w:val="4"/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1</w:t>
                  </w:r>
                </w:p>
              </w:tc>
              <w:tc>
                <w:tcPr>
                  <w:tcW w:w="110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5BC3F0">
                  <w:pPr>
                    <w:pStyle w:val="4"/>
                    <w:jc w:val="center"/>
                    <w:rPr>
                      <w:color w:val="auto"/>
                      <w:highlight w:val="none"/>
                    </w:rPr>
                  </w:pPr>
                </w:p>
              </w:tc>
              <w:tc>
                <w:tcPr>
                  <w:tcW w:w="133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5A89E1">
                  <w:pPr>
                    <w:rPr>
                      <w:color w:val="auto"/>
                      <w:highlight w:val="none"/>
                    </w:rPr>
                  </w:pPr>
                </w:p>
              </w:tc>
            </w:tr>
            <w:tr w14:paraId="22D4035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9AA512">
                  <w:pPr>
                    <w:pStyle w:val="4"/>
                    <w:numPr>
                      <w:ilvl w:val="0"/>
                      <w:numId w:val="1"/>
                    </w:numPr>
                    <w:jc w:val="center"/>
                    <w:rPr>
                      <w:color w:val="auto"/>
                      <w:highlight w:val="none"/>
                    </w:rPr>
                  </w:pPr>
                </w:p>
              </w:tc>
              <w:tc>
                <w:tcPr>
                  <w:tcW w:w="83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174EEC">
                  <w:pPr>
                    <w:pStyle w:val="4"/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抽屉滑道更换</w:t>
                  </w:r>
                </w:p>
              </w:tc>
              <w:tc>
                <w:tcPr>
                  <w:tcW w:w="57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3088B5">
                  <w:pPr>
                    <w:pStyle w:val="4"/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副</w:t>
                  </w:r>
                </w:p>
              </w:tc>
              <w:tc>
                <w:tcPr>
                  <w:tcW w:w="57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3B778A">
                  <w:pPr>
                    <w:pStyle w:val="4"/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1</w:t>
                  </w:r>
                </w:p>
              </w:tc>
              <w:tc>
                <w:tcPr>
                  <w:tcW w:w="110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0AB5D8">
                  <w:pPr>
                    <w:pStyle w:val="4"/>
                    <w:jc w:val="center"/>
                    <w:rPr>
                      <w:color w:val="auto"/>
                      <w:highlight w:val="none"/>
                    </w:rPr>
                  </w:pPr>
                </w:p>
              </w:tc>
              <w:tc>
                <w:tcPr>
                  <w:tcW w:w="133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A06E4A">
                  <w:pPr>
                    <w:rPr>
                      <w:color w:val="auto"/>
                      <w:highlight w:val="none"/>
                    </w:rPr>
                  </w:pPr>
                </w:p>
              </w:tc>
            </w:tr>
            <w:tr w14:paraId="4FA6C60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B7FB76">
                  <w:pPr>
                    <w:pStyle w:val="4"/>
                    <w:numPr>
                      <w:ilvl w:val="0"/>
                      <w:numId w:val="1"/>
                    </w:numPr>
                    <w:jc w:val="center"/>
                    <w:rPr>
                      <w:color w:val="auto"/>
                      <w:highlight w:val="none"/>
                    </w:rPr>
                  </w:pPr>
                </w:p>
              </w:tc>
              <w:tc>
                <w:tcPr>
                  <w:tcW w:w="83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CF376F">
                  <w:pPr>
                    <w:pStyle w:val="4"/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拉手更换</w:t>
                  </w:r>
                </w:p>
              </w:tc>
              <w:tc>
                <w:tcPr>
                  <w:tcW w:w="57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EE1484">
                  <w:pPr>
                    <w:pStyle w:val="4"/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个</w:t>
                  </w:r>
                </w:p>
              </w:tc>
              <w:tc>
                <w:tcPr>
                  <w:tcW w:w="57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7C38FF">
                  <w:pPr>
                    <w:pStyle w:val="4"/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1</w:t>
                  </w:r>
                </w:p>
              </w:tc>
              <w:tc>
                <w:tcPr>
                  <w:tcW w:w="110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6A332E">
                  <w:pPr>
                    <w:pStyle w:val="4"/>
                    <w:jc w:val="center"/>
                    <w:rPr>
                      <w:color w:val="auto"/>
                      <w:highlight w:val="none"/>
                    </w:rPr>
                  </w:pPr>
                </w:p>
              </w:tc>
              <w:tc>
                <w:tcPr>
                  <w:tcW w:w="133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47F326">
                  <w:pPr>
                    <w:rPr>
                      <w:color w:val="auto"/>
                      <w:highlight w:val="none"/>
                    </w:rPr>
                  </w:pPr>
                </w:p>
              </w:tc>
            </w:tr>
            <w:tr w14:paraId="1A6BE54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4C58EB">
                  <w:pPr>
                    <w:pStyle w:val="4"/>
                    <w:numPr>
                      <w:ilvl w:val="0"/>
                      <w:numId w:val="1"/>
                    </w:numPr>
                    <w:jc w:val="center"/>
                    <w:rPr>
                      <w:color w:val="auto"/>
                      <w:highlight w:val="none"/>
                    </w:rPr>
                  </w:pPr>
                </w:p>
              </w:tc>
              <w:tc>
                <w:tcPr>
                  <w:tcW w:w="83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60E190">
                  <w:pPr>
                    <w:pStyle w:val="4"/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办公桌</w:t>
                  </w:r>
                </w:p>
              </w:tc>
              <w:tc>
                <w:tcPr>
                  <w:tcW w:w="57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004E43">
                  <w:pPr>
                    <w:pStyle w:val="4"/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张</w:t>
                  </w:r>
                </w:p>
              </w:tc>
              <w:tc>
                <w:tcPr>
                  <w:tcW w:w="57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00546B">
                  <w:pPr>
                    <w:pStyle w:val="4"/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1</w:t>
                  </w:r>
                </w:p>
              </w:tc>
              <w:tc>
                <w:tcPr>
                  <w:tcW w:w="110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F42DF2">
                  <w:pPr>
                    <w:pStyle w:val="4"/>
                    <w:jc w:val="center"/>
                    <w:rPr>
                      <w:color w:val="auto"/>
                      <w:highlight w:val="none"/>
                    </w:rPr>
                  </w:pPr>
                </w:p>
              </w:tc>
              <w:tc>
                <w:tcPr>
                  <w:tcW w:w="133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93606C">
                  <w:pPr>
                    <w:pStyle w:val="4"/>
                    <w:jc w:val="left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木质部分补漆，结构加固</w:t>
                  </w:r>
                </w:p>
              </w:tc>
            </w:tr>
            <w:tr w14:paraId="67AE19D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7A30A6">
                  <w:pPr>
                    <w:pStyle w:val="4"/>
                    <w:numPr>
                      <w:ilvl w:val="0"/>
                      <w:numId w:val="1"/>
                    </w:numPr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</w:p>
              </w:tc>
              <w:tc>
                <w:tcPr>
                  <w:tcW w:w="83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237F2A">
                  <w:pPr>
                    <w:pStyle w:val="4"/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办公椅</w:t>
                  </w:r>
                </w:p>
              </w:tc>
              <w:tc>
                <w:tcPr>
                  <w:tcW w:w="57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11FFF4">
                  <w:pPr>
                    <w:pStyle w:val="4"/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张</w:t>
                  </w:r>
                </w:p>
              </w:tc>
              <w:tc>
                <w:tcPr>
                  <w:tcW w:w="57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195F05">
                  <w:pPr>
                    <w:pStyle w:val="4"/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1</w:t>
                  </w:r>
                </w:p>
              </w:tc>
              <w:tc>
                <w:tcPr>
                  <w:tcW w:w="110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59EF5F">
                  <w:pPr>
                    <w:pStyle w:val="4"/>
                    <w:jc w:val="center"/>
                    <w:rPr>
                      <w:color w:val="auto"/>
                      <w:highlight w:val="none"/>
                    </w:rPr>
                  </w:pPr>
                </w:p>
              </w:tc>
              <w:tc>
                <w:tcPr>
                  <w:tcW w:w="133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3C4104">
                  <w:pPr>
                    <w:pStyle w:val="4"/>
                    <w:jc w:val="left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木质部分补漆，皮质部分修皮，结构加固</w:t>
                  </w:r>
                </w:p>
              </w:tc>
            </w:tr>
            <w:tr w14:paraId="40FB69E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7082AF">
                  <w:pPr>
                    <w:pStyle w:val="4"/>
                    <w:numPr>
                      <w:ilvl w:val="0"/>
                      <w:numId w:val="1"/>
                    </w:numPr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</w:p>
              </w:tc>
              <w:tc>
                <w:tcPr>
                  <w:tcW w:w="83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BC6592">
                  <w:pPr>
                    <w:pStyle w:val="4"/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木质柜</w:t>
                  </w:r>
                </w:p>
              </w:tc>
              <w:tc>
                <w:tcPr>
                  <w:tcW w:w="57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3BC04B">
                  <w:pPr>
                    <w:pStyle w:val="4"/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组</w:t>
                  </w:r>
                </w:p>
              </w:tc>
              <w:tc>
                <w:tcPr>
                  <w:tcW w:w="57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8FB03F">
                  <w:pPr>
                    <w:pStyle w:val="4"/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1</w:t>
                  </w:r>
                </w:p>
              </w:tc>
              <w:tc>
                <w:tcPr>
                  <w:tcW w:w="110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67846E">
                  <w:pPr>
                    <w:pStyle w:val="4"/>
                    <w:jc w:val="center"/>
                    <w:rPr>
                      <w:color w:val="auto"/>
                      <w:highlight w:val="none"/>
                    </w:rPr>
                  </w:pPr>
                </w:p>
              </w:tc>
              <w:tc>
                <w:tcPr>
                  <w:tcW w:w="133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76CA5B">
                  <w:pPr>
                    <w:pStyle w:val="4"/>
                    <w:jc w:val="left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木质部分补漆，结构加固</w:t>
                  </w:r>
                </w:p>
              </w:tc>
            </w:tr>
            <w:tr w14:paraId="04CD978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9261CF">
                  <w:pPr>
                    <w:pStyle w:val="4"/>
                    <w:numPr>
                      <w:ilvl w:val="0"/>
                      <w:numId w:val="1"/>
                    </w:numPr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</w:p>
              </w:tc>
              <w:tc>
                <w:tcPr>
                  <w:tcW w:w="83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D29EB9">
                  <w:pPr>
                    <w:pStyle w:val="4"/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茶几</w:t>
                  </w:r>
                </w:p>
              </w:tc>
              <w:tc>
                <w:tcPr>
                  <w:tcW w:w="57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92F238">
                  <w:pPr>
                    <w:pStyle w:val="4"/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张</w:t>
                  </w:r>
                </w:p>
              </w:tc>
              <w:tc>
                <w:tcPr>
                  <w:tcW w:w="57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D235DD">
                  <w:pPr>
                    <w:pStyle w:val="4"/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1</w:t>
                  </w:r>
                </w:p>
              </w:tc>
              <w:tc>
                <w:tcPr>
                  <w:tcW w:w="110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F2EE02">
                  <w:pPr>
                    <w:pStyle w:val="4"/>
                    <w:jc w:val="center"/>
                    <w:rPr>
                      <w:color w:val="auto"/>
                      <w:highlight w:val="none"/>
                    </w:rPr>
                  </w:pPr>
                </w:p>
              </w:tc>
              <w:tc>
                <w:tcPr>
                  <w:tcW w:w="133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583122">
                  <w:pPr>
                    <w:pStyle w:val="4"/>
                    <w:jc w:val="left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木质部分补漆，结构加固</w:t>
                  </w:r>
                </w:p>
              </w:tc>
            </w:tr>
            <w:tr w14:paraId="5DACDBD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BF9EDC">
                  <w:pPr>
                    <w:pStyle w:val="4"/>
                    <w:numPr>
                      <w:ilvl w:val="0"/>
                      <w:numId w:val="1"/>
                    </w:numPr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</w:p>
              </w:tc>
              <w:tc>
                <w:tcPr>
                  <w:tcW w:w="83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576DE8">
                  <w:pPr>
                    <w:pStyle w:val="4"/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三人沙发</w:t>
                  </w:r>
                </w:p>
              </w:tc>
              <w:tc>
                <w:tcPr>
                  <w:tcW w:w="57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C4F186">
                  <w:pPr>
                    <w:pStyle w:val="4"/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张</w:t>
                  </w:r>
                </w:p>
              </w:tc>
              <w:tc>
                <w:tcPr>
                  <w:tcW w:w="57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20D078">
                  <w:pPr>
                    <w:pStyle w:val="4"/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1</w:t>
                  </w:r>
                </w:p>
              </w:tc>
              <w:tc>
                <w:tcPr>
                  <w:tcW w:w="110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A4B7B5">
                  <w:pPr>
                    <w:pStyle w:val="4"/>
                    <w:jc w:val="center"/>
                    <w:rPr>
                      <w:color w:val="auto"/>
                      <w:highlight w:val="none"/>
                    </w:rPr>
                  </w:pPr>
                </w:p>
              </w:tc>
              <w:tc>
                <w:tcPr>
                  <w:tcW w:w="133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167B7E">
                  <w:pPr>
                    <w:pStyle w:val="4"/>
                    <w:jc w:val="left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木质部分补漆，</w:t>
                  </w:r>
                  <w:r>
                    <w:rPr>
                      <w:rFonts w:hint="eastAsia" w:ascii="仿宋_GB2312" w:hAnsi="仿宋_GB2312" w:eastAsia="仿宋_GB2312" w:cs="仿宋_GB2312"/>
                      <w:color w:val="auto"/>
                      <w:sz w:val="18"/>
                      <w:highlight w:val="none"/>
                      <w:lang w:val="en-US" w:eastAsia="zh-CN"/>
                    </w:rPr>
                    <w:t>皮</w:t>
                  </w: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质部分修皮</w:t>
                  </w:r>
                </w:p>
              </w:tc>
            </w:tr>
            <w:tr w14:paraId="17A9F66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5A8B27">
                  <w:pPr>
                    <w:pStyle w:val="4"/>
                    <w:numPr>
                      <w:ilvl w:val="0"/>
                      <w:numId w:val="1"/>
                    </w:numPr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</w:p>
              </w:tc>
              <w:tc>
                <w:tcPr>
                  <w:tcW w:w="83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ED4F90">
                  <w:pPr>
                    <w:pStyle w:val="4"/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二人沙发</w:t>
                  </w:r>
                </w:p>
              </w:tc>
              <w:tc>
                <w:tcPr>
                  <w:tcW w:w="57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789BF8">
                  <w:pPr>
                    <w:pStyle w:val="4"/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张</w:t>
                  </w:r>
                </w:p>
              </w:tc>
              <w:tc>
                <w:tcPr>
                  <w:tcW w:w="57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7B56B2">
                  <w:pPr>
                    <w:pStyle w:val="4"/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1</w:t>
                  </w:r>
                </w:p>
              </w:tc>
              <w:tc>
                <w:tcPr>
                  <w:tcW w:w="110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025E4C">
                  <w:pPr>
                    <w:pStyle w:val="4"/>
                    <w:jc w:val="center"/>
                    <w:rPr>
                      <w:color w:val="auto"/>
                      <w:highlight w:val="none"/>
                    </w:rPr>
                  </w:pPr>
                </w:p>
              </w:tc>
              <w:tc>
                <w:tcPr>
                  <w:tcW w:w="133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2A3353">
                  <w:pPr>
                    <w:pStyle w:val="4"/>
                    <w:jc w:val="left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木质部分补漆，皮质部分修皮</w:t>
                  </w:r>
                </w:p>
              </w:tc>
            </w:tr>
            <w:tr w14:paraId="2A6ED43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93E3C3">
                  <w:pPr>
                    <w:pStyle w:val="4"/>
                    <w:numPr>
                      <w:ilvl w:val="0"/>
                      <w:numId w:val="1"/>
                    </w:numPr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</w:p>
              </w:tc>
              <w:tc>
                <w:tcPr>
                  <w:tcW w:w="83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010D35">
                  <w:pPr>
                    <w:pStyle w:val="4"/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单人沙发维修</w:t>
                  </w:r>
                </w:p>
              </w:tc>
              <w:tc>
                <w:tcPr>
                  <w:tcW w:w="57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AE57B1">
                  <w:pPr>
                    <w:pStyle w:val="4"/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张</w:t>
                  </w:r>
                </w:p>
              </w:tc>
              <w:tc>
                <w:tcPr>
                  <w:tcW w:w="57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958CB0">
                  <w:pPr>
                    <w:pStyle w:val="4"/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1</w:t>
                  </w:r>
                </w:p>
              </w:tc>
              <w:tc>
                <w:tcPr>
                  <w:tcW w:w="110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6AED7A">
                  <w:pPr>
                    <w:pStyle w:val="4"/>
                    <w:jc w:val="center"/>
                    <w:rPr>
                      <w:color w:val="auto"/>
                      <w:highlight w:val="none"/>
                    </w:rPr>
                  </w:pPr>
                </w:p>
              </w:tc>
              <w:tc>
                <w:tcPr>
                  <w:tcW w:w="133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9286FD">
                  <w:pPr>
                    <w:pStyle w:val="4"/>
                    <w:jc w:val="left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木质部分补漆，皮质部分修皮</w:t>
                  </w:r>
                </w:p>
              </w:tc>
            </w:tr>
            <w:tr w14:paraId="511F5FE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530743">
                  <w:pPr>
                    <w:pStyle w:val="4"/>
                    <w:numPr>
                      <w:ilvl w:val="0"/>
                      <w:numId w:val="1"/>
                    </w:numPr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</w:p>
              </w:tc>
              <w:tc>
                <w:tcPr>
                  <w:tcW w:w="83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87E76D">
                  <w:pPr>
                    <w:pStyle w:val="4"/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茶水柜维修</w:t>
                  </w:r>
                </w:p>
              </w:tc>
              <w:tc>
                <w:tcPr>
                  <w:tcW w:w="57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E04ADC">
                  <w:pPr>
                    <w:pStyle w:val="4"/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张</w:t>
                  </w:r>
                </w:p>
              </w:tc>
              <w:tc>
                <w:tcPr>
                  <w:tcW w:w="57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5D378C">
                  <w:pPr>
                    <w:pStyle w:val="4"/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1</w:t>
                  </w:r>
                </w:p>
              </w:tc>
              <w:tc>
                <w:tcPr>
                  <w:tcW w:w="110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741754">
                  <w:pPr>
                    <w:pStyle w:val="4"/>
                    <w:jc w:val="center"/>
                    <w:rPr>
                      <w:color w:val="auto"/>
                      <w:highlight w:val="none"/>
                    </w:rPr>
                  </w:pPr>
                </w:p>
              </w:tc>
              <w:tc>
                <w:tcPr>
                  <w:tcW w:w="133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CADAFF">
                  <w:pPr>
                    <w:pStyle w:val="4"/>
                    <w:jc w:val="left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木质部分补漆，结构加固</w:t>
                  </w:r>
                </w:p>
              </w:tc>
            </w:tr>
            <w:tr w14:paraId="4ED0E69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BF0237">
                  <w:pPr>
                    <w:pStyle w:val="4"/>
                    <w:numPr>
                      <w:ilvl w:val="0"/>
                      <w:numId w:val="1"/>
                    </w:numPr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</w:p>
              </w:tc>
              <w:tc>
                <w:tcPr>
                  <w:tcW w:w="83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A59EDE">
                  <w:pPr>
                    <w:pStyle w:val="4"/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班台维修</w:t>
                  </w:r>
                </w:p>
              </w:tc>
              <w:tc>
                <w:tcPr>
                  <w:tcW w:w="57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70BD4E">
                  <w:pPr>
                    <w:pStyle w:val="4"/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张</w:t>
                  </w:r>
                </w:p>
              </w:tc>
              <w:tc>
                <w:tcPr>
                  <w:tcW w:w="57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7A9648">
                  <w:pPr>
                    <w:pStyle w:val="4"/>
                    <w:spacing w:before="165"/>
                    <w:jc w:val="center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1</w:t>
                  </w:r>
                </w:p>
              </w:tc>
              <w:tc>
                <w:tcPr>
                  <w:tcW w:w="110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AC5C66">
                  <w:pPr>
                    <w:pStyle w:val="4"/>
                    <w:jc w:val="center"/>
                    <w:rPr>
                      <w:color w:val="auto"/>
                      <w:highlight w:val="none"/>
                    </w:rPr>
                  </w:pPr>
                </w:p>
              </w:tc>
              <w:tc>
                <w:tcPr>
                  <w:tcW w:w="133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0FDCE9">
                  <w:pPr>
                    <w:pStyle w:val="4"/>
                    <w:jc w:val="left"/>
                    <w:rPr>
                      <w:color w:val="auto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auto"/>
                      <w:sz w:val="18"/>
                      <w:highlight w:val="none"/>
                    </w:rPr>
                    <w:t>木质部分补漆，皮质部分修皮</w:t>
                  </w:r>
                </w:p>
              </w:tc>
            </w:tr>
          </w:tbl>
          <w:p w14:paraId="5820A3F8">
            <w:pPr>
              <w:pStyle w:val="4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备注：1.办公家具、设备车辆搬运服务及垃圾清运报价要求包含车辆、运输等费用。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 xml:space="preserve"> 2.人工费报价要求包含：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 xml:space="preserve"> ①对办公家具、设备在车辆运输前及运输结束后所产生的打包、整理、拆装、搬运等费用；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 xml:space="preserve"> ②在垃圾及报废办公家具、设备清运中所产生的打包、整理、拆装、搬运等费用；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 xml:space="preserve"> ③搬运地点如没有电梯，3层内人工搬运上下楼费用，如遇4层以上需人工搬运的，双方根据增加楼层情况另行商定。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 xml:space="preserve"> 3.办公家具维修服务报价要求包含所需维修配件费用、材料费用及人工费用在内。</w:t>
            </w:r>
          </w:p>
          <w:p w14:paraId="64F69D9F">
            <w:pPr>
              <w:pStyle w:val="4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 xml:space="preserve"> </w:t>
            </w:r>
          </w:p>
        </w:tc>
      </w:tr>
    </w:tbl>
    <w:p w14:paraId="73FA4C3C">
      <w:pPr>
        <w:rPr>
          <w:color w:val="auto"/>
          <w:highlight w:val="none"/>
        </w:rPr>
      </w:pP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8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singleLevel"/>
    <w:tmpl w:val="0053208E"/>
    <w:lvl w:ilvl="0" w:tentative="0">
      <w:start w:val="1"/>
      <w:numFmt w:val="decimal"/>
      <w:lvlText w:val="%1."/>
      <w:lvlJc w:val="left"/>
      <w:pPr>
        <w:ind w:left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68F4A87"/>
    <w:rsid w:val="1DB708AF"/>
    <w:rsid w:val="7FF6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2025-12-25T05:59:00Z</dcterms:created>
  <dc:creator>Administrator</dc:creator>
  <cp:lastModifiedBy>Administrator</cp:lastModifiedBy>
  <dcterms:modified xsi:type="dcterms:W3CDTF">2026-06-23T08:26:27Z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C1CB02E5756241A09848EB0875311565_12</vt:lpwstr>
  </property>
  <property fmtid="{D5CDD505-2E9C-101B-9397-08002B2CF9AE}" pid="4" name="KSOTemplateDocerSaveRecord">
    <vt:lpwstr>eyJoZGlkIjoiOGI1NjUzZTFhYWM0NmYwYjE1NTBlNzgxOGI1YTIyMDMifQ==</vt:lpwstr>
  </property>
</Properties>
</file>