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版本号：HRZB-2026-00820260513002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编印《2026陕西省投资环境白皮书》服务项目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HRZB-2026-008</w:t>
      </w:r>
      <w:r>
        <w:br/>
      </w:r>
      <w:r>
        <w:br/>
      </w:r>
      <w:r>
        <w:br/>
      </w:r>
    </w:p>
    <w:p>
      <w:pPr>
        <w:pStyle w:val="null3"/>
        <w:jc w:val="center"/>
        <w:outlineLvl w:val="2"/>
      </w:pPr>
      <w:r>
        <w:rPr>
          <w:rFonts w:ascii="仿宋_GB2312" w:hAnsi="仿宋_GB2312" w:cs="仿宋_GB2312" w:eastAsia="仿宋_GB2312"/>
          <w:sz w:val="28"/>
          <w:b/>
        </w:rPr>
        <w:t>陕西省商务厅机关</w:t>
      </w:r>
    </w:p>
    <w:p>
      <w:pPr>
        <w:pStyle w:val="null3"/>
        <w:jc w:val="center"/>
        <w:outlineLvl w:val="2"/>
      </w:pPr>
      <w:r>
        <w:rPr>
          <w:rFonts w:ascii="仿宋_GB2312" w:hAnsi="仿宋_GB2312" w:cs="仿宋_GB2312" w:eastAsia="仿宋_GB2312"/>
          <w:sz w:val="28"/>
          <w:b/>
        </w:rPr>
        <w:t>陕西海瑞项目管理有限公司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陕西海瑞项目管理有限公司</w:t>
      </w:r>
      <w:r>
        <w:rPr>
          <w:rFonts w:ascii="仿宋_GB2312" w:hAnsi="仿宋_GB2312" w:cs="仿宋_GB2312" w:eastAsia="仿宋_GB2312"/>
        </w:rPr>
        <w:t>（以下简称“代理机构”）受</w:t>
      </w:r>
      <w:r>
        <w:rPr>
          <w:rFonts w:ascii="仿宋_GB2312" w:hAnsi="仿宋_GB2312" w:cs="仿宋_GB2312" w:eastAsia="仿宋_GB2312"/>
        </w:rPr>
        <w:t>陕西省商务厅机关</w:t>
      </w:r>
      <w:r>
        <w:rPr>
          <w:rFonts w:ascii="仿宋_GB2312" w:hAnsi="仿宋_GB2312" w:cs="仿宋_GB2312" w:eastAsia="仿宋_GB2312"/>
        </w:rPr>
        <w:t>委托，拟对</w:t>
      </w:r>
      <w:r>
        <w:rPr>
          <w:rFonts w:ascii="仿宋_GB2312" w:hAnsi="仿宋_GB2312" w:cs="仿宋_GB2312" w:eastAsia="仿宋_GB2312"/>
        </w:rPr>
        <w:t>编印《2026陕西省投资环境白皮书》服务项目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HRZB-2026-008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编印《2026陕西省投资环境白皮书》服务项目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编印《2026陕西省投资环境白皮书》服务项目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采购包1（编印《2026陕西省投资环境白皮书》服务项目）：属于专门面向中小企业采购。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1、营业执照：具有独立承担民事责任能力的法人、其他组织或自然人，提供合法有效年报合格的统一社会信用代码营业执照或事业单位法人证书等国家规定的相关证明，自然人参与的提供身份证明文件;</w:t>
      </w:r>
    </w:p>
    <w:p>
      <w:pPr>
        <w:pStyle w:val="null3"/>
      </w:pPr>
      <w:r>
        <w:rPr>
          <w:rFonts w:ascii="仿宋_GB2312" w:hAnsi="仿宋_GB2312" w:cs="仿宋_GB2312" w:eastAsia="仿宋_GB2312"/>
        </w:rPr>
        <w:t>2、法定代表人授权委托书：法定代表人参加磋商的，须提供本人身份证复印件；法定代表人授权他人参加磋商的，须提供法定代表人授权委托书及被授权人近半年内任意一个月的社保缴纳证明；</w:t>
      </w:r>
    </w:p>
    <w:p>
      <w:pPr>
        <w:pStyle w:val="null3"/>
      </w:pPr>
      <w:r>
        <w:rPr>
          <w:rFonts w:ascii="仿宋_GB2312" w:hAnsi="仿宋_GB2312" w:cs="仿宋_GB2312" w:eastAsia="仿宋_GB2312"/>
        </w:rPr>
        <w:t>3、财务状况报告：供应商须提供企业赋码后2024年度或2025年度经会计师事务所或审计机构审计的财务审计报告（成立时间至提交磋商响应文件截止时间不足一年的可提供成立后任意时段的资产负债表、利润表、现金流量表），或磋商截止时间前六个月内基本账户银行出具的资信证明，提供财务审计报告的需在注册会计师行业统一监管平台（http://acc.mof.gov.cn/）可查询并提供网页查询截图；</w:t>
      </w:r>
    </w:p>
    <w:p>
      <w:pPr>
        <w:pStyle w:val="null3"/>
      </w:pPr>
      <w:r>
        <w:rPr>
          <w:rFonts w:ascii="仿宋_GB2312" w:hAnsi="仿宋_GB2312" w:cs="仿宋_GB2312" w:eastAsia="仿宋_GB2312"/>
        </w:rPr>
        <w:t>4、税收缴纳证明：提供2026年1月至今已缴纳的至少一个月的纳税证明或完税证明，依法免税的单位应提供相关证明材料；</w:t>
      </w:r>
    </w:p>
    <w:p>
      <w:pPr>
        <w:pStyle w:val="null3"/>
      </w:pPr>
      <w:r>
        <w:rPr>
          <w:rFonts w:ascii="仿宋_GB2312" w:hAnsi="仿宋_GB2312" w:cs="仿宋_GB2312" w:eastAsia="仿宋_GB2312"/>
        </w:rPr>
        <w:t>5、社会保障资金缴纳证明：提供2026年1月至今已缴存的至少一个月的社会保障资金缴存单据或社保机构开具的社会保险参保缴费情况证明，依法不需要缴纳社会保障资金的单位应提供相关证明材料；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6、没有重大违法记录的书面申明：供应商应具备良好的商业信誉，提供在参加政府采购活动前3年内在经营活动中没有重大违法记录的书面申明；</w:t>
      </w:r>
    </w:p>
    <w:p>
      <w:pPr>
        <w:pStyle w:val="null3"/>
      </w:pPr>
      <w:r>
        <w:rPr>
          <w:rFonts w:ascii="仿宋_GB2312" w:hAnsi="仿宋_GB2312" w:cs="仿宋_GB2312" w:eastAsia="仿宋_GB2312"/>
        </w:rPr>
        <w:t>7、专业技术能力的书面声明：供应商具备履行合同所必须的设备和专业技术能力的书面声明；</w:t>
      </w:r>
    </w:p>
    <w:p>
      <w:pPr>
        <w:pStyle w:val="null3"/>
      </w:pPr>
      <w:r>
        <w:rPr>
          <w:rFonts w:ascii="仿宋_GB2312" w:hAnsi="仿宋_GB2312" w:cs="仿宋_GB2312" w:eastAsia="仿宋_GB2312"/>
        </w:rPr>
        <w:t>8、信用查询：供应商未被列入“中国执行信息公开网”（http://zxgk.court.gov.cn/shixin/）失信被执行人名单，未被列入“信用中国”网站（www.creditchina.gov.cn）重大税收违法失信主体，未被列入“中国政府采购网”（www.ccgp.gov.cn）政府采购严重违法失信行为记录名单；</w:t>
      </w:r>
    </w:p>
    <w:p>
      <w:pPr>
        <w:pStyle w:val="null3"/>
      </w:pPr>
      <w:r>
        <w:rPr>
          <w:rFonts w:ascii="仿宋_GB2312" w:hAnsi="仿宋_GB2312" w:cs="仿宋_GB2312" w:eastAsia="仿宋_GB2312"/>
        </w:rPr>
        <w:t>9、关联关系：单位负责人为同一人或存在直接控股、管理关系的不同单位，不得参加同一项目的政府采购活动；</w:t>
      </w:r>
    </w:p>
    <w:p>
      <w:pPr>
        <w:pStyle w:val="null3"/>
      </w:pPr>
      <w:r>
        <w:rPr>
          <w:rFonts w:ascii="仿宋_GB2312" w:hAnsi="仿宋_GB2312" w:cs="仿宋_GB2312" w:eastAsia="仿宋_GB2312"/>
        </w:rPr>
        <w:t>10、本采购包专门面向中小企业采购：本采购包专门面向中小企业采购</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陕西省商务厅机关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西安市新城大院</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丁毅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63913999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陕西海瑞项目管理有限公司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陕西省西安市高新区唐延路25号银河新坐标商务A座0906室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闫云芳 祝毅晗</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13324579220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采购包1：549,000.00元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代理服务费收费标准：参照国家计委计价格[2002]1980号及发改办价格[2003]857号通知规定收取，由成交供应商在领取成交通知书前向采购代理机构交纳采购服务费。代理服务费交纳信息 银行户名： 陕西海瑞项目管理有限公司 开户银行：中国农业银行股份有限公司西安曲江池南路支行 账号：26125101040008837</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陕西省商务厅机关</w:t>
      </w:r>
      <w:r>
        <w:rPr>
          <w:rFonts w:ascii="仿宋_GB2312" w:hAnsi="仿宋_GB2312" w:cs="仿宋_GB2312" w:eastAsia="仿宋_GB2312"/>
        </w:rPr>
        <w:t>和</w:t>
      </w:r>
      <w:r>
        <w:rPr>
          <w:rFonts w:ascii="仿宋_GB2312" w:hAnsi="仿宋_GB2312" w:cs="仿宋_GB2312" w:eastAsia="仿宋_GB2312"/>
        </w:rPr>
        <w:t>陕西海瑞项目管理有限公司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陕西省商务厅机关</w:t>
      </w:r>
      <w:r>
        <w:rPr>
          <w:rFonts w:ascii="仿宋_GB2312" w:hAnsi="仿宋_GB2312" w:cs="仿宋_GB2312" w:eastAsia="仿宋_GB2312"/>
        </w:rPr>
        <w:t>负责解释。除上述磋商文件内容，其他内容由</w:t>
      </w:r>
      <w:r>
        <w:rPr>
          <w:rFonts w:ascii="仿宋_GB2312" w:hAnsi="仿宋_GB2312" w:cs="仿宋_GB2312" w:eastAsia="仿宋_GB2312"/>
        </w:rPr>
        <w:t>陕西海瑞项目管理有限公司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陕西省商务厅机关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陕西海瑞项目管理有限公司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陕西海瑞项目管理有限公司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陕西海瑞项目管理有限公司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陕西海瑞项目管理有限公司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联系人：闫云芳 祝毅晗</w:t>
      </w:r>
    </w:p>
    <w:p>
      <w:pPr>
        <w:pStyle w:val="null3"/>
      </w:pPr>
      <w:r>
        <w:rPr>
          <w:rFonts w:ascii="仿宋_GB2312" w:hAnsi="仿宋_GB2312" w:cs="仿宋_GB2312" w:eastAsia="仿宋_GB2312"/>
        </w:rPr>
        <w:t>联系电话： 13324579220</w:t>
      </w:r>
    </w:p>
    <w:p>
      <w:pPr>
        <w:pStyle w:val="null3"/>
      </w:pPr>
      <w:r>
        <w:rPr>
          <w:rFonts w:ascii="仿宋_GB2312" w:hAnsi="仿宋_GB2312" w:cs="仿宋_GB2312" w:eastAsia="仿宋_GB2312"/>
        </w:rPr>
        <w:t>地址：陕西省西安市高新区唐延路25号银河新坐标商务A座0906室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围绕投资者关注的2026年陕西发展重点方向，推介陕西高质量发展的主要领域和重点方向、重大项目、重点产业，突出创新，聚焦开放，展现新作为新气象。同时，力求文字精炼，设计新颖，为境内外投资者了解陕西、投资陕西提供更大的帮助。</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549,000.00</w:t>
      </w:r>
    </w:p>
    <w:p>
      <w:pPr>
        <w:pStyle w:val="null3"/>
      </w:pPr>
      <w:r>
        <w:rPr>
          <w:rFonts w:ascii="仿宋_GB2312" w:hAnsi="仿宋_GB2312" w:cs="仿宋_GB2312" w:eastAsia="仿宋_GB2312"/>
        </w:rPr>
        <w:t>采购包最高限价（元）: 549,000.00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编印</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549,000.00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标的名称：编印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一、项目概况</w:t>
            </w:r>
          </w:p>
          <w:p>
            <w:pPr>
              <w:pStyle w:val="null3"/>
              <w:ind w:firstLine="400"/>
            </w:pPr>
            <w:r>
              <w:rPr>
                <w:rFonts w:ascii="仿宋_GB2312" w:hAnsi="仿宋_GB2312" w:cs="仿宋_GB2312" w:eastAsia="仿宋_GB2312"/>
              </w:rPr>
              <w:t>围绕投资者关注的</w:t>
            </w:r>
            <w:r>
              <w:rPr>
                <w:rFonts w:ascii="仿宋_GB2312" w:hAnsi="仿宋_GB2312" w:cs="仿宋_GB2312" w:eastAsia="仿宋_GB2312"/>
              </w:rPr>
              <w:t>202</w:t>
            </w:r>
            <w:r>
              <w:rPr>
                <w:rFonts w:ascii="仿宋_GB2312" w:hAnsi="仿宋_GB2312" w:cs="仿宋_GB2312" w:eastAsia="仿宋_GB2312"/>
              </w:rPr>
              <w:t>6</w:t>
            </w:r>
            <w:r>
              <w:rPr>
                <w:rFonts w:ascii="仿宋_GB2312" w:hAnsi="仿宋_GB2312" w:cs="仿宋_GB2312" w:eastAsia="仿宋_GB2312"/>
              </w:rPr>
              <w:t>年陕西发展重点方向，推介陕西高质量发展的主要领域和重点方向、重大项目、重点产业，突出创新，聚焦开放，展现新作为新气象。同时</w:t>
            </w:r>
            <w:r>
              <w:rPr>
                <w:rFonts w:ascii="仿宋_GB2312" w:hAnsi="仿宋_GB2312" w:cs="仿宋_GB2312" w:eastAsia="仿宋_GB2312"/>
              </w:rPr>
              <w:t>，</w:t>
            </w:r>
            <w:r>
              <w:rPr>
                <w:rFonts w:ascii="仿宋_GB2312" w:hAnsi="仿宋_GB2312" w:cs="仿宋_GB2312" w:eastAsia="仿宋_GB2312"/>
              </w:rPr>
              <w:t>力求文字精炼，设计新颖，为境内外投资者了解陕西、投资陕西提供更大的帮助。</w:t>
            </w:r>
          </w:p>
          <w:p>
            <w:pPr>
              <w:pStyle w:val="null3"/>
            </w:pPr>
            <w:r>
              <w:rPr>
                <w:rFonts w:ascii="仿宋_GB2312" w:hAnsi="仿宋_GB2312" w:cs="仿宋_GB2312" w:eastAsia="仿宋_GB2312"/>
                <w:b/>
              </w:rPr>
              <w:t>二、服务内容及要求</w:t>
            </w:r>
          </w:p>
          <w:p>
            <w:pPr>
              <w:pStyle w:val="null3"/>
            </w:pPr>
            <w:r>
              <w:rPr>
                <w:rFonts w:ascii="仿宋_GB2312" w:hAnsi="仿宋_GB2312" w:cs="仿宋_GB2312" w:eastAsia="仿宋_GB2312"/>
              </w:rPr>
              <w:t>1</w:t>
            </w:r>
            <w:r>
              <w:rPr>
                <w:rFonts w:ascii="仿宋_GB2312" w:hAnsi="仿宋_GB2312" w:cs="仿宋_GB2312" w:eastAsia="仿宋_GB2312"/>
              </w:rPr>
              <w:t>.</w:t>
            </w:r>
            <w:r>
              <w:rPr>
                <w:rFonts w:ascii="仿宋_GB2312" w:hAnsi="仿宋_GB2312" w:cs="仿宋_GB2312" w:eastAsia="仿宋_GB2312"/>
              </w:rPr>
              <w:t>编</w:t>
            </w:r>
            <w:r>
              <w:rPr>
                <w:rFonts w:ascii="仿宋_GB2312" w:hAnsi="仿宋_GB2312" w:cs="仿宋_GB2312" w:eastAsia="仿宋_GB2312"/>
              </w:rPr>
              <w:t>写内容要求</w:t>
            </w:r>
          </w:p>
          <w:p>
            <w:pPr>
              <w:pStyle w:val="null3"/>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编写必须</w:t>
            </w:r>
            <w:r>
              <w:rPr>
                <w:rFonts w:ascii="仿宋_GB2312" w:hAnsi="仿宋_GB2312" w:cs="仿宋_GB2312" w:eastAsia="仿宋_GB2312"/>
              </w:rPr>
              <w:t>贯彻落实党的二十届</w:t>
            </w:r>
            <w:r>
              <w:rPr>
                <w:rFonts w:ascii="仿宋_GB2312" w:hAnsi="仿宋_GB2312" w:cs="仿宋_GB2312" w:eastAsia="仿宋_GB2312"/>
              </w:rPr>
              <w:t>历次</w:t>
            </w:r>
            <w:r>
              <w:rPr>
                <w:rFonts w:ascii="仿宋_GB2312" w:hAnsi="仿宋_GB2312" w:cs="仿宋_GB2312" w:eastAsia="仿宋_GB2312"/>
              </w:rPr>
              <w:t>全会精神，贯通落实总书记历次来陕考察重要讲话重要指示精神，聚焦</w:t>
            </w:r>
            <w:r>
              <w:rPr>
                <w:rFonts w:ascii="仿宋_GB2312" w:hAnsi="仿宋_GB2312" w:cs="仿宋_GB2312" w:eastAsia="仿宋_GB2312"/>
              </w:rPr>
              <w:t>“十四五”时期陕西经济社会发展取得历史性成就</w:t>
            </w:r>
            <w:r>
              <w:rPr>
                <w:rFonts w:ascii="仿宋_GB2312" w:hAnsi="仿宋_GB2312" w:cs="仿宋_GB2312" w:eastAsia="仿宋_GB2312"/>
              </w:rPr>
              <w:t>、高水平对外开放，</w:t>
            </w:r>
            <w:r>
              <w:rPr>
                <w:rFonts w:ascii="仿宋_GB2312" w:hAnsi="仿宋_GB2312" w:cs="仿宋_GB2312" w:eastAsia="仿宋_GB2312"/>
              </w:rPr>
              <w:t>全面深化</w:t>
            </w:r>
            <w:r>
              <w:rPr>
                <w:rFonts w:ascii="仿宋_GB2312" w:hAnsi="仿宋_GB2312" w:cs="仿宋_GB2312" w:eastAsia="仿宋_GB2312"/>
              </w:rPr>
              <w:t>“三个年”活动，</w:t>
            </w:r>
            <w:r>
              <w:rPr>
                <w:rFonts w:ascii="仿宋_GB2312" w:hAnsi="仿宋_GB2312" w:cs="仿宋_GB2312" w:eastAsia="仿宋_GB2312"/>
              </w:rPr>
              <w:t>提升</w:t>
            </w:r>
            <w:r>
              <w:rPr>
                <w:rFonts w:ascii="仿宋_GB2312" w:hAnsi="仿宋_GB2312" w:cs="仿宋_GB2312" w:eastAsia="仿宋_GB2312"/>
              </w:rPr>
              <w:t>“三服务”质效。</w:t>
            </w:r>
          </w:p>
          <w:p>
            <w:pPr>
              <w:pStyle w:val="null3"/>
            </w:pPr>
            <w:r>
              <w:rPr>
                <w:rFonts w:ascii="仿宋_GB2312" w:hAnsi="仿宋_GB2312" w:cs="仿宋_GB2312" w:eastAsia="仿宋_GB2312"/>
              </w:rPr>
              <w:t>（</w:t>
            </w:r>
            <w:r>
              <w:rPr>
                <w:rFonts w:ascii="仿宋_GB2312" w:hAnsi="仿宋_GB2312" w:cs="仿宋_GB2312" w:eastAsia="仿宋_GB2312"/>
              </w:rPr>
              <w:t>2）展示</w:t>
            </w:r>
            <w:r>
              <w:rPr>
                <w:rFonts w:ascii="仿宋_GB2312" w:hAnsi="仿宋_GB2312" w:cs="仿宋_GB2312" w:eastAsia="仿宋_GB2312"/>
              </w:rPr>
              <w:t>我省各市区经济社会发展情况，最新的产业方向</w:t>
            </w:r>
            <w:r>
              <w:rPr>
                <w:rFonts w:ascii="仿宋_GB2312" w:hAnsi="仿宋_GB2312" w:cs="仿宋_GB2312" w:eastAsia="仿宋_GB2312"/>
              </w:rPr>
              <w:t>。</w:t>
            </w:r>
            <w:r>
              <w:rPr>
                <w:rFonts w:ascii="仿宋_GB2312" w:hAnsi="仿宋_GB2312" w:cs="仿宋_GB2312" w:eastAsia="仿宋_GB2312"/>
              </w:rPr>
              <w:t>国家、省内重点产业政策和企业办事指南</w:t>
            </w:r>
            <w:r>
              <w:rPr>
                <w:rFonts w:ascii="仿宋_GB2312" w:hAnsi="仿宋_GB2312" w:cs="仿宋_GB2312" w:eastAsia="仿宋_GB2312"/>
              </w:rPr>
              <w:t>。</w:t>
            </w:r>
          </w:p>
          <w:p>
            <w:pPr>
              <w:pStyle w:val="null3"/>
            </w:pPr>
            <w:r>
              <w:rPr>
                <w:rFonts w:ascii="仿宋_GB2312" w:hAnsi="仿宋_GB2312" w:cs="仿宋_GB2312" w:eastAsia="仿宋_GB2312"/>
              </w:rPr>
              <w:t>（</w:t>
            </w:r>
            <w:r>
              <w:rPr>
                <w:rFonts w:ascii="仿宋_GB2312" w:hAnsi="仿宋_GB2312" w:cs="仿宋_GB2312" w:eastAsia="仿宋_GB2312"/>
              </w:rPr>
              <w:t>3）应具有很强的思想性、知识性与可读性，科学、准确、凝练、生动。</w:t>
            </w:r>
          </w:p>
          <w:p>
            <w:pPr>
              <w:pStyle w:val="null3"/>
            </w:pPr>
            <w:r>
              <w:rPr>
                <w:rFonts w:ascii="仿宋_GB2312" w:hAnsi="仿宋_GB2312" w:cs="仿宋_GB2312" w:eastAsia="仿宋_GB2312"/>
              </w:rPr>
              <w:t>2、编写标准：</w:t>
            </w:r>
          </w:p>
          <w:p>
            <w:pPr>
              <w:pStyle w:val="null3"/>
            </w:pPr>
            <w:r>
              <w:rPr>
                <w:rFonts w:ascii="仿宋_GB2312" w:hAnsi="仿宋_GB2312" w:cs="仿宋_GB2312" w:eastAsia="仿宋_GB2312"/>
              </w:rPr>
              <w:t>《</w:t>
            </w:r>
            <w:r>
              <w:rPr>
                <w:rFonts w:ascii="仿宋_GB2312" w:hAnsi="仿宋_GB2312" w:cs="仿宋_GB2312" w:eastAsia="仿宋_GB2312"/>
              </w:rPr>
              <w:t>2026年陕西省投资环境白皮书》编写内容应符合国家省市及采购人的相关要求。</w:t>
            </w:r>
          </w:p>
          <w:p>
            <w:pPr>
              <w:pStyle w:val="null3"/>
            </w:pPr>
            <w:r>
              <w:rPr>
                <w:rFonts w:ascii="仿宋_GB2312" w:hAnsi="仿宋_GB2312" w:cs="仿宋_GB2312" w:eastAsia="仿宋_GB2312"/>
              </w:rPr>
              <w:t>3.排版设计要求</w:t>
            </w:r>
          </w:p>
          <w:p>
            <w:pPr>
              <w:pStyle w:val="null3"/>
            </w:pPr>
            <w:r>
              <w:rPr>
                <w:rFonts w:ascii="仿宋_GB2312" w:hAnsi="仿宋_GB2312" w:cs="仿宋_GB2312" w:eastAsia="仿宋_GB2312"/>
              </w:rPr>
              <w:t>（</w:t>
            </w:r>
            <w:r>
              <w:rPr>
                <w:rFonts w:ascii="仿宋_GB2312" w:hAnsi="仿宋_GB2312" w:cs="仿宋_GB2312" w:eastAsia="仿宋_GB2312"/>
              </w:rPr>
              <w:t>1）规范性：遵循出版行业通用排版规范，确保图书格式符合印刷标准，保证文字、图片、页码等元素排版准确无误。</w:t>
            </w:r>
          </w:p>
          <w:p>
            <w:pPr>
              <w:pStyle w:val="null3"/>
            </w:pPr>
            <w:r>
              <w:rPr>
                <w:rFonts w:ascii="仿宋_GB2312" w:hAnsi="仿宋_GB2312" w:cs="仿宋_GB2312" w:eastAsia="仿宋_GB2312"/>
              </w:rPr>
              <w:t>（</w:t>
            </w:r>
            <w:r>
              <w:rPr>
                <w:rFonts w:ascii="仿宋_GB2312" w:hAnsi="仿宋_GB2312" w:cs="仿宋_GB2312" w:eastAsia="仿宋_GB2312"/>
              </w:rPr>
              <w:t>2）可读性：以读者阅读舒适为核心，合理设置字体、字号、行距、段落间距等参数，避免视觉疲劳，提升阅读流畅性。</w:t>
            </w:r>
          </w:p>
          <w:p>
            <w:pPr>
              <w:pStyle w:val="null3"/>
            </w:pPr>
            <w:r>
              <w:rPr>
                <w:rFonts w:ascii="仿宋_GB2312" w:hAnsi="仿宋_GB2312" w:cs="仿宋_GB2312" w:eastAsia="仿宋_GB2312"/>
              </w:rPr>
              <w:t>（</w:t>
            </w:r>
            <w:r>
              <w:rPr>
                <w:rFonts w:ascii="仿宋_GB2312" w:hAnsi="仿宋_GB2312" w:cs="仿宋_GB2312" w:eastAsia="仿宋_GB2312"/>
              </w:rPr>
              <w:t>3）美观性：通过协调的色彩搭配、统一的风格设计以及合理的页面布局，使图书兼具实用性与艺术性，增强视觉吸引力。</w:t>
            </w:r>
          </w:p>
          <w:p>
            <w:pPr>
              <w:pStyle w:val="null3"/>
            </w:pPr>
            <w:r>
              <w:rPr>
                <w:rFonts w:ascii="仿宋_GB2312" w:hAnsi="仿宋_GB2312" w:cs="仿宋_GB2312" w:eastAsia="仿宋_GB2312"/>
              </w:rPr>
              <w:t>（</w:t>
            </w:r>
            <w:r>
              <w:rPr>
                <w:rFonts w:ascii="仿宋_GB2312" w:hAnsi="仿宋_GB2312" w:cs="仿宋_GB2312" w:eastAsia="仿宋_GB2312"/>
              </w:rPr>
              <w:t>4）整体性：全书排版风格保持一致，各章节。</w:t>
            </w:r>
          </w:p>
          <w:p>
            <w:pPr>
              <w:pStyle w:val="null3"/>
            </w:pPr>
            <w:r>
              <w:rPr>
                <w:rFonts w:ascii="仿宋_GB2312" w:hAnsi="仿宋_GB2312" w:cs="仿宋_GB2312" w:eastAsia="仿宋_GB2312"/>
              </w:rPr>
              <w:t>4.</w:t>
            </w:r>
            <w:r>
              <w:rPr>
                <w:rFonts w:ascii="仿宋_GB2312" w:hAnsi="仿宋_GB2312" w:cs="仿宋_GB2312" w:eastAsia="仿宋_GB2312"/>
              </w:rPr>
              <w:t>翻译及审校要求</w:t>
            </w:r>
            <w:r>
              <w:rPr>
                <w:rFonts w:ascii="仿宋_GB2312" w:hAnsi="仿宋_GB2312" w:cs="仿宋_GB2312" w:eastAsia="仿宋_GB2312"/>
              </w:rPr>
              <w:t>：</w:t>
            </w:r>
          </w:p>
          <w:p>
            <w:pPr>
              <w:pStyle w:val="null3"/>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准确性要求</w:t>
            </w:r>
            <w:r>
              <w:rPr>
                <w:rFonts w:ascii="仿宋_GB2312" w:hAnsi="仿宋_GB2312" w:cs="仿宋_GB2312" w:eastAsia="仿宋_GB2312"/>
              </w:rPr>
              <w:t>:严格遵循原文内容，不遗漏、不篡改关键信息</w:t>
            </w:r>
            <w:r>
              <w:rPr>
                <w:rFonts w:ascii="仿宋_GB2312" w:hAnsi="仿宋_GB2312" w:cs="仿宋_GB2312" w:eastAsia="仿宋_GB2312"/>
              </w:rPr>
              <w:t>。</w:t>
            </w:r>
          </w:p>
          <w:p>
            <w:pPr>
              <w:pStyle w:val="null3"/>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语言风格要求</w:t>
            </w:r>
            <w:r>
              <w:rPr>
                <w:rFonts w:ascii="仿宋_GB2312" w:hAnsi="仿宋_GB2312" w:cs="仿宋_GB2312" w:eastAsia="仿宋_GB2312"/>
              </w:rPr>
              <w:t>:使用规范、严谨的措辞，避免口语化表达。</w:t>
            </w:r>
          </w:p>
          <w:p>
            <w:pPr>
              <w:pStyle w:val="null3"/>
            </w:pPr>
            <w:r>
              <w:rPr>
                <w:rFonts w:ascii="仿宋_GB2312" w:hAnsi="仿宋_GB2312" w:cs="仿宋_GB2312" w:eastAsia="仿宋_GB2312"/>
              </w:rPr>
              <w:t>（</w:t>
            </w:r>
            <w:r>
              <w:rPr>
                <w:rFonts w:ascii="仿宋_GB2312" w:hAnsi="仿宋_GB2312" w:cs="仿宋_GB2312" w:eastAsia="仿宋_GB2312"/>
              </w:rPr>
              <w:t>3）保持原文结构</w:t>
            </w:r>
            <w:r>
              <w:rPr>
                <w:rFonts w:ascii="仿宋_GB2312" w:hAnsi="仿宋_GB2312" w:cs="仿宋_GB2312" w:eastAsia="仿宋_GB2312"/>
              </w:rPr>
              <w:t>要求</w:t>
            </w:r>
            <w:r>
              <w:rPr>
                <w:rFonts w:ascii="仿宋_GB2312" w:hAnsi="仿宋_GB2312" w:cs="仿宋_GB2312" w:eastAsia="仿宋_GB2312"/>
              </w:rPr>
              <w:t>:</w:t>
            </w:r>
            <w:r>
              <w:rPr>
                <w:rFonts w:ascii="仿宋_GB2312" w:hAnsi="仿宋_GB2312" w:cs="仿宋_GB2312" w:eastAsia="仿宋_GB2312"/>
              </w:rPr>
              <w:t>标题、段落、列表、表格等格式需与原文一致</w:t>
            </w:r>
            <w:r>
              <w:rPr>
                <w:rFonts w:ascii="仿宋_GB2312" w:hAnsi="仿宋_GB2312" w:cs="仿宋_GB2312" w:eastAsia="仿宋_GB2312"/>
              </w:rPr>
              <w:t>。</w:t>
            </w:r>
          </w:p>
          <w:p>
            <w:pPr>
              <w:pStyle w:val="null3"/>
            </w:pPr>
            <w:r>
              <w:rPr>
                <w:rFonts w:ascii="仿宋_GB2312" w:hAnsi="仿宋_GB2312" w:cs="仿宋_GB2312" w:eastAsia="仿宋_GB2312"/>
              </w:rPr>
              <w:t>5、印制要求</w:t>
            </w:r>
          </w:p>
          <w:p>
            <w:pPr>
              <w:pStyle w:val="null3"/>
            </w:pPr>
            <w:r>
              <w:rPr>
                <w:rFonts w:ascii="仿宋_GB2312" w:hAnsi="仿宋_GB2312" w:cs="仿宋_GB2312" w:eastAsia="仿宋_GB2312"/>
              </w:rPr>
              <w:t>（</w:t>
            </w:r>
            <w:r>
              <w:rPr>
                <w:rFonts w:ascii="仿宋_GB2312" w:hAnsi="仿宋_GB2312" w:cs="仿宋_GB2312" w:eastAsia="仿宋_GB2312"/>
              </w:rPr>
              <w:t>1）总页数：150页左右。</w:t>
            </w:r>
          </w:p>
          <w:p>
            <w:pPr>
              <w:pStyle w:val="null3"/>
            </w:pPr>
            <w:r>
              <w:rPr>
                <w:rFonts w:ascii="仿宋_GB2312" w:hAnsi="仿宋_GB2312" w:cs="仿宋_GB2312" w:eastAsia="仿宋_GB2312"/>
              </w:rPr>
              <w:t>（</w:t>
            </w:r>
            <w:r>
              <w:rPr>
                <w:rFonts w:ascii="仿宋_GB2312" w:hAnsi="仿宋_GB2312" w:cs="仿宋_GB2312" w:eastAsia="仿宋_GB2312"/>
              </w:rPr>
              <w:t>2）印刷数量：中文版1200册，英文版800册，俄文版800册，日文版300册，韩文版300册，共计3400册。</w:t>
            </w:r>
          </w:p>
          <w:p>
            <w:pPr>
              <w:pStyle w:val="null3"/>
            </w:pPr>
            <w:r>
              <w:rPr>
                <w:rFonts w:ascii="仿宋_GB2312" w:hAnsi="仿宋_GB2312" w:cs="仿宋_GB2312" w:eastAsia="仿宋_GB2312"/>
              </w:rPr>
              <w:t>（</w:t>
            </w:r>
            <w:r>
              <w:rPr>
                <w:rFonts w:ascii="仿宋_GB2312" w:hAnsi="仿宋_GB2312" w:cs="仿宋_GB2312" w:eastAsia="仿宋_GB2312"/>
              </w:rPr>
              <w:t>3）纸张要求：封面270g环保特种纸，内页140g环保特种纸。</w:t>
            </w:r>
          </w:p>
          <w:p>
            <w:pPr>
              <w:pStyle w:val="null3"/>
            </w:pPr>
            <w:r>
              <w:rPr>
                <w:rFonts w:ascii="仿宋_GB2312" w:hAnsi="仿宋_GB2312" w:cs="仿宋_GB2312" w:eastAsia="仿宋_GB2312"/>
              </w:rPr>
              <w:t>（</w:t>
            </w:r>
            <w:r>
              <w:rPr>
                <w:rFonts w:ascii="仿宋_GB2312" w:hAnsi="仿宋_GB2312" w:cs="仿宋_GB2312" w:eastAsia="仿宋_GB2312"/>
              </w:rPr>
              <w:t>4）印刷工艺：四色加专色印刷（专色金银）；局部哑光UV加激凸工艺。</w:t>
            </w:r>
          </w:p>
          <w:p>
            <w:pPr>
              <w:pStyle w:val="null3"/>
            </w:pPr>
            <w:r>
              <w:rPr>
                <w:rFonts w:ascii="仿宋_GB2312" w:hAnsi="仿宋_GB2312" w:cs="仿宋_GB2312" w:eastAsia="仿宋_GB2312"/>
              </w:rPr>
              <w:t>（</w:t>
            </w:r>
            <w:r>
              <w:rPr>
                <w:rFonts w:ascii="仿宋_GB2312" w:hAnsi="仿宋_GB2312" w:cs="仿宋_GB2312" w:eastAsia="仿宋_GB2312"/>
              </w:rPr>
              <w:t>5）装订方式：锁线胶订。</w:t>
            </w:r>
          </w:p>
          <w:p>
            <w:pPr>
              <w:pStyle w:val="null3"/>
            </w:pPr>
            <w:r>
              <w:rPr>
                <w:rFonts w:ascii="仿宋_GB2312" w:hAnsi="仿宋_GB2312" w:cs="仿宋_GB2312" w:eastAsia="仿宋_GB2312"/>
              </w:rPr>
              <w:t>（</w:t>
            </w:r>
            <w:r>
              <w:rPr>
                <w:rFonts w:ascii="仿宋_GB2312" w:hAnsi="仿宋_GB2312" w:cs="仿宋_GB2312" w:eastAsia="仿宋_GB2312"/>
              </w:rPr>
              <w:t>6</w:t>
            </w:r>
            <w:r>
              <w:rPr>
                <w:rFonts w:ascii="仿宋_GB2312" w:hAnsi="仿宋_GB2312" w:cs="仿宋_GB2312" w:eastAsia="仿宋_GB2312"/>
              </w:rPr>
              <w:t>）</w:t>
            </w:r>
            <w:r>
              <w:rPr>
                <w:rFonts w:ascii="仿宋_GB2312" w:hAnsi="仿宋_GB2312" w:cs="仿宋_GB2312" w:eastAsia="仿宋_GB2312"/>
              </w:rPr>
              <w:t>尺寸要求：</w:t>
            </w:r>
            <w:r>
              <w:rPr>
                <w:rFonts w:ascii="仿宋_GB2312" w:hAnsi="仿宋_GB2312" w:cs="仿宋_GB2312" w:eastAsia="仿宋_GB2312"/>
              </w:rPr>
              <w:t>260*185㎜（最终以采购人要求为准）。</w:t>
            </w:r>
          </w:p>
          <w:p>
            <w:pPr>
              <w:pStyle w:val="null3"/>
            </w:pPr>
            <w:r>
              <w:rPr>
                <w:rFonts w:ascii="仿宋_GB2312" w:hAnsi="仿宋_GB2312" w:cs="仿宋_GB2312" w:eastAsia="仿宋_GB2312"/>
                <w:b/>
              </w:rPr>
              <w:t>三</w:t>
            </w:r>
            <w:r>
              <w:rPr>
                <w:rFonts w:ascii="仿宋_GB2312" w:hAnsi="仿宋_GB2312" w:cs="仿宋_GB2312" w:eastAsia="仿宋_GB2312"/>
                <w:b/>
              </w:rPr>
              <w:t>、其它要求</w:t>
            </w:r>
          </w:p>
          <w:p>
            <w:pPr>
              <w:pStyle w:val="null3"/>
            </w:pPr>
            <w:r>
              <w:rPr>
                <w:rFonts w:ascii="仿宋_GB2312" w:hAnsi="仿宋_GB2312" w:cs="仿宋_GB2312" w:eastAsia="仿宋_GB2312"/>
              </w:rPr>
              <w:t>（</w:t>
            </w:r>
            <w:r>
              <w:rPr>
                <w:rFonts w:ascii="仿宋_GB2312" w:hAnsi="仿宋_GB2312" w:cs="仿宋_GB2312" w:eastAsia="仿宋_GB2312"/>
              </w:rPr>
              <w:t>1）须成立项目部专项负责本项目，并在项目实施过程中与采购人密切配合，做好图书的编印出版工作。</w:t>
            </w:r>
          </w:p>
          <w:p>
            <w:pPr>
              <w:pStyle w:val="null3"/>
            </w:pPr>
            <w:r>
              <w:rPr>
                <w:rFonts w:ascii="仿宋_GB2312" w:hAnsi="仿宋_GB2312" w:cs="仿宋_GB2312" w:eastAsia="仿宋_GB2312"/>
              </w:rPr>
              <w:t>（</w:t>
            </w:r>
            <w:r>
              <w:rPr>
                <w:rFonts w:ascii="仿宋_GB2312" w:hAnsi="仿宋_GB2312" w:cs="仿宋_GB2312" w:eastAsia="仿宋_GB2312"/>
              </w:rPr>
              <w:t>2）采购人及成交单位双方共享《</w:t>
            </w:r>
            <w:r>
              <w:rPr>
                <w:rFonts w:ascii="仿宋_GB2312" w:hAnsi="仿宋_GB2312" w:cs="仿宋_GB2312" w:eastAsia="仿宋_GB2312"/>
              </w:rPr>
              <w:t>2026年陕西省投资环境白皮书</w:t>
            </w:r>
            <w:r>
              <w:rPr>
                <w:rFonts w:ascii="仿宋_GB2312" w:hAnsi="仿宋_GB2312" w:cs="仿宋_GB2312" w:eastAsia="仿宋_GB2312"/>
              </w:rPr>
              <w:t>》图书的著作权及版权；除本项目合作事项及后续采购人的增印采购需求外，双方任何一方未经对方同意，不得将《</w:t>
            </w:r>
            <w:r>
              <w:rPr>
                <w:rFonts w:ascii="仿宋_GB2312" w:hAnsi="仿宋_GB2312" w:cs="仿宋_GB2312" w:eastAsia="仿宋_GB2312"/>
              </w:rPr>
              <w:t>2026年陕西省投资环境白皮书</w:t>
            </w:r>
            <w:r>
              <w:rPr>
                <w:rFonts w:ascii="仿宋_GB2312" w:hAnsi="仿宋_GB2312" w:cs="仿宋_GB2312" w:eastAsia="仿宋_GB2312"/>
              </w:rPr>
              <w:t>》图书的著作权及版权用于任何第三方商业合作目的，不得擅自增印发行。</w:t>
            </w:r>
          </w:p>
          <w:p>
            <w:pPr>
              <w:pStyle w:val="null3"/>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）所有印制图书不得出现破损、页码错误、漏页、重页、字迹不清、漏印、虚印、重印、油墨污染等现象，图书成品质量应符合国家及行业标准。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自合同签订之日起30个日历日内完成。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具有独立承担民事责任能力的法人、其他组织或自然人，提供合法有效年报合格的统一社会信用代码营业执照或事业单位法人证书等国家规定的相关证明，自然人参与的提供身份证明文件;</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法定代表人参加磋商的，须提供本人身份证复印件；法定代表人授权他人参加磋商的，须提供法定代表人授权委托书及被授权人近半年内任意一个月的社保缴纳证明；</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须提供企业赋码后2024年度或2025年度经会计师事务所或审计机构审计的财务审计报告（成立时间至提交磋商响应文件截止时间不足一年的可提供成立后任意时段的资产负债表、利润表、现金流量表），或磋商截止时间前六个月内基本账户银行出具的资信证明，提供财务审计报告的需在注册会计师行业统一监管平台（http://acc.mof.gov.cn/）可查询并提供网页查询截图；</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提供2026年1月至今已缴纳的至少一个月的纳税证明或完税证明，依法免税的单位应提供相关证明材料；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没有重大违法记录的书面申明</w:t>
            </w:r>
          </w:p>
        </w:tc>
        <w:tc>
          <w:tcPr>
            <w:tcW w:type="dxa" w:w="3322"/>
          </w:tcPr>
          <w:p>
            <w:pPr>
              <w:pStyle w:val="null3"/>
            </w:pPr>
            <w:r>
              <w:rPr>
                <w:rFonts w:ascii="仿宋_GB2312" w:hAnsi="仿宋_GB2312" w:cs="仿宋_GB2312" w:eastAsia="仿宋_GB2312"/>
              </w:rPr>
              <w:t>供应商应具备良好的商业信誉，提供在参加政府采购活动前3年内在经营活动中没有重大违法记录的书面申明；</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专业技术能力的书面声明</w:t>
            </w:r>
          </w:p>
        </w:tc>
        <w:tc>
          <w:tcPr>
            <w:tcW w:type="dxa" w:w="3322"/>
          </w:tcPr>
          <w:p>
            <w:pPr>
              <w:pStyle w:val="null3"/>
            </w:pPr>
            <w:r>
              <w:rPr>
                <w:rFonts w:ascii="仿宋_GB2312" w:hAnsi="仿宋_GB2312" w:cs="仿宋_GB2312" w:eastAsia="仿宋_GB2312"/>
              </w:rPr>
              <w:t>供应商具备履行合同所必须的设备和专业技术能力的书面声明；</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列入“中国执行信息公开网”（http://zxgk.court.gov.cn/shixin/）失信被执行人名单，未被列入“信用中国”网站（www.creditchina.gov.cn）重大税收违法失信主体，未被列入“中国政府采购网”（www.ccgp.gov.cn）政府采购严重违法失信行为记录名单；</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单位负责人为同一人或存在直接控股、管理关系的不同单位，不得参加同一项目的政府采购活动；</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本采购包专门面向中小企业采购</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按磋商文件格式要求签署、盖章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遵循公平竞争的原则，没有弄虚作假、恶意串通或妨碍其他供应商的竞争行为，损害采购人或者其他供应商的合法权益；弄虚作假、相互串通的情形</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无法律、法规和磋商文件规定的其他无效情形</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有效期满足磋商文件要求的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响应文件按规定的格式填写，内容完整且关键字迹清晰</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备选方案</w:t>
            </w:r>
          </w:p>
        </w:tc>
        <w:tc>
          <w:tcPr>
            <w:tcW w:type="dxa" w:w="3322"/>
          </w:tcPr>
          <w:p>
            <w:pPr>
              <w:pStyle w:val="null3"/>
            </w:pPr>
            <w:r>
              <w:rPr>
                <w:rFonts w:ascii="仿宋_GB2312" w:hAnsi="仿宋_GB2312" w:cs="仿宋_GB2312" w:eastAsia="仿宋_GB2312"/>
              </w:rPr>
              <w:t>供应商不得提交两份或者多份内容不同的响应文件，或者在同一份响应文件中对同一磋商项 目有两个或者多个报价</w:t>
            </w:r>
          </w:p>
        </w:tc>
        <w:tc>
          <w:tcPr>
            <w:tcW w:type="dxa" w:w="1661"/>
          </w:tcPr>
          <w:p>
            <w:pPr>
              <w:pStyle w:val="null3"/>
            </w:pPr>
            <w:r>
              <w:rPr>
                <w:rFonts w:ascii="仿宋_GB2312" w:hAnsi="仿宋_GB2312" w:cs="仿宋_GB2312" w:eastAsia="仿宋_GB2312"/>
              </w:rPr>
              <w:t>服务内容及服务邀请应答表 服务方案 标的清单 报价表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供应商提供的货物（服务）无实质性遗漏</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符合“采购需求”要求，无重大偏差</w:t>
            </w:r>
          </w:p>
        </w:tc>
        <w:tc>
          <w:tcPr>
            <w:tcW w:type="dxa" w:w="1661"/>
          </w:tcPr>
          <w:p>
            <w:pPr>
              <w:pStyle w:val="null3"/>
            </w:pPr>
            <w:r>
              <w:rPr>
                <w:rFonts w:ascii="仿宋_GB2312" w:hAnsi="仿宋_GB2312" w:cs="仿宋_GB2312" w:eastAsia="仿宋_GB2312"/>
              </w:rPr>
              <w:t>服务内容及服务邀请应答表 服务方案</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服务期和服务地点</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服务内容及服务邀请应答表 商务应答表 标的清单 报价表 响应函</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磋商文件不允许偏差时，响应文件无负偏差</w:t>
            </w:r>
          </w:p>
        </w:tc>
        <w:tc>
          <w:tcPr>
            <w:tcW w:type="dxa" w:w="1661"/>
          </w:tcPr>
          <w:p>
            <w:pPr>
              <w:pStyle w:val="null3"/>
            </w:pPr>
            <w:r>
              <w:rPr>
                <w:rFonts w:ascii="仿宋_GB2312" w:hAnsi="仿宋_GB2312" w:cs="仿宋_GB2312" w:eastAsia="仿宋_GB2312"/>
              </w:rPr>
              <w:t>商务应答表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整体方案</w:t>
            </w:r>
          </w:p>
        </w:tc>
        <w:tc>
          <w:tcPr>
            <w:tcW w:type="dxa" w:w="2492"/>
          </w:tcPr>
          <w:p>
            <w:pPr>
              <w:pStyle w:val="null3"/>
            </w:pPr>
            <w:r>
              <w:rPr>
                <w:rFonts w:ascii="仿宋_GB2312" w:hAnsi="仿宋_GB2312" w:cs="仿宋_GB2312" w:eastAsia="仿宋_GB2312"/>
              </w:rPr>
              <w:t>内容包括但不限于①对项目理解；②编辑流程；③印刷方案；④审核、校对、设计方案；⑤内部管理制度等。以上内容专门针对本项目且符合本项目实际需求的得15分，每缺一项内容扣3分,若上述内容存在瑕疵，每出现一处瑕疵扣1分，扣完为止。“瑕疵”指内容明显错误，或内容不完整或缺少关键点，或不适用本项目特性 、套用其他项目内容或内容不能满足本项目实际需求等情形。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服务要求</w:t>
            </w:r>
          </w:p>
        </w:tc>
        <w:tc>
          <w:tcPr>
            <w:tcW w:type="dxa" w:w="2492"/>
          </w:tcPr>
          <w:p>
            <w:pPr>
              <w:pStyle w:val="null3"/>
            </w:pPr>
            <w:r>
              <w:rPr>
                <w:rFonts w:ascii="仿宋_GB2312" w:hAnsi="仿宋_GB2312" w:cs="仿宋_GB2312" w:eastAsia="仿宋_GB2312"/>
              </w:rPr>
              <w:t>内容包括但不限于①印刷品原材料选料（至少包含原材料名称、品牌、规格等）；②工作协调措施；③安全保密措施；④配送能力（配送车辆及配送人员配备等）等。以上内容专门针对本项目且符合本项目实际需求的得12分，每缺一项内容扣3分，若上述内容存在瑕疵，每出现一处瑕疵扣1分，扣完为止。“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印刷措施</w:t>
            </w:r>
          </w:p>
        </w:tc>
        <w:tc>
          <w:tcPr>
            <w:tcW w:type="dxa" w:w="2492"/>
          </w:tcPr>
          <w:p>
            <w:pPr>
              <w:pStyle w:val="null3"/>
            </w:pPr>
            <w:r>
              <w:rPr>
                <w:rFonts w:ascii="仿宋_GB2312" w:hAnsi="仿宋_GB2312" w:cs="仿宋_GB2312" w:eastAsia="仿宋_GB2312"/>
              </w:rPr>
              <w:t>内容包括但不限于①印刷设备、装订设备等完善的配套设施；②印刷渠道；③编制素材收集；④排版设计等印刷流程等。 以上内容专门针对本项目且符合本项目实际需求的得12分，每缺一项内容扣3分，若上述内容存在瑕疵，每出现一处瑕疵扣1分，扣完为止。“瑕疵”指内容明显错误 , 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服务保障措施</w:t>
            </w:r>
          </w:p>
        </w:tc>
        <w:tc>
          <w:tcPr>
            <w:tcW w:type="dxa" w:w="2492"/>
          </w:tcPr>
          <w:p>
            <w:pPr>
              <w:pStyle w:val="null3"/>
            </w:pPr>
            <w:r>
              <w:rPr>
                <w:rFonts w:ascii="仿宋_GB2312" w:hAnsi="仿宋_GB2312" w:cs="仿宋_GB2312" w:eastAsia="仿宋_GB2312"/>
              </w:rPr>
              <w:t>内容包括但不限于①服务质量保障措施；②服务进度保障措施；③服务承诺等；④物流配送与退换货等。以上内容专门针对本项目且符合本项目实际需求的得12分，每缺一项内容扣3分，若上述内容存在瑕疵，每出现一处瑕疵扣1分，扣完为止。“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应急保障措施</w:t>
            </w:r>
          </w:p>
        </w:tc>
        <w:tc>
          <w:tcPr>
            <w:tcW w:type="dxa" w:w="2492"/>
          </w:tcPr>
          <w:p>
            <w:pPr>
              <w:pStyle w:val="null3"/>
            </w:pPr>
            <w:r>
              <w:rPr>
                <w:rFonts w:ascii="仿宋_GB2312" w:hAnsi="仿宋_GB2312" w:cs="仿宋_GB2312" w:eastAsia="仿宋_GB2312"/>
              </w:rPr>
              <w:t>内容包括但不限于①响应时限；②突发情况人员替补；③预防措施；④现场组织协调能力等。以上内容专门针对本项目且符合本项目实际需求的得12分，每缺一项内容扣3分，若上述内容存在瑕疵，每出现一处瑕疵扣1分，扣完为止。“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编辑团队</w:t>
            </w:r>
          </w:p>
        </w:tc>
        <w:tc>
          <w:tcPr>
            <w:tcW w:type="dxa" w:w="2492"/>
          </w:tcPr>
          <w:p>
            <w:pPr>
              <w:pStyle w:val="null3"/>
            </w:pPr>
            <w:r>
              <w:rPr>
                <w:rFonts w:ascii="仿宋_GB2312" w:hAnsi="仿宋_GB2312" w:cs="仿宋_GB2312" w:eastAsia="仿宋_GB2312"/>
              </w:rPr>
              <w:t>1、项目负责人：为编审职称得3分，副编审职称，得2分； 具有2023年1月以来同类业绩，每提供1个得1分，最高得3分； 2、责任编辑：具备中级（编辑）及以上职称得2分，具有2023年1月以来同类业绩，每提供1个得0.5分，最高得1分。以上须提供证明材料，包括但不限于职称证书及已出版的相关种类图书的封面页和版权页（须体现相关人员的姓名）。</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其他人员</w:t>
            </w:r>
          </w:p>
        </w:tc>
        <w:tc>
          <w:tcPr>
            <w:tcW w:type="dxa" w:w="2492"/>
          </w:tcPr>
          <w:p>
            <w:pPr>
              <w:pStyle w:val="null3"/>
            </w:pPr>
            <w:r>
              <w:rPr>
                <w:rFonts w:ascii="仿宋_GB2312" w:hAnsi="仿宋_GB2312" w:cs="仿宋_GB2312" w:eastAsia="仿宋_GB2312"/>
              </w:rPr>
              <w:t>其他人员配备情况，包括但不限于①团队人员配置清单；②岗位职责安排；③人员管理制度；④工作经验及年限等。以上内容专门针对本项目且符合本项目实际需求的得8分，每缺一项内容扣2分，若上述内容存在瑕疵，每出现一处 瑕疵扣1分，扣完为止。“瑕疵”指内容明显错误，或内容不完整或缺少关键点，或不适用本项目特性、套用其他项目内容或内容不能满足本项目实际需求等情形。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供应商具有2023年1月以来（以合同签订时间为准）同类项目业绩，响应文件中提供合同复印件加盖供应商公章，每提供一个得2分，最高得10分。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