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18292">
      <w:pPr>
        <w:pStyle w:val="2"/>
        <w:spacing w:before="0" w:after="0" w:line="360" w:lineRule="auto"/>
        <w:rPr>
          <w:rFonts w:ascii="宋体" w:hAnsi="宋体" w:cs="宋体"/>
          <w:color w:val="000000" w:themeColor="text1"/>
          <w:szCs w:val="24"/>
          <w:highlight w:val="none"/>
          <w14:textFill>
            <w14:solidFill>
              <w14:schemeClr w14:val="tx1"/>
            </w14:solidFill>
          </w14:textFill>
        </w:rPr>
      </w:pPr>
      <w:bookmarkStart w:id="0" w:name="_Toc32311"/>
      <w:r>
        <w:rPr>
          <w:rFonts w:hint="eastAsia" w:ascii="宋体" w:hAnsi="宋体" w:cs="宋体"/>
          <w:color w:val="000000" w:themeColor="text1"/>
          <w:highlight w:val="none"/>
          <w:lang w:val="en-US" w:eastAsia="zh-CN"/>
          <w14:textFill>
            <w14:solidFill>
              <w14:schemeClr w14:val="tx1"/>
            </w14:solidFill>
          </w14:textFill>
        </w:rPr>
        <w:t>拟签订</w:t>
      </w:r>
      <w:r>
        <w:rPr>
          <w:rFonts w:hint="eastAsia" w:ascii="宋体" w:hAnsi="宋体" w:cs="宋体"/>
          <w:color w:val="000000" w:themeColor="text1"/>
          <w:highlight w:val="none"/>
          <w14:textFill>
            <w14:solidFill>
              <w14:schemeClr w14:val="tx1"/>
            </w14:solidFill>
          </w14:textFill>
        </w:rPr>
        <w:t>合同条款</w:t>
      </w:r>
      <w:bookmarkEnd w:id="0"/>
    </w:p>
    <w:p w14:paraId="0D636576">
      <w:pPr>
        <w:keepNext w:val="0"/>
        <w:keepLines w:val="0"/>
        <w:pageBreakBefore w:val="0"/>
        <w:widowControl w:val="0"/>
        <w:numPr>
          <w:ilvl w:val="0"/>
          <w:numId w:val="0"/>
        </w:numPr>
        <w:kinsoku/>
        <w:wordWrap/>
        <w:overflowPunct/>
        <w:topLinePunct w:val="0"/>
        <w:autoSpaceDE/>
        <w:autoSpaceDN/>
        <w:bidi w:val="0"/>
        <w:snapToGrid/>
        <w:spacing w:line="500" w:lineRule="exact"/>
        <w:ind w:leftChars="0"/>
        <w:jc w:val="center"/>
        <w:textAlignment w:val="auto"/>
        <w:rPr>
          <w:rFonts w:hint="eastAsia" w:ascii="宋体" w:hAnsi="宋体" w:eastAsia="宋体" w:cs="宋体"/>
          <w:color w:val="auto"/>
          <w:sz w:val="24"/>
          <w:u w:val="single"/>
          <w:lang w:val="en-US" w:eastAsia="zh-CN"/>
        </w:rPr>
      </w:pPr>
      <w:bookmarkStart w:id="1" w:name="_Toc3995"/>
      <w:bookmarkStart w:id="2" w:name="_Toc31683"/>
      <w:bookmarkStart w:id="3" w:name="_Toc426457696"/>
      <w:bookmarkStart w:id="4" w:name="_Toc26595"/>
      <w:bookmarkStart w:id="5" w:name="_Toc31520"/>
      <w:bookmarkStart w:id="6" w:name="_Toc20230"/>
      <w:bookmarkStart w:id="7" w:name="_Toc389582037"/>
      <w:bookmarkStart w:id="8" w:name="_Toc8333"/>
      <w:bookmarkStart w:id="9" w:name="_Toc29888"/>
      <w:bookmarkStart w:id="10" w:name="_Toc19246"/>
      <w:bookmarkStart w:id="11" w:name="_Toc8954"/>
      <w:bookmarkStart w:id="12" w:name="_Toc19199"/>
      <w:bookmarkStart w:id="13" w:name="_Toc9053"/>
      <w:r>
        <w:rPr>
          <w:rFonts w:hint="eastAsia" w:ascii="宋体" w:hAnsi="宋体" w:eastAsia="宋体" w:cs="宋体"/>
          <w:b/>
          <w:bCs w:val="0"/>
          <w:kern w:val="44"/>
          <w:sz w:val="28"/>
          <w:szCs w:val="28"/>
          <w:lang w:val="en-US" w:eastAsia="zh-CN" w:bidi="ar-SA"/>
        </w:rPr>
        <w:t>（此合同为参考合同，具体以甲乙双方协商为准）</w:t>
      </w:r>
    </w:p>
    <w:p w14:paraId="03EEFC1D">
      <w:pPr>
        <w:pStyle w:val="3"/>
        <w:spacing w:line="360" w:lineRule="auto"/>
        <w:jc w:val="center"/>
        <w:rPr>
          <w:rFonts w:ascii="宋体" w:hAnsi="宋体" w:cs="宋体"/>
          <w:b/>
          <w:bCs/>
          <w:color w:val="000000" w:themeColor="text1"/>
          <w:spacing w:val="-20"/>
          <w:kern w:val="44"/>
          <w:sz w:val="48"/>
          <w:szCs w:val="48"/>
          <w:highlight w:val="none"/>
          <w14:textFill>
            <w14:solidFill>
              <w14:schemeClr w14:val="tx1"/>
            </w14:solidFill>
          </w14:textFill>
        </w:rPr>
      </w:pPr>
    </w:p>
    <w:bookmarkEnd w:id="1"/>
    <w:p w14:paraId="48FBC949">
      <w:pPr>
        <w:spacing w:line="360" w:lineRule="auto"/>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44"/>
          <w:szCs w:val="44"/>
          <w:highlight w:val="none"/>
          <w:lang w:eastAsia="zh-CN"/>
          <w14:textFill>
            <w14:solidFill>
              <w14:schemeClr w14:val="tx1"/>
            </w14:solidFill>
          </w14:textFill>
        </w:rPr>
        <w:t>（</w:t>
      </w:r>
      <w:r>
        <w:rPr>
          <w:rFonts w:hint="eastAsia" w:ascii="宋体" w:hAnsi="宋体" w:cs="宋体"/>
          <w:b/>
          <w:color w:val="000000" w:themeColor="text1"/>
          <w:sz w:val="44"/>
          <w:szCs w:val="44"/>
          <w:highlight w:val="none"/>
          <w:lang w:val="en-US" w:eastAsia="zh-CN"/>
          <w14:textFill>
            <w14:solidFill>
              <w14:schemeClr w14:val="tx1"/>
            </w14:solidFill>
          </w14:textFill>
        </w:rPr>
        <w:t>项目名称</w:t>
      </w:r>
      <w:r>
        <w:rPr>
          <w:rFonts w:hint="eastAsia" w:ascii="宋体" w:hAnsi="宋体" w:cs="宋体"/>
          <w:b/>
          <w:color w:val="000000" w:themeColor="text1"/>
          <w:sz w:val="44"/>
          <w:szCs w:val="44"/>
          <w:highlight w:val="none"/>
          <w:lang w:eastAsia="zh-CN"/>
          <w14:textFill>
            <w14:solidFill>
              <w14:schemeClr w14:val="tx1"/>
            </w14:solidFill>
          </w14:textFill>
        </w:rPr>
        <w:t>）</w:t>
      </w:r>
    </w:p>
    <w:p w14:paraId="7E65D5B9">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04A99BB6">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02164606">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29A9290E">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23C5231A">
      <w:pPr>
        <w:spacing w:line="360" w:lineRule="auto"/>
        <w:jc w:val="center"/>
        <w:rPr>
          <w:rFonts w:ascii="宋体" w:hAnsi="宋体" w:cs="宋体"/>
          <w:b/>
          <w:color w:val="000000" w:themeColor="text1"/>
          <w:sz w:val="52"/>
          <w:szCs w:val="52"/>
          <w:highlight w:val="none"/>
          <w14:textFill>
            <w14:solidFill>
              <w14:schemeClr w14:val="tx1"/>
            </w14:solidFill>
          </w14:textFill>
        </w:rPr>
      </w:pPr>
      <w:r>
        <w:rPr>
          <w:rFonts w:hint="eastAsia" w:ascii="宋体" w:hAnsi="宋体" w:cs="宋体"/>
          <w:b/>
          <w:color w:val="000000" w:themeColor="text1"/>
          <w:sz w:val="52"/>
          <w:szCs w:val="52"/>
          <w:highlight w:val="none"/>
          <w14:textFill>
            <w14:solidFill>
              <w14:schemeClr w14:val="tx1"/>
            </w14:solidFill>
          </w14:textFill>
        </w:rPr>
        <w:t>合</w:t>
      </w:r>
    </w:p>
    <w:p w14:paraId="5CE070E3">
      <w:pPr>
        <w:spacing w:line="360" w:lineRule="auto"/>
        <w:jc w:val="center"/>
        <w:rPr>
          <w:rFonts w:ascii="宋体" w:hAnsi="宋体" w:cs="宋体"/>
          <w:b/>
          <w:color w:val="000000" w:themeColor="text1"/>
          <w:sz w:val="52"/>
          <w:szCs w:val="52"/>
          <w:highlight w:val="none"/>
          <w14:textFill>
            <w14:solidFill>
              <w14:schemeClr w14:val="tx1"/>
            </w14:solidFill>
          </w14:textFill>
        </w:rPr>
      </w:pPr>
      <w:r>
        <w:rPr>
          <w:rFonts w:hint="eastAsia" w:ascii="宋体" w:hAnsi="宋体" w:cs="宋体"/>
          <w:b/>
          <w:color w:val="000000" w:themeColor="text1"/>
          <w:sz w:val="52"/>
          <w:szCs w:val="52"/>
          <w:highlight w:val="none"/>
          <w14:textFill>
            <w14:solidFill>
              <w14:schemeClr w14:val="tx1"/>
            </w14:solidFill>
          </w14:textFill>
        </w:rPr>
        <w:t>同</w:t>
      </w:r>
    </w:p>
    <w:p w14:paraId="2957A981">
      <w:pPr>
        <w:spacing w:line="360" w:lineRule="auto"/>
        <w:jc w:val="center"/>
        <w:rPr>
          <w:rFonts w:ascii="宋体" w:hAnsi="宋体" w:cs="宋体"/>
          <w:b/>
          <w:color w:val="000000" w:themeColor="text1"/>
          <w:sz w:val="44"/>
          <w:szCs w:val="44"/>
          <w:highlight w:val="none"/>
          <w14:textFill>
            <w14:solidFill>
              <w14:schemeClr w14:val="tx1"/>
            </w14:solidFill>
          </w14:textFill>
        </w:rPr>
      </w:pPr>
      <w:r>
        <w:rPr>
          <w:rFonts w:hint="eastAsia" w:ascii="宋体" w:hAnsi="宋体" w:cs="宋体"/>
          <w:b/>
          <w:color w:val="000000" w:themeColor="text1"/>
          <w:sz w:val="52"/>
          <w:szCs w:val="52"/>
          <w:highlight w:val="none"/>
          <w14:textFill>
            <w14:solidFill>
              <w14:schemeClr w14:val="tx1"/>
            </w14:solidFill>
          </w14:textFill>
        </w:rPr>
        <w:t>书</w:t>
      </w:r>
    </w:p>
    <w:p w14:paraId="230E8911">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7FAD046C">
      <w:pPr>
        <w:spacing w:line="360" w:lineRule="auto"/>
        <w:jc w:val="center"/>
        <w:rPr>
          <w:rFonts w:ascii="宋体" w:hAnsi="宋体" w:cs="宋体"/>
          <w:b/>
          <w:color w:val="000000" w:themeColor="text1"/>
          <w:sz w:val="28"/>
          <w:szCs w:val="28"/>
          <w:highlight w:val="none"/>
          <w14:textFill>
            <w14:solidFill>
              <w14:schemeClr w14:val="tx1"/>
            </w14:solidFill>
          </w14:textFill>
        </w:rPr>
      </w:pPr>
    </w:p>
    <w:p w14:paraId="2B8FACBB">
      <w:pPr>
        <w:adjustRightInd w:val="0"/>
        <w:snapToGrid w:val="0"/>
        <w:spacing w:line="360" w:lineRule="auto"/>
        <w:jc w:val="left"/>
        <w:rPr>
          <w:rFonts w:ascii="Arial" w:cs="Arial"/>
          <w:b/>
          <w:color w:val="000000" w:themeColor="text1"/>
          <w:sz w:val="28"/>
          <w:szCs w:val="21"/>
          <w:highlight w:val="none"/>
          <w14:textFill>
            <w14:solidFill>
              <w14:schemeClr w14:val="tx1"/>
            </w14:solidFill>
          </w14:textFill>
        </w:rPr>
      </w:pPr>
    </w:p>
    <w:p w14:paraId="41E24166">
      <w:pPr>
        <w:adjustRightInd w:val="0"/>
        <w:snapToGrid w:val="0"/>
        <w:spacing w:line="360" w:lineRule="auto"/>
        <w:jc w:val="left"/>
        <w:rPr>
          <w:rFonts w:ascii="Arial" w:cs="Arial"/>
          <w:b/>
          <w:color w:val="000000" w:themeColor="text1"/>
          <w:sz w:val="28"/>
          <w:szCs w:val="21"/>
          <w:highlight w:val="none"/>
          <w14:textFill>
            <w14:solidFill>
              <w14:schemeClr w14:val="tx1"/>
            </w14:solidFill>
          </w14:textFill>
        </w:rPr>
      </w:pPr>
    </w:p>
    <w:p w14:paraId="64382FD2">
      <w:pPr>
        <w:adjustRightInd w:val="0"/>
        <w:snapToGrid w:val="0"/>
        <w:spacing w:line="360" w:lineRule="auto"/>
        <w:jc w:val="left"/>
        <w:rPr>
          <w:rFonts w:ascii="Arial" w:cs="Arial"/>
          <w:b/>
          <w:color w:val="000000" w:themeColor="text1"/>
          <w:sz w:val="28"/>
          <w:szCs w:val="21"/>
          <w:highlight w:val="none"/>
          <w14:textFill>
            <w14:solidFill>
              <w14:schemeClr w14:val="tx1"/>
            </w14:solidFill>
          </w14:textFill>
        </w:rPr>
      </w:pPr>
    </w:p>
    <w:p w14:paraId="5A8F6F18">
      <w:pPr>
        <w:adjustRightInd w:val="0"/>
        <w:snapToGrid w:val="0"/>
        <w:spacing w:line="360" w:lineRule="auto"/>
        <w:jc w:val="left"/>
        <w:rPr>
          <w:rFonts w:ascii="Arial" w:cs="Arial"/>
          <w:b/>
          <w:color w:val="000000" w:themeColor="text1"/>
          <w:sz w:val="28"/>
          <w:szCs w:val="21"/>
          <w:highlight w:val="none"/>
          <w14:textFill>
            <w14:solidFill>
              <w14:schemeClr w14:val="tx1"/>
            </w14:solidFill>
          </w14:textFill>
        </w:rPr>
      </w:pPr>
    </w:p>
    <w:p w14:paraId="4BA5C376">
      <w:pPr>
        <w:adjustRightInd w:val="0"/>
        <w:snapToGrid w:val="0"/>
        <w:spacing w:line="360" w:lineRule="auto"/>
        <w:jc w:val="left"/>
        <w:rPr>
          <w:rFonts w:ascii="Arial" w:cs="Arial"/>
          <w:b/>
          <w:color w:val="000000" w:themeColor="text1"/>
          <w:sz w:val="28"/>
          <w:szCs w:val="21"/>
          <w:highlight w:val="none"/>
          <w14:textFill>
            <w14:solidFill>
              <w14:schemeClr w14:val="tx1"/>
            </w14:solidFill>
          </w14:textFill>
        </w:rPr>
      </w:pPr>
    </w:p>
    <w:p w14:paraId="3148543E">
      <w:pPr>
        <w:spacing w:line="360" w:lineRule="auto"/>
        <w:ind w:firstLine="2108" w:firstLineChars="750"/>
        <w:jc w:val="left"/>
        <w:rPr>
          <w:rFonts w:ascii="宋体" w:hAnsi="宋体" w:cs="宋体"/>
          <w:b/>
          <w:color w:val="000000" w:themeColor="text1"/>
          <w:sz w:val="28"/>
          <w:szCs w:val="28"/>
          <w:highlight w:val="none"/>
          <w:u w:val="singl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 xml:space="preserve">甲    方：  </w:t>
      </w:r>
      <w:r>
        <w:rPr>
          <w:rFonts w:hint="eastAsia" w:ascii="宋体" w:hAnsi="宋体" w:cs="宋体"/>
          <w:b/>
          <w:color w:val="000000" w:themeColor="text1"/>
          <w:sz w:val="28"/>
          <w:szCs w:val="28"/>
          <w:highlight w:val="none"/>
          <w:lang w:eastAsia="zh-CN"/>
          <w14:textFill>
            <w14:solidFill>
              <w14:schemeClr w14:val="tx1"/>
            </w14:solidFill>
          </w14:textFill>
        </w:rPr>
        <w:t>富平县</w:t>
      </w:r>
      <w:r>
        <w:rPr>
          <w:rFonts w:hint="eastAsia" w:ascii="宋体" w:hAnsi="宋体" w:cs="宋体"/>
          <w:b/>
          <w:color w:val="000000" w:themeColor="text1"/>
          <w:sz w:val="28"/>
          <w:szCs w:val="28"/>
          <w:highlight w:val="none"/>
          <w:lang w:val="en-US" w:eastAsia="zh-CN"/>
          <w14:textFill>
            <w14:solidFill>
              <w14:schemeClr w14:val="tx1"/>
            </w14:solidFill>
          </w14:textFill>
        </w:rPr>
        <w:t>庄里中心卫生院</w:t>
      </w:r>
      <w:r>
        <w:rPr>
          <w:rFonts w:hint="eastAsia" w:ascii="宋体" w:hAnsi="宋体" w:cs="宋体"/>
          <w:b/>
          <w:color w:val="000000" w:themeColor="text1"/>
          <w:sz w:val="28"/>
          <w:szCs w:val="28"/>
          <w:highlight w:val="none"/>
          <w14:textFill>
            <w14:solidFill>
              <w14:schemeClr w14:val="tx1"/>
            </w14:solidFill>
          </w14:textFill>
        </w:rPr>
        <w:t xml:space="preserve">   </w:t>
      </w:r>
    </w:p>
    <w:p w14:paraId="3ED4A837">
      <w:pPr>
        <w:spacing w:line="360" w:lineRule="auto"/>
        <w:ind w:firstLine="2108" w:firstLineChars="750"/>
        <w:jc w:val="left"/>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 xml:space="preserve">乙    方：  </w:t>
      </w:r>
    </w:p>
    <w:p w14:paraId="7F4609B6">
      <w:pPr>
        <w:spacing w:line="360" w:lineRule="auto"/>
        <w:ind w:firstLine="2108" w:firstLineChars="750"/>
        <w:jc w:val="left"/>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 xml:space="preserve">签订地点： </w:t>
      </w:r>
      <w:r>
        <w:rPr>
          <w:rFonts w:ascii="宋体" w:hAnsi="宋体" w:cs="宋体"/>
          <w:b/>
          <w:color w:val="000000" w:themeColor="text1"/>
          <w:sz w:val="28"/>
          <w:szCs w:val="28"/>
          <w:highlight w:val="none"/>
          <w14:textFill>
            <w14:solidFill>
              <w14:schemeClr w14:val="tx1"/>
            </w14:solidFill>
          </w14:textFill>
        </w:rPr>
        <w:t xml:space="preserve"> </w:t>
      </w:r>
    </w:p>
    <w:p w14:paraId="522C8853">
      <w:pPr>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br w:type="page"/>
      </w:r>
    </w:p>
    <w:p w14:paraId="0AD81D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买方（以下称为甲方）：</w:t>
      </w:r>
      <w:r>
        <w:rPr>
          <w:rFonts w:hint="eastAsia"/>
          <w:sz w:val="24"/>
          <w:szCs w:val="32"/>
        </w:rPr>
        <w:t>富平县庄里中心卫生院</w:t>
      </w:r>
    </w:p>
    <w:p w14:paraId="050F38A2">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地址：</w:t>
      </w:r>
    </w:p>
    <w:p w14:paraId="1D90032F">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联系人：此处填写项目负责人</w:t>
      </w:r>
      <w:r>
        <w:rPr>
          <w:rFonts w:hint="eastAsia" w:ascii="宋体" w:hAnsi="宋体" w:cs="宋体"/>
          <w:color w:val="000000" w:themeColor="text1"/>
          <w:highlight w:val="none"/>
          <w14:textFill>
            <w14:solidFill>
              <w14:schemeClr w14:val="tx1"/>
            </w14:solidFill>
          </w14:textFill>
        </w:rPr>
        <w:tab/>
      </w:r>
      <w:r>
        <w:rPr>
          <w:rFonts w:hint="eastAsia" w:ascii="宋体" w:hAnsi="宋体" w:cs="宋体"/>
          <w:color w:val="000000" w:themeColor="text1"/>
          <w:highlight w:val="none"/>
          <w14:textFill>
            <w14:solidFill>
              <w14:schemeClr w14:val="tx1"/>
            </w14:solidFill>
          </w14:textFill>
        </w:rPr>
        <w:t xml:space="preserve">               </w:t>
      </w:r>
    </w:p>
    <w:p w14:paraId="38D6D939">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联系电话：</w:t>
      </w:r>
      <w:r>
        <w:rPr>
          <w:rFonts w:hint="eastAsia" w:ascii="宋体" w:hAnsi="宋体" w:cs="宋体"/>
          <w:color w:val="000000" w:themeColor="text1"/>
          <w:highlight w:val="none"/>
          <w14:textFill>
            <w14:solidFill>
              <w14:schemeClr w14:val="tx1"/>
            </w14:solidFill>
          </w14:textFill>
        </w:rPr>
        <w:tab/>
      </w:r>
    </w:p>
    <w:p w14:paraId="25582D8F">
      <w:pPr>
        <w:spacing w:line="360" w:lineRule="auto"/>
        <w:rPr>
          <w:rFonts w:ascii="宋体" w:hAnsi="宋体" w:cs="宋体"/>
          <w:color w:val="000000" w:themeColor="text1"/>
          <w:highlight w:val="none"/>
          <w14:textFill>
            <w14:solidFill>
              <w14:schemeClr w14:val="tx1"/>
            </w14:solidFill>
          </w14:textFill>
        </w:rPr>
      </w:pPr>
    </w:p>
    <w:p w14:paraId="42D89639">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卖方（以下称为乙方）：                  </w:t>
      </w:r>
    </w:p>
    <w:p w14:paraId="0A07E94B">
      <w:pPr>
        <w:spacing w:line="36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地址：</w:t>
      </w:r>
    </w:p>
    <w:p w14:paraId="6C8D9AE4">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联系人：                                  </w:t>
      </w:r>
    </w:p>
    <w:p w14:paraId="0F7C02F5">
      <w:pPr>
        <w:spacing w:line="360" w:lineRule="auto"/>
        <w:rPr>
          <w:rFonts w:ascii="Arial" w:hAnsi="宋体" w:cs="Arial"/>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联系电话： </w:t>
      </w:r>
    </w:p>
    <w:p w14:paraId="238A3AA9">
      <w:pPr>
        <w:spacing w:line="360" w:lineRule="auto"/>
        <w:ind w:firstLine="480" w:firstLineChars="200"/>
        <w:rPr>
          <w:rFonts w:ascii="Arial" w:hAnsi="Arial" w:cs="Arial"/>
          <w:color w:val="000000" w:themeColor="text1"/>
          <w:highlight w:val="none"/>
          <w14:textFill>
            <w14:solidFill>
              <w14:schemeClr w14:val="tx1"/>
            </w14:solidFill>
          </w14:textFill>
        </w:rPr>
      </w:pPr>
      <w:r>
        <w:rPr>
          <w:rFonts w:hint="eastAsia" w:ascii="Arial" w:hAnsi="宋体" w:cs="Arial"/>
          <w:color w:val="000000" w:themeColor="text1"/>
          <w:highlight w:val="none"/>
          <w14:textFill>
            <w14:solidFill>
              <w14:schemeClr w14:val="tx1"/>
            </w14:solidFill>
          </w14:textFill>
        </w:rPr>
        <w:t>依照《</w:t>
      </w:r>
      <w:r>
        <w:rPr>
          <w:rFonts w:hint="eastAsia" w:ascii="宋体" w:hAnsi="宋体"/>
          <w:color w:val="000000" w:themeColor="text1"/>
          <w:highlight w:val="none"/>
          <w14:textFill>
            <w14:solidFill>
              <w14:schemeClr w14:val="tx1"/>
            </w14:solidFill>
          </w14:textFill>
        </w:rPr>
        <w:t>中华人民共和国民法典</w:t>
      </w:r>
      <w:r>
        <w:rPr>
          <w:rFonts w:hint="eastAsia" w:ascii="Arial" w:hAnsi="宋体" w:cs="Arial"/>
          <w:color w:val="000000" w:themeColor="text1"/>
          <w:highlight w:val="none"/>
          <w14:textFill>
            <w14:solidFill>
              <w14:schemeClr w14:val="tx1"/>
            </w14:solidFill>
          </w14:textFill>
        </w:rPr>
        <w:t>》及其他有关法律、行政法规，甲乙双方本着诚实、信用、公平、友好协商的原则，就</w:t>
      </w:r>
      <w:r>
        <w:rPr>
          <w:rFonts w:hint="eastAsia" w:ascii="Arial" w:hAnsi="宋体" w:cs="Arial"/>
          <w:color w:val="000000" w:themeColor="text1"/>
          <w:highlight w:val="none"/>
          <w:u w:val="single"/>
          <w14:textFill>
            <w14:solidFill>
              <w14:schemeClr w14:val="tx1"/>
            </w14:solidFill>
          </w14:textFill>
        </w:rPr>
        <w:t xml:space="preserve">    （项目名称）       </w:t>
      </w:r>
      <w:r>
        <w:rPr>
          <w:rFonts w:hint="eastAsia" w:ascii="Arial" w:hAnsi="宋体" w:cs="Arial"/>
          <w:color w:val="000000" w:themeColor="text1"/>
          <w:highlight w:val="none"/>
          <w14:textFill>
            <w14:solidFill>
              <w14:schemeClr w14:val="tx1"/>
            </w14:solidFill>
          </w14:textFill>
        </w:rPr>
        <w:t>协商一致，在完全自愿及清楚并理解本合同条款的基础上，订立本合同。</w:t>
      </w:r>
    </w:p>
    <w:p w14:paraId="08F92E14">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Arial" w:hAnsi="宋体" w:cs="Arial"/>
          <w:color w:val="000000" w:themeColor="text1"/>
          <w:highlight w:val="none"/>
          <w:u w:val="single"/>
          <w14:textFill>
            <w14:solidFill>
              <w14:schemeClr w14:val="tx1"/>
            </w14:solidFill>
          </w14:textFill>
        </w:rPr>
        <w:t xml:space="preserve">（项目名称） </w:t>
      </w:r>
      <w:r>
        <w:rPr>
          <w:rFonts w:hint="eastAsia" w:ascii="宋体" w:hAnsi="宋体" w:cs="宋体"/>
          <w:color w:val="000000" w:themeColor="text1"/>
          <w:szCs w:val="24"/>
          <w:highlight w:val="none"/>
          <w14:textFill>
            <w14:solidFill>
              <w14:schemeClr w14:val="tx1"/>
            </w14:solidFill>
          </w14:textFill>
        </w:rPr>
        <w:t>，经组织</w:t>
      </w:r>
      <w:r>
        <w:rPr>
          <w:rFonts w:hint="eastAsia" w:ascii="宋体" w:hAnsi="宋体" w:cs="宋体"/>
          <w:color w:val="000000" w:themeColor="text1"/>
          <w:szCs w:val="24"/>
          <w:highlight w:val="none"/>
          <w:lang w:val="en-US" w:eastAsia="zh-CN"/>
          <w14:textFill>
            <w14:solidFill>
              <w14:schemeClr w14:val="tx1"/>
            </w14:solidFill>
          </w14:textFill>
        </w:rPr>
        <w:t>单一来源</w:t>
      </w:r>
      <w:r>
        <w:rPr>
          <w:rFonts w:hint="eastAsia" w:ascii="宋体" w:hAnsi="宋体" w:cs="宋体"/>
          <w:color w:val="000000" w:themeColor="text1"/>
          <w:szCs w:val="24"/>
          <w:highlight w:val="none"/>
          <w14:textFill>
            <w14:solidFill>
              <w14:schemeClr w14:val="tx1"/>
            </w14:solidFill>
          </w14:textFill>
        </w:rPr>
        <w:t>，选定为</w:t>
      </w:r>
      <w:r>
        <w:rPr>
          <w:rFonts w:hint="eastAsia" w:ascii="宋体" w:hAnsi="宋体" w:cs="宋体"/>
          <w:color w:val="000000" w:themeColor="text1"/>
          <w:szCs w:val="24"/>
          <w:highlight w:val="none"/>
          <w:u w:val="single"/>
          <w14:textFill>
            <w14:solidFill>
              <w14:schemeClr w14:val="tx1"/>
            </w14:solidFill>
          </w14:textFill>
        </w:rPr>
        <w:t xml:space="preserve">         </w:t>
      </w:r>
      <w:r>
        <w:rPr>
          <w:rFonts w:hint="eastAsia" w:ascii="宋体" w:hAnsi="宋体" w:cs="宋体"/>
          <w:color w:val="000000" w:themeColor="text1"/>
          <w:szCs w:val="24"/>
          <w:highlight w:val="none"/>
          <w14:textFill>
            <w14:solidFill>
              <w14:schemeClr w14:val="tx1"/>
            </w14:solidFill>
          </w14:textFill>
        </w:rPr>
        <w:t>的</w:t>
      </w:r>
      <w:r>
        <w:rPr>
          <w:rFonts w:hint="eastAsia" w:ascii="宋体" w:hAnsi="宋体" w:cs="宋体"/>
          <w:color w:val="000000" w:themeColor="text1"/>
          <w:szCs w:val="24"/>
          <w:highlight w:val="none"/>
          <w:lang w:val="en-US" w:eastAsia="zh-CN"/>
          <w14:textFill>
            <w14:solidFill>
              <w14:schemeClr w14:val="tx1"/>
            </w14:solidFill>
          </w14:textFill>
        </w:rPr>
        <w:t>成交</w:t>
      </w:r>
      <w:r>
        <w:rPr>
          <w:rFonts w:hint="eastAsia" w:ascii="宋体" w:hAnsi="宋体" w:cs="宋体"/>
          <w:color w:val="000000" w:themeColor="text1"/>
          <w:szCs w:val="24"/>
          <w:highlight w:val="none"/>
          <w14:textFill>
            <w14:solidFill>
              <w14:schemeClr w14:val="tx1"/>
            </w14:solidFill>
          </w14:textFill>
        </w:rPr>
        <w:t>单位。经甲、乙双方共同协商，达成如下合同条款。</w:t>
      </w:r>
    </w:p>
    <w:p w14:paraId="5A697015">
      <w:pPr>
        <w:tabs>
          <w:tab w:val="left" w:pos="480"/>
        </w:tabs>
        <w:spacing w:line="360" w:lineRule="auto"/>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一、合同内容</w:t>
      </w:r>
    </w:p>
    <w:p w14:paraId="19FDC606">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l、乙方负责按合同中确定的产品品牌、规格、型号、数量、原产地及配套内容进行供货；按时运到甲方指定的交货地点，负责产品到货后安装调试工作，达到正常使用；负责为甲方培训操作、维护人员，指导操作使用维修保养，做好售后服务工作；</w:t>
      </w:r>
    </w:p>
    <w:p w14:paraId="37A29957">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.采购</w:t>
      </w:r>
      <w:r>
        <w:rPr>
          <w:rFonts w:hint="eastAsia" w:ascii="宋体" w:hAnsi="宋体" w:cs="宋体"/>
          <w:color w:val="000000" w:themeColor="text1"/>
          <w:szCs w:val="24"/>
          <w:highlight w:val="none"/>
          <w14:textFill>
            <w14:solidFill>
              <w14:schemeClr w14:val="tx1"/>
            </w14:solidFill>
          </w14:textFill>
        </w:rPr>
        <w:t>文件、乙方的</w:t>
      </w:r>
      <w:r>
        <w:rPr>
          <w:rFonts w:hint="eastAsia" w:ascii="宋体" w:hAnsi="宋体" w:cs="宋体"/>
          <w:color w:val="000000" w:themeColor="text1"/>
          <w:szCs w:val="24"/>
          <w:highlight w:val="none"/>
          <w:lang w:val="en-US" w:eastAsia="zh-CN"/>
          <w14:textFill>
            <w14:solidFill>
              <w14:schemeClr w14:val="tx1"/>
            </w14:solidFill>
          </w14:textFill>
        </w:rPr>
        <w:t>响应</w:t>
      </w:r>
      <w:r>
        <w:rPr>
          <w:rFonts w:hint="eastAsia" w:ascii="宋体" w:hAnsi="宋体" w:cs="宋体"/>
          <w:color w:val="000000" w:themeColor="text1"/>
          <w:szCs w:val="24"/>
          <w:highlight w:val="none"/>
          <w14:textFill>
            <w14:solidFill>
              <w14:schemeClr w14:val="tx1"/>
            </w14:solidFill>
          </w14:textFill>
        </w:rPr>
        <w:t>文件及</w:t>
      </w:r>
      <w:r>
        <w:rPr>
          <w:rFonts w:hint="eastAsia" w:ascii="宋体" w:hAnsi="宋体" w:cs="宋体"/>
          <w:color w:val="000000" w:themeColor="text1"/>
          <w:szCs w:val="24"/>
          <w:highlight w:val="none"/>
          <w:lang w:val="en-US" w:eastAsia="zh-CN"/>
          <w14:textFill>
            <w14:solidFill>
              <w14:schemeClr w14:val="tx1"/>
            </w14:solidFill>
          </w14:textFill>
        </w:rPr>
        <w:t>协商</w:t>
      </w:r>
      <w:r>
        <w:rPr>
          <w:rFonts w:hint="eastAsia" w:ascii="宋体" w:hAnsi="宋体" w:cs="宋体"/>
          <w:color w:val="000000" w:themeColor="text1"/>
          <w:szCs w:val="24"/>
          <w:highlight w:val="none"/>
          <w14:textFill>
            <w14:solidFill>
              <w14:schemeClr w14:val="tx1"/>
            </w14:solidFill>
          </w14:textFill>
        </w:rPr>
        <w:t>过程中的澄清、承诺内容均作为本合同的组成部分，具有同等法律效力。</w:t>
      </w:r>
    </w:p>
    <w:p w14:paraId="73E16B2E">
      <w:pPr>
        <w:spacing w:line="360" w:lineRule="auto"/>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二、合同价款及质保期</w:t>
      </w:r>
    </w:p>
    <w:p w14:paraId="29D9B5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highlight w:val="none"/>
          <w:lang w:val="en-US" w:eastAsia="zh-CN"/>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中标产品品牌、规格、产地、数量、单价及合同总价：     单位：元</w:t>
      </w:r>
    </w:p>
    <w:tbl>
      <w:tblPr>
        <w:tblStyle w:val="5"/>
        <w:tblW w:w="87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630"/>
        <w:gridCol w:w="720"/>
        <w:gridCol w:w="1035"/>
        <w:gridCol w:w="1235"/>
        <w:gridCol w:w="730"/>
        <w:gridCol w:w="855"/>
        <w:gridCol w:w="637"/>
        <w:gridCol w:w="848"/>
        <w:gridCol w:w="845"/>
      </w:tblGrid>
      <w:tr w14:paraId="0409B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14:paraId="202711D0">
            <w:pPr>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设备名称</w:t>
            </w: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14:paraId="15E311D0">
            <w:pPr>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设备品牌</w:t>
            </w:r>
          </w:p>
        </w:tc>
        <w:tc>
          <w:tcPr>
            <w:tcW w:w="1035" w:type="dxa"/>
            <w:tcBorders>
              <w:top w:val="single" w:color="auto" w:sz="4" w:space="0"/>
              <w:left w:val="single" w:color="auto" w:sz="4" w:space="0"/>
              <w:bottom w:val="single" w:color="auto" w:sz="4" w:space="0"/>
              <w:right w:val="single" w:color="auto" w:sz="4" w:space="0"/>
            </w:tcBorders>
            <w:noWrap/>
            <w:vAlign w:val="center"/>
          </w:tcPr>
          <w:p w14:paraId="432F0359">
            <w:pPr>
              <w:spacing w:line="360" w:lineRule="auto"/>
              <w:jc w:val="center"/>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制造商</w:t>
            </w:r>
          </w:p>
        </w:tc>
        <w:tc>
          <w:tcPr>
            <w:tcW w:w="1235" w:type="dxa"/>
            <w:tcBorders>
              <w:top w:val="single" w:color="auto" w:sz="4" w:space="0"/>
              <w:left w:val="single" w:color="auto" w:sz="4" w:space="0"/>
              <w:bottom w:val="single" w:color="auto" w:sz="4" w:space="0"/>
              <w:right w:val="single" w:color="auto" w:sz="4" w:space="0"/>
            </w:tcBorders>
            <w:noWrap/>
            <w:vAlign w:val="center"/>
          </w:tcPr>
          <w:p w14:paraId="7DA03C4E">
            <w:pPr>
              <w:spacing w:line="360" w:lineRule="auto"/>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规格型号</w:t>
            </w:r>
          </w:p>
        </w:tc>
        <w:tc>
          <w:tcPr>
            <w:tcW w:w="730" w:type="dxa"/>
            <w:tcBorders>
              <w:top w:val="single" w:color="auto" w:sz="4" w:space="0"/>
              <w:left w:val="single" w:color="auto" w:sz="4" w:space="0"/>
              <w:bottom w:val="single" w:color="auto" w:sz="4" w:space="0"/>
              <w:right w:val="single" w:color="auto" w:sz="4" w:space="0"/>
            </w:tcBorders>
            <w:noWrap/>
            <w:vAlign w:val="center"/>
          </w:tcPr>
          <w:p w14:paraId="0736676A">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单位</w:t>
            </w:r>
          </w:p>
        </w:tc>
        <w:tc>
          <w:tcPr>
            <w:tcW w:w="855" w:type="dxa"/>
            <w:tcBorders>
              <w:top w:val="single" w:color="auto" w:sz="4" w:space="0"/>
              <w:left w:val="single" w:color="auto" w:sz="4" w:space="0"/>
              <w:bottom w:val="single" w:color="auto" w:sz="4" w:space="0"/>
              <w:right w:val="single" w:color="auto" w:sz="4" w:space="0"/>
            </w:tcBorders>
            <w:noWrap/>
            <w:vAlign w:val="center"/>
          </w:tcPr>
          <w:p w14:paraId="4D29F059">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数量</w:t>
            </w:r>
          </w:p>
        </w:tc>
        <w:tc>
          <w:tcPr>
            <w:tcW w:w="637" w:type="dxa"/>
            <w:tcBorders>
              <w:top w:val="single" w:color="auto" w:sz="4" w:space="0"/>
              <w:left w:val="single" w:color="auto" w:sz="4" w:space="0"/>
              <w:bottom w:val="single" w:color="auto" w:sz="4" w:space="0"/>
              <w:right w:val="single" w:color="auto" w:sz="4" w:space="0"/>
            </w:tcBorders>
            <w:noWrap/>
            <w:vAlign w:val="center"/>
          </w:tcPr>
          <w:p w14:paraId="5CF671ED">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单价</w:t>
            </w:r>
          </w:p>
        </w:tc>
        <w:tc>
          <w:tcPr>
            <w:tcW w:w="848" w:type="dxa"/>
            <w:tcBorders>
              <w:top w:val="single" w:color="auto" w:sz="4" w:space="0"/>
              <w:left w:val="single" w:color="auto" w:sz="4" w:space="0"/>
              <w:bottom w:val="single" w:color="auto" w:sz="4" w:space="0"/>
              <w:right w:val="single" w:color="auto" w:sz="4" w:space="0"/>
            </w:tcBorders>
            <w:noWrap/>
            <w:vAlign w:val="center"/>
          </w:tcPr>
          <w:p w14:paraId="757D8B01">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合计</w:t>
            </w:r>
          </w:p>
        </w:tc>
        <w:tc>
          <w:tcPr>
            <w:tcW w:w="845" w:type="dxa"/>
            <w:tcBorders>
              <w:top w:val="single" w:color="auto" w:sz="4" w:space="0"/>
              <w:left w:val="single" w:color="auto" w:sz="4" w:space="0"/>
              <w:bottom w:val="single" w:color="auto" w:sz="4" w:space="0"/>
              <w:right w:val="single" w:color="auto" w:sz="4" w:space="0"/>
            </w:tcBorders>
            <w:noWrap/>
            <w:vAlign w:val="center"/>
          </w:tcPr>
          <w:p w14:paraId="6C4A9381">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质保期</w:t>
            </w:r>
          </w:p>
        </w:tc>
      </w:tr>
      <w:tr w14:paraId="70B42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14:paraId="0497A8E4">
            <w:pPr>
              <w:spacing w:line="360" w:lineRule="auto"/>
              <w:rPr>
                <w:rFonts w:ascii="宋体" w:hAnsi="宋体" w:cs="宋体"/>
                <w:color w:val="000000" w:themeColor="text1"/>
                <w:highlight w:val="none"/>
                <w14:textFill>
                  <w14:solidFill>
                    <w14:schemeClr w14:val="tx1"/>
                  </w14:solidFill>
                </w14:textFill>
              </w:rPr>
            </w:pP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14:paraId="4936F238">
            <w:pPr>
              <w:spacing w:line="360" w:lineRule="auto"/>
              <w:rPr>
                <w:rFonts w:ascii="宋体" w:hAnsi="宋体" w:cs="宋体"/>
                <w:color w:val="000000" w:themeColor="text1"/>
                <w:highlight w:val="none"/>
                <w14:textFill>
                  <w14:solidFill>
                    <w14:schemeClr w14:val="tx1"/>
                  </w14:solidFill>
                </w14:textFill>
              </w:rPr>
            </w:pPr>
          </w:p>
        </w:tc>
        <w:tc>
          <w:tcPr>
            <w:tcW w:w="1035" w:type="dxa"/>
            <w:tcBorders>
              <w:top w:val="single" w:color="auto" w:sz="4" w:space="0"/>
              <w:left w:val="single" w:color="auto" w:sz="4" w:space="0"/>
              <w:bottom w:val="single" w:color="auto" w:sz="4" w:space="0"/>
              <w:right w:val="single" w:color="auto" w:sz="4" w:space="0"/>
            </w:tcBorders>
            <w:noWrap/>
            <w:vAlign w:val="center"/>
          </w:tcPr>
          <w:p w14:paraId="5BF71B72">
            <w:pPr>
              <w:spacing w:line="360" w:lineRule="auto"/>
              <w:rPr>
                <w:rFonts w:ascii="宋体" w:hAnsi="宋体" w:cs="宋体"/>
                <w:color w:val="000000" w:themeColor="text1"/>
                <w:highlight w:val="none"/>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noWrap/>
            <w:vAlign w:val="center"/>
          </w:tcPr>
          <w:p w14:paraId="31E4BABC">
            <w:pPr>
              <w:spacing w:line="360" w:lineRule="auto"/>
              <w:rPr>
                <w:rFonts w:ascii="宋体" w:hAnsi="宋体" w:cs="宋体"/>
                <w:color w:val="000000" w:themeColor="text1"/>
                <w:highlight w:val="none"/>
                <w14:textFill>
                  <w14:solidFill>
                    <w14:schemeClr w14:val="tx1"/>
                  </w14:solidFill>
                </w14:textFill>
              </w:rPr>
            </w:pPr>
          </w:p>
        </w:tc>
        <w:tc>
          <w:tcPr>
            <w:tcW w:w="730" w:type="dxa"/>
            <w:tcBorders>
              <w:top w:val="single" w:color="auto" w:sz="4" w:space="0"/>
              <w:left w:val="single" w:color="auto" w:sz="4" w:space="0"/>
              <w:bottom w:val="single" w:color="auto" w:sz="4" w:space="0"/>
              <w:right w:val="single" w:color="auto" w:sz="4" w:space="0"/>
            </w:tcBorders>
            <w:noWrap/>
            <w:vAlign w:val="center"/>
          </w:tcPr>
          <w:p w14:paraId="2EDC7B5D">
            <w:pPr>
              <w:spacing w:line="360" w:lineRule="auto"/>
              <w:rPr>
                <w:rFonts w:ascii="宋体" w:hAnsi="宋体" w:cs="宋体"/>
                <w:color w:val="000000" w:themeColor="text1"/>
                <w:highlight w:val="none"/>
                <w14:textFill>
                  <w14:solidFill>
                    <w14:schemeClr w14:val="tx1"/>
                  </w14:solidFill>
                </w14:textFill>
              </w:rPr>
            </w:pPr>
          </w:p>
        </w:tc>
        <w:tc>
          <w:tcPr>
            <w:tcW w:w="855" w:type="dxa"/>
            <w:tcBorders>
              <w:top w:val="single" w:color="auto" w:sz="4" w:space="0"/>
              <w:left w:val="single" w:color="auto" w:sz="4" w:space="0"/>
              <w:bottom w:val="single" w:color="auto" w:sz="4" w:space="0"/>
              <w:right w:val="single" w:color="auto" w:sz="4" w:space="0"/>
            </w:tcBorders>
            <w:noWrap/>
            <w:vAlign w:val="center"/>
          </w:tcPr>
          <w:p w14:paraId="5B757A0C">
            <w:pPr>
              <w:spacing w:line="360" w:lineRule="auto"/>
              <w:rPr>
                <w:rFonts w:ascii="宋体" w:hAnsi="宋体" w:cs="宋体"/>
                <w:color w:val="000000" w:themeColor="text1"/>
                <w:highlight w:val="none"/>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cBorders>
            <w:noWrap/>
            <w:vAlign w:val="center"/>
          </w:tcPr>
          <w:p w14:paraId="44D80157">
            <w:pPr>
              <w:spacing w:line="360" w:lineRule="auto"/>
              <w:rPr>
                <w:rFonts w:ascii="宋体" w:hAnsi="宋体" w:cs="宋体"/>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noWrap/>
            <w:vAlign w:val="center"/>
          </w:tcPr>
          <w:p w14:paraId="2DB83E6C">
            <w:pPr>
              <w:spacing w:line="360" w:lineRule="auto"/>
              <w:rPr>
                <w:rFonts w:ascii="宋体" w:hAnsi="宋体" w:cs="宋体"/>
                <w:color w:val="000000" w:themeColor="text1"/>
                <w:highlight w:val="none"/>
                <w14:textFill>
                  <w14:solidFill>
                    <w14:schemeClr w14:val="tx1"/>
                  </w14:solidFill>
                </w14:textFill>
              </w:rPr>
            </w:pPr>
          </w:p>
        </w:tc>
        <w:tc>
          <w:tcPr>
            <w:tcW w:w="845" w:type="dxa"/>
            <w:tcBorders>
              <w:top w:val="single" w:color="auto" w:sz="4" w:space="0"/>
              <w:left w:val="single" w:color="auto" w:sz="4" w:space="0"/>
              <w:bottom w:val="single" w:color="auto" w:sz="4" w:space="0"/>
              <w:right w:val="single" w:color="auto" w:sz="4" w:space="0"/>
            </w:tcBorders>
            <w:noWrap/>
            <w:vAlign w:val="center"/>
          </w:tcPr>
          <w:p w14:paraId="103F8A95">
            <w:pPr>
              <w:spacing w:line="360" w:lineRule="auto"/>
              <w:rPr>
                <w:rFonts w:ascii="宋体" w:hAnsi="宋体" w:cs="宋体"/>
                <w:color w:val="000000" w:themeColor="text1"/>
                <w:highlight w:val="none"/>
                <w14:textFill>
                  <w14:solidFill>
                    <w14:schemeClr w14:val="tx1"/>
                  </w14:solidFill>
                </w14:textFill>
              </w:rPr>
            </w:pPr>
          </w:p>
        </w:tc>
      </w:tr>
      <w:tr w14:paraId="78FC9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14:paraId="4A09185A">
            <w:pPr>
              <w:spacing w:line="360" w:lineRule="auto"/>
              <w:rPr>
                <w:rFonts w:ascii="宋体" w:hAnsi="宋体" w:cs="宋体"/>
                <w:color w:val="000000" w:themeColor="text1"/>
                <w:highlight w:val="none"/>
                <w14:textFill>
                  <w14:solidFill>
                    <w14:schemeClr w14:val="tx1"/>
                  </w14:solidFill>
                </w14:textFill>
              </w:rPr>
            </w:pP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14:paraId="59F812E1">
            <w:pPr>
              <w:spacing w:line="360" w:lineRule="auto"/>
              <w:rPr>
                <w:rFonts w:ascii="宋体" w:hAnsi="宋体" w:cs="宋体"/>
                <w:color w:val="000000" w:themeColor="text1"/>
                <w:highlight w:val="none"/>
                <w14:textFill>
                  <w14:solidFill>
                    <w14:schemeClr w14:val="tx1"/>
                  </w14:solidFill>
                </w14:textFill>
              </w:rPr>
            </w:pPr>
          </w:p>
        </w:tc>
        <w:tc>
          <w:tcPr>
            <w:tcW w:w="1035" w:type="dxa"/>
            <w:tcBorders>
              <w:top w:val="single" w:color="auto" w:sz="4" w:space="0"/>
              <w:left w:val="single" w:color="auto" w:sz="4" w:space="0"/>
              <w:bottom w:val="single" w:color="auto" w:sz="4" w:space="0"/>
              <w:right w:val="single" w:color="auto" w:sz="4" w:space="0"/>
            </w:tcBorders>
            <w:noWrap/>
            <w:vAlign w:val="center"/>
          </w:tcPr>
          <w:p w14:paraId="1CF927F1">
            <w:pPr>
              <w:spacing w:line="360" w:lineRule="auto"/>
              <w:rPr>
                <w:rFonts w:ascii="宋体" w:hAnsi="宋体" w:cs="宋体"/>
                <w:color w:val="000000" w:themeColor="text1"/>
                <w:highlight w:val="none"/>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noWrap/>
            <w:vAlign w:val="center"/>
          </w:tcPr>
          <w:p w14:paraId="1D7E191A">
            <w:pPr>
              <w:spacing w:line="360" w:lineRule="auto"/>
              <w:rPr>
                <w:rFonts w:ascii="宋体" w:hAnsi="宋体" w:cs="宋体"/>
                <w:color w:val="000000" w:themeColor="text1"/>
                <w:highlight w:val="none"/>
                <w14:textFill>
                  <w14:solidFill>
                    <w14:schemeClr w14:val="tx1"/>
                  </w14:solidFill>
                </w14:textFill>
              </w:rPr>
            </w:pPr>
          </w:p>
        </w:tc>
        <w:tc>
          <w:tcPr>
            <w:tcW w:w="730" w:type="dxa"/>
            <w:tcBorders>
              <w:top w:val="single" w:color="auto" w:sz="4" w:space="0"/>
              <w:left w:val="single" w:color="auto" w:sz="4" w:space="0"/>
              <w:bottom w:val="single" w:color="auto" w:sz="4" w:space="0"/>
              <w:right w:val="single" w:color="auto" w:sz="4" w:space="0"/>
            </w:tcBorders>
            <w:noWrap/>
            <w:vAlign w:val="center"/>
          </w:tcPr>
          <w:p w14:paraId="0995B80A">
            <w:pPr>
              <w:spacing w:line="360" w:lineRule="auto"/>
              <w:rPr>
                <w:rFonts w:ascii="宋体" w:hAnsi="宋体" w:cs="宋体"/>
                <w:color w:val="000000" w:themeColor="text1"/>
                <w:highlight w:val="none"/>
                <w14:textFill>
                  <w14:solidFill>
                    <w14:schemeClr w14:val="tx1"/>
                  </w14:solidFill>
                </w14:textFill>
              </w:rPr>
            </w:pPr>
          </w:p>
        </w:tc>
        <w:tc>
          <w:tcPr>
            <w:tcW w:w="855" w:type="dxa"/>
            <w:tcBorders>
              <w:top w:val="single" w:color="auto" w:sz="4" w:space="0"/>
              <w:left w:val="single" w:color="auto" w:sz="4" w:space="0"/>
              <w:bottom w:val="single" w:color="auto" w:sz="4" w:space="0"/>
              <w:right w:val="single" w:color="auto" w:sz="4" w:space="0"/>
            </w:tcBorders>
            <w:noWrap/>
            <w:vAlign w:val="center"/>
          </w:tcPr>
          <w:p w14:paraId="4FC216F2">
            <w:pPr>
              <w:spacing w:line="360" w:lineRule="auto"/>
              <w:rPr>
                <w:rFonts w:ascii="宋体" w:hAnsi="宋体" w:cs="宋体"/>
                <w:color w:val="000000" w:themeColor="text1"/>
                <w:highlight w:val="none"/>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cBorders>
            <w:noWrap/>
            <w:vAlign w:val="center"/>
          </w:tcPr>
          <w:p w14:paraId="63F72E69">
            <w:pPr>
              <w:spacing w:line="360" w:lineRule="auto"/>
              <w:rPr>
                <w:rFonts w:ascii="宋体" w:hAnsi="宋体" w:cs="宋体"/>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noWrap/>
            <w:vAlign w:val="center"/>
          </w:tcPr>
          <w:p w14:paraId="1CBC4C96">
            <w:pPr>
              <w:spacing w:line="360" w:lineRule="auto"/>
              <w:rPr>
                <w:rFonts w:ascii="宋体" w:hAnsi="宋体" w:cs="宋体"/>
                <w:color w:val="000000" w:themeColor="text1"/>
                <w:highlight w:val="none"/>
                <w14:textFill>
                  <w14:solidFill>
                    <w14:schemeClr w14:val="tx1"/>
                  </w14:solidFill>
                </w14:textFill>
              </w:rPr>
            </w:pPr>
          </w:p>
        </w:tc>
        <w:tc>
          <w:tcPr>
            <w:tcW w:w="845" w:type="dxa"/>
            <w:tcBorders>
              <w:top w:val="single" w:color="auto" w:sz="4" w:space="0"/>
              <w:left w:val="single" w:color="auto" w:sz="4" w:space="0"/>
              <w:bottom w:val="single" w:color="auto" w:sz="4" w:space="0"/>
              <w:right w:val="single" w:color="auto" w:sz="4" w:space="0"/>
            </w:tcBorders>
            <w:noWrap/>
            <w:vAlign w:val="center"/>
          </w:tcPr>
          <w:p w14:paraId="7ED2D32E">
            <w:pPr>
              <w:spacing w:line="360" w:lineRule="auto"/>
              <w:rPr>
                <w:rFonts w:ascii="宋体" w:hAnsi="宋体" w:cs="宋体"/>
                <w:color w:val="000000" w:themeColor="text1"/>
                <w:highlight w:val="none"/>
                <w14:textFill>
                  <w14:solidFill>
                    <w14:schemeClr w14:val="tx1"/>
                  </w14:solidFill>
                </w14:textFill>
              </w:rPr>
            </w:pPr>
          </w:p>
        </w:tc>
      </w:tr>
      <w:tr w14:paraId="656D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14:paraId="0C4E1939">
            <w:pPr>
              <w:spacing w:line="360" w:lineRule="auto"/>
              <w:rPr>
                <w:rFonts w:ascii="宋体" w:hAnsi="宋体" w:cs="宋体"/>
                <w:color w:val="000000" w:themeColor="text1"/>
                <w:highlight w:val="none"/>
                <w14:textFill>
                  <w14:solidFill>
                    <w14:schemeClr w14:val="tx1"/>
                  </w14:solidFill>
                </w14:textFill>
              </w:rPr>
            </w:pP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14:paraId="2B2A5655">
            <w:pPr>
              <w:spacing w:line="360" w:lineRule="auto"/>
              <w:rPr>
                <w:rFonts w:ascii="宋体" w:hAnsi="宋体" w:cs="宋体"/>
                <w:color w:val="000000" w:themeColor="text1"/>
                <w:highlight w:val="none"/>
                <w14:textFill>
                  <w14:solidFill>
                    <w14:schemeClr w14:val="tx1"/>
                  </w14:solidFill>
                </w14:textFill>
              </w:rPr>
            </w:pPr>
          </w:p>
        </w:tc>
        <w:tc>
          <w:tcPr>
            <w:tcW w:w="1035" w:type="dxa"/>
            <w:tcBorders>
              <w:top w:val="single" w:color="auto" w:sz="4" w:space="0"/>
              <w:left w:val="single" w:color="auto" w:sz="4" w:space="0"/>
              <w:bottom w:val="single" w:color="auto" w:sz="4" w:space="0"/>
              <w:right w:val="single" w:color="auto" w:sz="4" w:space="0"/>
            </w:tcBorders>
            <w:noWrap/>
            <w:vAlign w:val="center"/>
          </w:tcPr>
          <w:p w14:paraId="123EBE51">
            <w:pPr>
              <w:spacing w:line="360" w:lineRule="auto"/>
              <w:rPr>
                <w:rFonts w:ascii="宋体" w:hAnsi="宋体" w:cs="宋体"/>
                <w:color w:val="000000" w:themeColor="text1"/>
                <w:highlight w:val="none"/>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noWrap/>
            <w:vAlign w:val="center"/>
          </w:tcPr>
          <w:p w14:paraId="0C17EF30">
            <w:pPr>
              <w:spacing w:line="360" w:lineRule="auto"/>
              <w:rPr>
                <w:rFonts w:ascii="宋体" w:hAnsi="宋体" w:cs="宋体"/>
                <w:color w:val="000000" w:themeColor="text1"/>
                <w:highlight w:val="none"/>
                <w14:textFill>
                  <w14:solidFill>
                    <w14:schemeClr w14:val="tx1"/>
                  </w14:solidFill>
                </w14:textFill>
              </w:rPr>
            </w:pPr>
          </w:p>
        </w:tc>
        <w:tc>
          <w:tcPr>
            <w:tcW w:w="730" w:type="dxa"/>
            <w:tcBorders>
              <w:top w:val="single" w:color="auto" w:sz="4" w:space="0"/>
              <w:left w:val="single" w:color="auto" w:sz="4" w:space="0"/>
              <w:bottom w:val="single" w:color="auto" w:sz="4" w:space="0"/>
              <w:right w:val="single" w:color="auto" w:sz="4" w:space="0"/>
            </w:tcBorders>
            <w:noWrap/>
            <w:vAlign w:val="center"/>
          </w:tcPr>
          <w:p w14:paraId="0D3FBC0A">
            <w:pPr>
              <w:spacing w:line="360" w:lineRule="auto"/>
              <w:rPr>
                <w:rFonts w:ascii="宋体" w:hAnsi="宋体" w:cs="宋体"/>
                <w:color w:val="000000" w:themeColor="text1"/>
                <w:highlight w:val="none"/>
                <w14:textFill>
                  <w14:solidFill>
                    <w14:schemeClr w14:val="tx1"/>
                  </w14:solidFill>
                </w14:textFill>
              </w:rPr>
            </w:pPr>
          </w:p>
        </w:tc>
        <w:tc>
          <w:tcPr>
            <w:tcW w:w="855" w:type="dxa"/>
            <w:tcBorders>
              <w:top w:val="single" w:color="auto" w:sz="4" w:space="0"/>
              <w:left w:val="single" w:color="auto" w:sz="4" w:space="0"/>
              <w:bottom w:val="single" w:color="auto" w:sz="4" w:space="0"/>
              <w:right w:val="single" w:color="auto" w:sz="4" w:space="0"/>
            </w:tcBorders>
            <w:noWrap/>
            <w:vAlign w:val="center"/>
          </w:tcPr>
          <w:p w14:paraId="611D7691">
            <w:pPr>
              <w:spacing w:line="360" w:lineRule="auto"/>
              <w:rPr>
                <w:rFonts w:ascii="宋体" w:hAnsi="宋体" w:cs="宋体"/>
                <w:color w:val="000000" w:themeColor="text1"/>
                <w:highlight w:val="none"/>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cBorders>
            <w:noWrap/>
            <w:vAlign w:val="center"/>
          </w:tcPr>
          <w:p w14:paraId="425A7596">
            <w:pPr>
              <w:spacing w:line="360" w:lineRule="auto"/>
              <w:rPr>
                <w:rFonts w:ascii="宋体" w:hAnsi="宋体" w:cs="宋体"/>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noWrap/>
            <w:vAlign w:val="center"/>
          </w:tcPr>
          <w:p w14:paraId="235DDE53">
            <w:pPr>
              <w:spacing w:line="360" w:lineRule="auto"/>
              <w:rPr>
                <w:rFonts w:ascii="宋体" w:hAnsi="宋体" w:cs="宋体"/>
                <w:color w:val="000000" w:themeColor="text1"/>
                <w:highlight w:val="none"/>
                <w14:textFill>
                  <w14:solidFill>
                    <w14:schemeClr w14:val="tx1"/>
                  </w14:solidFill>
                </w14:textFill>
              </w:rPr>
            </w:pPr>
          </w:p>
        </w:tc>
        <w:tc>
          <w:tcPr>
            <w:tcW w:w="845" w:type="dxa"/>
            <w:tcBorders>
              <w:top w:val="single" w:color="auto" w:sz="4" w:space="0"/>
              <w:left w:val="single" w:color="auto" w:sz="4" w:space="0"/>
              <w:bottom w:val="single" w:color="auto" w:sz="4" w:space="0"/>
              <w:right w:val="single" w:color="auto" w:sz="4" w:space="0"/>
            </w:tcBorders>
            <w:noWrap/>
            <w:vAlign w:val="center"/>
          </w:tcPr>
          <w:p w14:paraId="6326E008">
            <w:pPr>
              <w:spacing w:line="360" w:lineRule="auto"/>
              <w:rPr>
                <w:rFonts w:ascii="宋体" w:hAnsi="宋体" w:cs="宋体"/>
                <w:color w:val="000000" w:themeColor="text1"/>
                <w:highlight w:val="none"/>
                <w14:textFill>
                  <w14:solidFill>
                    <w14:schemeClr w14:val="tx1"/>
                  </w14:solidFill>
                </w14:textFill>
              </w:rPr>
            </w:pPr>
          </w:p>
        </w:tc>
      </w:tr>
      <w:tr w14:paraId="172D9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jc w:val="center"/>
        </w:trPr>
        <w:tc>
          <w:tcPr>
            <w:tcW w:w="1176" w:type="dxa"/>
            <w:tcBorders>
              <w:top w:val="single" w:color="auto" w:sz="4" w:space="0"/>
              <w:left w:val="single" w:color="auto" w:sz="4" w:space="0"/>
              <w:bottom w:val="single" w:color="auto" w:sz="4" w:space="0"/>
              <w:right w:val="single" w:color="auto" w:sz="4" w:space="0"/>
            </w:tcBorders>
            <w:noWrap/>
            <w:vAlign w:val="center"/>
          </w:tcPr>
          <w:p w14:paraId="32816698">
            <w:pPr>
              <w:spacing w:line="360" w:lineRule="auto"/>
              <w:rPr>
                <w:rFonts w:ascii="宋体" w:hAnsi="宋体" w:cs="宋体"/>
                <w:color w:val="000000" w:themeColor="text1"/>
                <w:highlight w:val="none"/>
                <w14:textFill>
                  <w14:solidFill>
                    <w14:schemeClr w14:val="tx1"/>
                  </w14:solidFill>
                </w14:textFill>
              </w:rPr>
            </w:pPr>
          </w:p>
        </w:tc>
        <w:tc>
          <w:tcPr>
            <w:tcW w:w="1350" w:type="dxa"/>
            <w:gridSpan w:val="2"/>
            <w:tcBorders>
              <w:top w:val="single" w:color="auto" w:sz="4" w:space="0"/>
              <w:left w:val="single" w:color="auto" w:sz="4" w:space="0"/>
              <w:bottom w:val="single" w:color="auto" w:sz="4" w:space="0"/>
              <w:right w:val="single" w:color="auto" w:sz="4" w:space="0"/>
            </w:tcBorders>
            <w:noWrap/>
            <w:vAlign w:val="center"/>
          </w:tcPr>
          <w:p w14:paraId="2949A060">
            <w:pPr>
              <w:spacing w:line="360" w:lineRule="auto"/>
              <w:rPr>
                <w:rFonts w:ascii="宋体" w:hAnsi="宋体" w:cs="宋体"/>
                <w:color w:val="000000" w:themeColor="text1"/>
                <w:highlight w:val="none"/>
                <w14:textFill>
                  <w14:solidFill>
                    <w14:schemeClr w14:val="tx1"/>
                  </w14:solidFill>
                </w14:textFill>
              </w:rPr>
            </w:pPr>
          </w:p>
        </w:tc>
        <w:tc>
          <w:tcPr>
            <w:tcW w:w="1035" w:type="dxa"/>
            <w:tcBorders>
              <w:top w:val="single" w:color="auto" w:sz="4" w:space="0"/>
              <w:left w:val="single" w:color="auto" w:sz="4" w:space="0"/>
              <w:bottom w:val="single" w:color="auto" w:sz="4" w:space="0"/>
              <w:right w:val="single" w:color="auto" w:sz="4" w:space="0"/>
            </w:tcBorders>
            <w:noWrap/>
            <w:vAlign w:val="center"/>
          </w:tcPr>
          <w:p w14:paraId="089A3D79">
            <w:pPr>
              <w:spacing w:line="360" w:lineRule="auto"/>
              <w:rPr>
                <w:rFonts w:ascii="宋体" w:hAnsi="宋体" w:cs="宋体"/>
                <w:color w:val="000000" w:themeColor="text1"/>
                <w:highlight w:val="none"/>
                <w14:textFill>
                  <w14:solidFill>
                    <w14:schemeClr w14:val="tx1"/>
                  </w14:solidFill>
                </w14:textFill>
              </w:rPr>
            </w:pPr>
          </w:p>
        </w:tc>
        <w:tc>
          <w:tcPr>
            <w:tcW w:w="1235" w:type="dxa"/>
            <w:tcBorders>
              <w:top w:val="single" w:color="auto" w:sz="4" w:space="0"/>
              <w:left w:val="single" w:color="auto" w:sz="4" w:space="0"/>
              <w:bottom w:val="single" w:color="auto" w:sz="4" w:space="0"/>
              <w:right w:val="single" w:color="auto" w:sz="4" w:space="0"/>
            </w:tcBorders>
            <w:noWrap/>
            <w:vAlign w:val="center"/>
          </w:tcPr>
          <w:p w14:paraId="20350015">
            <w:pPr>
              <w:spacing w:line="360" w:lineRule="auto"/>
              <w:rPr>
                <w:rFonts w:ascii="宋体" w:hAnsi="宋体" w:cs="宋体"/>
                <w:color w:val="000000" w:themeColor="text1"/>
                <w:highlight w:val="none"/>
                <w14:textFill>
                  <w14:solidFill>
                    <w14:schemeClr w14:val="tx1"/>
                  </w14:solidFill>
                </w14:textFill>
              </w:rPr>
            </w:pPr>
          </w:p>
        </w:tc>
        <w:tc>
          <w:tcPr>
            <w:tcW w:w="730" w:type="dxa"/>
            <w:tcBorders>
              <w:top w:val="single" w:color="auto" w:sz="4" w:space="0"/>
              <w:left w:val="single" w:color="auto" w:sz="4" w:space="0"/>
              <w:bottom w:val="single" w:color="auto" w:sz="4" w:space="0"/>
              <w:right w:val="single" w:color="auto" w:sz="4" w:space="0"/>
            </w:tcBorders>
            <w:noWrap/>
            <w:vAlign w:val="center"/>
          </w:tcPr>
          <w:p w14:paraId="2C50F727">
            <w:pPr>
              <w:spacing w:line="360" w:lineRule="auto"/>
              <w:rPr>
                <w:rFonts w:ascii="宋体" w:hAnsi="宋体" w:cs="宋体"/>
                <w:color w:val="000000" w:themeColor="text1"/>
                <w:highlight w:val="none"/>
                <w14:textFill>
                  <w14:solidFill>
                    <w14:schemeClr w14:val="tx1"/>
                  </w14:solidFill>
                </w14:textFill>
              </w:rPr>
            </w:pPr>
          </w:p>
        </w:tc>
        <w:tc>
          <w:tcPr>
            <w:tcW w:w="855" w:type="dxa"/>
            <w:tcBorders>
              <w:top w:val="single" w:color="auto" w:sz="4" w:space="0"/>
              <w:left w:val="single" w:color="auto" w:sz="4" w:space="0"/>
              <w:bottom w:val="single" w:color="auto" w:sz="4" w:space="0"/>
              <w:right w:val="single" w:color="auto" w:sz="4" w:space="0"/>
            </w:tcBorders>
            <w:noWrap/>
            <w:vAlign w:val="center"/>
          </w:tcPr>
          <w:p w14:paraId="39265E9F">
            <w:pPr>
              <w:spacing w:line="360" w:lineRule="auto"/>
              <w:rPr>
                <w:rFonts w:ascii="宋体" w:hAnsi="宋体" w:cs="宋体"/>
                <w:color w:val="000000" w:themeColor="text1"/>
                <w:highlight w:val="none"/>
                <w14:textFill>
                  <w14:solidFill>
                    <w14:schemeClr w14:val="tx1"/>
                  </w14:solidFill>
                </w14:textFill>
              </w:rPr>
            </w:pPr>
          </w:p>
        </w:tc>
        <w:tc>
          <w:tcPr>
            <w:tcW w:w="637" w:type="dxa"/>
            <w:tcBorders>
              <w:top w:val="single" w:color="auto" w:sz="4" w:space="0"/>
              <w:left w:val="single" w:color="auto" w:sz="4" w:space="0"/>
              <w:bottom w:val="single" w:color="auto" w:sz="4" w:space="0"/>
              <w:right w:val="single" w:color="auto" w:sz="4" w:space="0"/>
            </w:tcBorders>
            <w:noWrap/>
            <w:vAlign w:val="center"/>
          </w:tcPr>
          <w:p w14:paraId="1008D03B">
            <w:pPr>
              <w:spacing w:line="360" w:lineRule="auto"/>
              <w:rPr>
                <w:rFonts w:ascii="宋体" w:hAnsi="宋体" w:cs="宋体"/>
                <w:color w:val="000000" w:themeColor="text1"/>
                <w:highlight w:val="none"/>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noWrap/>
            <w:vAlign w:val="center"/>
          </w:tcPr>
          <w:p w14:paraId="3D293270">
            <w:pPr>
              <w:spacing w:line="360" w:lineRule="auto"/>
              <w:rPr>
                <w:rFonts w:ascii="宋体" w:hAnsi="宋体" w:cs="宋体"/>
                <w:color w:val="000000" w:themeColor="text1"/>
                <w:highlight w:val="none"/>
                <w14:textFill>
                  <w14:solidFill>
                    <w14:schemeClr w14:val="tx1"/>
                  </w14:solidFill>
                </w14:textFill>
              </w:rPr>
            </w:pPr>
          </w:p>
        </w:tc>
        <w:tc>
          <w:tcPr>
            <w:tcW w:w="845" w:type="dxa"/>
            <w:tcBorders>
              <w:top w:val="single" w:color="auto" w:sz="4" w:space="0"/>
              <w:left w:val="single" w:color="auto" w:sz="4" w:space="0"/>
              <w:bottom w:val="single" w:color="auto" w:sz="4" w:space="0"/>
              <w:right w:val="single" w:color="auto" w:sz="4" w:space="0"/>
            </w:tcBorders>
            <w:noWrap/>
            <w:vAlign w:val="center"/>
          </w:tcPr>
          <w:p w14:paraId="7080C5B5">
            <w:pPr>
              <w:spacing w:line="360" w:lineRule="auto"/>
              <w:rPr>
                <w:rFonts w:ascii="宋体" w:hAnsi="宋体" w:cs="宋体"/>
                <w:color w:val="000000" w:themeColor="text1"/>
                <w:highlight w:val="none"/>
                <w14:textFill>
                  <w14:solidFill>
                    <w14:schemeClr w14:val="tx1"/>
                  </w14:solidFill>
                </w14:textFill>
              </w:rPr>
            </w:pPr>
          </w:p>
        </w:tc>
      </w:tr>
      <w:tr w14:paraId="2C80F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806" w:type="dxa"/>
            <w:gridSpan w:val="2"/>
            <w:tcBorders>
              <w:top w:val="single" w:color="auto" w:sz="4" w:space="0"/>
              <w:left w:val="single" w:color="auto" w:sz="4" w:space="0"/>
              <w:bottom w:val="single" w:color="auto" w:sz="4" w:space="0"/>
              <w:right w:val="single" w:color="auto" w:sz="4" w:space="0"/>
            </w:tcBorders>
            <w:noWrap/>
            <w:vAlign w:val="center"/>
          </w:tcPr>
          <w:p w14:paraId="4AA629E5">
            <w:pPr>
              <w:spacing w:line="360" w:lineRule="auto"/>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总价（人民币）：</w:t>
            </w:r>
          </w:p>
        </w:tc>
        <w:tc>
          <w:tcPr>
            <w:tcW w:w="6060" w:type="dxa"/>
            <w:gridSpan w:val="7"/>
            <w:tcBorders>
              <w:top w:val="single" w:color="auto" w:sz="4" w:space="0"/>
              <w:left w:val="single" w:color="auto" w:sz="4" w:space="0"/>
              <w:bottom w:val="single" w:color="auto" w:sz="4" w:space="0"/>
              <w:right w:val="single" w:color="auto" w:sz="4" w:space="0"/>
            </w:tcBorders>
            <w:noWrap/>
            <w:vAlign w:val="center"/>
          </w:tcPr>
          <w:p w14:paraId="63A20FA7">
            <w:pPr>
              <w:spacing w:line="360" w:lineRule="auto"/>
              <w:jc w:val="left"/>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大写：                                            小写：¥                   </w:t>
            </w:r>
          </w:p>
        </w:tc>
        <w:tc>
          <w:tcPr>
            <w:tcW w:w="845" w:type="dxa"/>
            <w:tcBorders>
              <w:top w:val="single" w:color="auto" w:sz="4" w:space="0"/>
              <w:left w:val="single" w:color="auto" w:sz="4" w:space="0"/>
              <w:bottom w:val="single" w:color="auto" w:sz="4" w:space="0"/>
              <w:right w:val="single" w:color="auto" w:sz="4" w:space="0"/>
            </w:tcBorders>
            <w:noWrap/>
            <w:vAlign w:val="center"/>
          </w:tcPr>
          <w:p w14:paraId="5B3F7539">
            <w:pPr>
              <w:spacing w:line="360" w:lineRule="auto"/>
              <w:rPr>
                <w:rFonts w:ascii="宋体" w:hAnsi="宋体" w:cs="宋体"/>
                <w:color w:val="000000" w:themeColor="text1"/>
                <w:highlight w:val="none"/>
                <w14:textFill>
                  <w14:solidFill>
                    <w14:schemeClr w14:val="tx1"/>
                  </w14:solidFill>
                </w14:textFill>
              </w:rPr>
            </w:pPr>
          </w:p>
        </w:tc>
      </w:tr>
    </w:tbl>
    <w:p w14:paraId="6AF83ABE">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合同总价包括：完成项目所需的所有费用，包括但不限于材料费、设备费、运输费、安装费、实施费、税金、调试费、售后相关费用等完成本项目所需的一切费用。</w:t>
      </w:r>
    </w:p>
    <w:p w14:paraId="4FF26862">
      <w:pPr>
        <w:spacing w:line="360" w:lineRule="auto"/>
        <w:ind w:firstLine="480" w:firstLineChars="200"/>
        <w:rPr>
          <w:rFonts w:ascii="宋体" w:hAnsi="宋体" w:cs="宋体"/>
          <w:bCs/>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3</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合同总价一次性包死，不受市场价格变化因素的影响。</w:t>
      </w:r>
      <w:r>
        <w:rPr>
          <w:rFonts w:hint="eastAsia" w:ascii="宋体" w:hAnsi="宋体" w:cs="宋体"/>
          <w:bCs/>
          <w:color w:val="000000" w:themeColor="text1"/>
          <w:szCs w:val="24"/>
          <w:highlight w:val="none"/>
          <w14:textFill>
            <w14:solidFill>
              <w14:schemeClr w14:val="tx1"/>
            </w14:solidFill>
          </w14:textFill>
        </w:rPr>
        <w:t>在项目实施中产生的其它费用，均由</w:t>
      </w:r>
      <w:r>
        <w:rPr>
          <w:rFonts w:hint="eastAsia" w:ascii="宋体" w:hAnsi="宋体" w:cs="宋体"/>
          <w:color w:val="000000" w:themeColor="text1"/>
          <w:szCs w:val="24"/>
          <w:highlight w:val="none"/>
          <w14:textFill>
            <w14:solidFill>
              <w14:schemeClr w14:val="tx1"/>
            </w14:solidFill>
          </w14:textFill>
        </w:rPr>
        <w:t>乙方</w:t>
      </w:r>
      <w:r>
        <w:rPr>
          <w:rFonts w:hint="eastAsia" w:ascii="宋体" w:hAnsi="宋体" w:cs="宋体"/>
          <w:bCs/>
          <w:color w:val="000000" w:themeColor="text1"/>
          <w:szCs w:val="24"/>
          <w:highlight w:val="none"/>
          <w14:textFill>
            <w14:solidFill>
              <w14:schemeClr w14:val="tx1"/>
            </w14:solidFill>
          </w14:textFill>
        </w:rPr>
        <w:t>免费提供，甲方不再支付任何费用。</w:t>
      </w:r>
    </w:p>
    <w:p w14:paraId="219B5E08">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4</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关于所采购货物本身随同配备的备品备件及器材的价格已包含于合同总价，不再额外收取费用。</w:t>
      </w:r>
    </w:p>
    <w:p w14:paraId="607317FF">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5</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乙方需保证所能够提供使用的备品备件属于经过合法授权的，确保备品备件产权归乙方所有。</w:t>
      </w:r>
    </w:p>
    <w:p w14:paraId="3A6C693B">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6</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方开户行：</w:t>
      </w:r>
    </w:p>
    <w:p w14:paraId="6C0DBCDF">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乙方公司名称：</w:t>
      </w:r>
    </w:p>
    <w:p w14:paraId="661398F1">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乙方公司账号：</w:t>
      </w:r>
    </w:p>
    <w:p w14:paraId="18DF3EFA">
      <w:pPr>
        <w:spacing w:line="360" w:lineRule="auto"/>
        <w:rPr>
          <w:rFonts w:ascii="宋体" w:hAnsi="宋体" w:cs="宋体"/>
          <w:b/>
          <w:color w:val="auto"/>
          <w:szCs w:val="24"/>
          <w:highlight w:val="none"/>
        </w:rPr>
      </w:pPr>
      <w:r>
        <w:rPr>
          <w:rFonts w:hint="eastAsia" w:ascii="宋体" w:hAnsi="宋体" w:cs="宋体"/>
          <w:b/>
          <w:color w:val="auto"/>
          <w:szCs w:val="24"/>
          <w:highlight w:val="none"/>
        </w:rPr>
        <w:t>三、款项结算</w:t>
      </w:r>
    </w:p>
    <w:p w14:paraId="0D623F66">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color w:val="auto"/>
          <w:szCs w:val="24"/>
          <w:highlight w:val="none"/>
          <w:lang w:val="en-US" w:eastAsia="zh-CN"/>
        </w:rPr>
      </w:pPr>
      <w:r>
        <w:rPr>
          <w:rFonts w:hint="eastAsia" w:ascii="宋体" w:hAnsi="宋体" w:cs="宋体"/>
          <w:bCs/>
          <w:color w:val="auto"/>
          <w:szCs w:val="24"/>
          <w:highlight w:val="none"/>
          <w:lang w:val="en-US" w:eastAsia="zh-CN"/>
        </w:rPr>
        <w:t>1.签订合同且提供的设备满⾜合同要求，达到付款条件起10个⼯作⽇内，⽀付合同总⾦额的30.0%；</w:t>
      </w:r>
    </w:p>
    <w:p w14:paraId="077513A5">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Cs/>
          <w:color w:val="auto"/>
          <w:szCs w:val="24"/>
          <w:highlight w:val="none"/>
          <w:lang w:val="en-US" w:eastAsia="zh-CN"/>
        </w:rPr>
      </w:pPr>
      <w:r>
        <w:rPr>
          <w:rFonts w:hint="eastAsia" w:ascii="宋体" w:hAnsi="宋体" w:cs="宋体"/>
          <w:bCs/>
          <w:color w:val="auto"/>
          <w:szCs w:val="24"/>
          <w:highlight w:val="none"/>
          <w:lang w:val="en-US" w:eastAsia="zh-CN"/>
        </w:rPr>
        <w:t>2.签订合同且提供的设备安装调试试运⾏⼀个⽉，达到付款条件起30个⼯作⽇内，⽀付合同总⾦额的65.0%；</w:t>
      </w:r>
    </w:p>
    <w:p w14:paraId="2976F9A8">
      <w:pPr>
        <w:keepNext w:val="0"/>
        <w:keepLines w:val="0"/>
        <w:pageBreakBefore w:val="0"/>
        <w:widowControl/>
        <w:numPr>
          <w:ilvl w:val="0"/>
          <w:numId w:val="0"/>
        </w:numPr>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bCs/>
          <w:color w:val="auto"/>
          <w:szCs w:val="24"/>
          <w:highlight w:val="none"/>
          <w:lang w:val="en-US" w:eastAsia="zh-CN"/>
        </w:rPr>
      </w:pPr>
      <w:r>
        <w:rPr>
          <w:rFonts w:hint="eastAsia" w:ascii="宋体" w:hAnsi="宋体" w:cs="宋体"/>
          <w:bCs/>
          <w:color w:val="auto"/>
          <w:szCs w:val="24"/>
          <w:highlight w:val="none"/>
          <w:lang w:val="en-US" w:eastAsia="zh-CN"/>
        </w:rPr>
        <w:t>3.签订合同且提供的设备安装调试运⾏⼀年后⽆质量问题，达到付款条件起365个⼯作⽇内，⽀付合同总⾦额的5.0%。</w:t>
      </w:r>
    </w:p>
    <w:p w14:paraId="1CFC72BB">
      <w:pPr>
        <w:spacing w:line="360" w:lineRule="auto"/>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四、双方的权利和义务</w:t>
      </w:r>
    </w:p>
    <w:p w14:paraId="1BCA3818">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甲方责任</w:t>
      </w:r>
    </w:p>
    <w:p w14:paraId="37D6A120">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负责核准、认定本项目相关技术资料文档；监督、参与项目执行的整个过程（包括实施方案的设计、安装调试、项目验收、人员培训、售后服务等）；为乙方提供必要的工作条件，并提供该产品所必需的安装环境；按照合同约定支付各阶段合同款项。</w:t>
      </w:r>
    </w:p>
    <w:p w14:paraId="3FF00923">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乙方责任</w:t>
      </w:r>
    </w:p>
    <w:p w14:paraId="769B6C9D">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按时完成产品运行环境的检查；产品的交接；按时完成本合同所涉及产品的安装调试、验收工作；协助配合甲方完成应用系统的整合工作；为甲方提供《产品测试验收报告》；做好整个项目的售后服务技术支持工作。附件同时提供产品详细的中文技术规格书和外观照片。</w:t>
      </w:r>
    </w:p>
    <w:p w14:paraId="43A2A843">
      <w:pPr>
        <w:spacing w:line="360" w:lineRule="auto"/>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五、交货条件：</w:t>
      </w:r>
    </w:p>
    <w:p w14:paraId="521DFB77">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交货地点：</w:t>
      </w:r>
      <w:r>
        <w:rPr>
          <w:rFonts w:hint="eastAsia" w:ascii="宋体" w:hAnsi="宋体" w:cs="宋体"/>
          <w:color w:val="000000" w:themeColor="text1"/>
          <w:szCs w:val="24"/>
          <w:highlight w:val="none"/>
          <w:lang w:val="en-US" w:eastAsia="zh-CN"/>
          <w14:textFill>
            <w14:solidFill>
              <w14:schemeClr w14:val="tx1"/>
            </w14:solidFill>
          </w14:textFill>
        </w:rPr>
        <w:t>富平县庄里中心卫生院</w:t>
      </w:r>
      <w:r>
        <w:rPr>
          <w:rFonts w:hint="eastAsia" w:ascii="宋体" w:hAnsi="宋体" w:cs="宋体"/>
          <w:color w:val="000000" w:themeColor="text1"/>
          <w:szCs w:val="24"/>
          <w:highlight w:val="none"/>
          <w14:textFill>
            <w14:solidFill>
              <w14:schemeClr w14:val="tx1"/>
            </w14:solidFill>
          </w14:textFill>
        </w:rPr>
        <w:t xml:space="preserve">，采购人指定地点。  </w:t>
      </w:r>
    </w:p>
    <w:p w14:paraId="6344D800">
      <w:pPr>
        <w:spacing w:line="360" w:lineRule="auto"/>
        <w:ind w:firstLine="360" w:firstLineChars="15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（1）乙方必须派人送货清点、移交、培训。不受理任何物流、邮寄供货业务。</w:t>
      </w:r>
    </w:p>
    <w:p w14:paraId="631F54AF">
      <w:pPr>
        <w:spacing w:line="360" w:lineRule="auto"/>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 xml:space="preserve">   （2）本合同所有产品单件必须标明厂商、商标、型号、生产时间并附有效期内的检测报告并盖章。</w:t>
      </w:r>
    </w:p>
    <w:p w14:paraId="4400B1DD">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交货期：合同签订后15个工作日内到货安装调试并验收完毕（含上门拆机、装机、整机校准、图像质控验收全流程）。</w:t>
      </w:r>
    </w:p>
    <w:p w14:paraId="69B44187">
      <w:pPr>
        <w:spacing w:line="360" w:lineRule="auto"/>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六、运输</w:t>
      </w:r>
    </w:p>
    <w:p w14:paraId="4342B481">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运输由乙方负责，运杂费已包含在合同总价内，包括从产品供应地点所含的运输费、装卸费、仓储费、保险费等。</w:t>
      </w:r>
    </w:p>
    <w:p w14:paraId="7113983F">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乙方保证产品安全、按期运输到达甲方指定交货地点，在到达甲方地点并经甲方验收（安装）合格前发生的不可预见的风险均由乙方承担。</w:t>
      </w:r>
    </w:p>
    <w:p w14:paraId="7EDA82E8">
      <w:pPr>
        <w:spacing w:line="360" w:lineRule="auto"/>
        <w:rPr>
          <w:rFonts w:hint="eastAsia"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七、乙方质量保证</w:t>
      </w:r>
    </w:p>
    <w:p w14:paraId="3927CE84">
      <w:pPr>
        <w:spacing w:line="360" w:lineRule="auto"/>
        <w:ind w:firstLine="480" w:firstLineChars="200"/>
        <w:rPr>
          <w:rFonts w:hint="eastAsia" w:ascii="宋体" w:hAnsi="宋体" w:cs="宋体"/>
          <w:b w:val="0"/>
          <w:bCs/>
          <w:color w:val="000000" w:themeColor="text1"/>
          <w:sz w:val="24"/>
          <w:szCs w:val="32"/>
          <w:highlight w:val="none"/>
          <w14:textFill>
            <w14:solidFill>
              <w14:schemeClr w14:val="tx1"/>
            </w14:solidFill>
          </w14:textFill>
        </w:rPr>
      </w:pPr>
      <w:r>
        <w:rPr>
          <w:rFonts w:hint="eastAsia" w:ascii="宋体" w:hAnsi="宋体" w:cs="宋体"/>
          <w:b w:val="0"/>
          <w:bCs/>
          <w:color w:val="000000" w:themeColor="text1"/>
          <w:sz w:val="24"/>
          <w:szCs w:val="32"/>
          <w:highlight w:val="none"/>
          <w:lang w:val="en-US" w:eastAsia="zh-CN"/>
          <w14:textFill>
            <w14:solidFill>
              <w14:schemeClr w14:val="tx1"/>
            </w14:solidFill>
          </w14:textFill>
        </w:rPr>
        <w:t>1.</w:t>
      </w:r>
      <w:r>
        <w:rPr>
          <w:rFonts w:hint="eastAsia" w:ascii="宋体" w:hAnsi="宋体" w:cs="宋体"/>
          <w:b w:val="0"/>
          <w:bCs/>
          <w:color w:val="000000" w:themeColor="text1"/>
          <w:sz w:val="24"/>
          <w:szCs w:val="32"/>
          <w:highlight w:val="none"/>
          <w14:textFill>
            <w14:solidFill>
              <w14:schemeClr w14:val="tx1"/>
            </w14:solidFill>
          </w14:textFill>
        </w:rPr>
        <w:t>质保期：全新原厂球管质保≥12个月，12个⽉或20万秒次先到为准⾃安装之⽇起，如在完全保证扫描次数内出现⽆法使⽤的故障，⼄⽅将免费为甲⽅更换新球管，直⾄⼄⽅提供的全部球管累计病⼈量/时间达到完全保证扫描秒次为⽌，质保期内非人为故障免费上门维保；</w:t>
      </w:r>
    </w:p>
    <w:p w14:paraId="2F449FB2">
      <w:pPr>
        <w:spacing w:line="360" w:lineRule="auto"/>
        <w:ind w:firstLine="480" w:firstLineChars="200"/>
        <w:rPr>
          <w:rFonts w:hint="eastAsia" w:ascii="宋体" w:hAnsi="宋体" w:cs="宋体"/>
          <w:b w:val="0"/>
          <w:bCs/>
          <w:color w:val="000000" w:themeColor="text1"/>
          <w:sz w:val="24"/>
          <w:szCs w:val="32"/>
          <w:highlight w:val="none"/>
          <w14:textFill>
            <w14:solidFill>
              <w14:schemeClr w14:val="tx1"/>
            </w14:solidFill>
          </w14:textFill>
        </w:rPr>
      </w:pPr>
      <w:r>
        <w:rPr>
          <w:rFonts w:hint="eastAsia" w:ascii="宋体" w:hAnsi="宋体" w:cs="宋体"/>
          <w:b w:val="0"/>
          <w:bCs/>
          <w:color w:val="000000" w:themeColor="text1"/>
          <w:sz w:val="24"/>
          <w:szCs w:val="32"/>
          <w:highlight w:val="none"/>
          <w:lang w:val="en-US" w:eastAsia="zh-CN"/>
          <w14:textFill>
            <w14:solidFill>
              <w14:schemeClr w14:val="tx1"/>
            </w14:solidFill>
          </w14:textFill>
        </w:rPr>
        <w:t>2.</w:t>
      </w:r>
      <w:r>
        <w:rPr>
          <w:rFonts w:hint="eastAsia" w:ascii="宋体" w:hAnsi="宋体" w:cs="宋体"/>
          <w:b w:val="0"/>
          <w:bCs/>
          <w:color w:val="000000" w:themeColor="text1"/>
          <w:sz w:val="24"/>
          <w:szCs w:val="32"/>
          <w:highlight w:val="none"/>
          <w14:textFill>
            <w14:solidFill>
              <w14:schemeClr w14:val="tx1"/>
            </w14:solidFill>
          </w14:textFill>
        </w:rPr>
        <w:t>供应商提供的产品及材料必须保证质量可靠，进货渠道正常，配置合理齐全，应全面满足采购文件的要求，采购文件未明确要求的内容，供应商须按产品主流标准配置或以采购人的补充要求为准。所供产品工艺质量应严格按国家最新发布的规范标准执行，如发生质量问题由供应商承担全部责任。采购人使用产品过程中因产品质量、产品缺陷及安装质量等造成人身伤亡、财产损失的，由供应商负责解决并承担全部责任。</w:t>
      </w:r>
    </w:p>
    <w:p w14:paraId="7D4E07E6">
      <w:pPr>
        <w:spacing w:line="360" w:lineRule="auto"/>
        <w:ind w:firstLine="480" w:firstLineChars="200"/>
        <w:rPr>
          <w:rFonts w:hint="eastAsia" w:ascii="宋体" w:hAnsi="宋体" w:cs="宋体"/>
          <w:b w:val="0"/>
          <w:bCs/>
          <w:color w:val="000000" w:themeColor="text1"/>
          <w:sz w:val="24"/>
          <w:szCs w:val="32"/>
          <w:highlight w:val="none"/>
          <w14:textFill>
            <w14:solidFill>
              <w14:schemeClr w14:val="tx1"/>
            </w14:solidFill>
          </w14:textFill>
        </w:rPr>
      </w:pPr>
      <w:r>
        <w:rPr>
          <w:rFonts w:hint="eastAsia" w:ascii="宋体" w:hAnsi="宋体" w:cs="宋体"/>
          <w:b w:val="0"/>
          <w:bCs/>
          <w:color w:val="000000" w:themeColor="text1"/>
          <w:sz w:val="24"/>
          <w:szCs w:val="32"/>
          <w:highlight w:val="none"/>
          <w:lang w:val="en-US" w:eastAsia="zh-CN"/>
          <w14:textFill>
            <w14:solidFill>
              <w14:schemeClr w14:val="tx1"/>
            </w14:solidFill>
          </w14:textFill>
        </w:rPr>
        <w:t>3</w:t>
      </w:r>
      <w:r>
        <w:rPr>
          <w:rFonts w:hint="eastAsia" w:ascii="宋体" w:hAnsi="宋体" w:cs="宋体"/>
          <w:b w:val="0"/>
          <w:bCs/>
          <w:color w:val="000000" w:themeColor="text1"/>
          <w:sz w:val="24"/>
          <w:szCs w:val="32"/>
          <w:highlight w:val="none"/>
          <w14:textFill>
            <w14:solidFill>
              <w14:schemeClr w14:val="tx1"/>
            </w14:solidFill>
          </w14:textFill>
        </w:rPr>
        <w:t>.免费维修或更换缺陷的货物或部件期限：设备出现故障时，供应商必须在1小时响应，接到故障报告后在2小时内维修工程师到达现场，排除故障的期限不得超过12小时。</w:t>
      </w:r>
    </w:p>
    <w:p w14:paraId="1DD4A387">
      <w:pPr>
        <w:spacing w:line="360" w:lineRule="auto"/>
        <w:ind w:firstLine="480" w:firstLineChars="200"/>
        <w:rPr>
          <w:rFonts w:hint="eastAsia" w:ascii="宋体" w:hAnsi="宋体" w:cs="宋体"/>
          <w:b w:val="0"/>
          <w:bCs/>
          <w:color w:val="000000" w:themeColor="text1"/>
          <w:sz w:val="24"/>
          <w:szCs w:val="32"/>
          <w:highlight w:val="none"/>
          <w14:textFill>
            <w14:solidFill>
              <w14:schemeClr w14:val="tx1"/>
            </w14:solidFill>
          </w14:textFill>
        </w:rPr>
      </w:pPr>
      <w:r>
        <w:rPr>
          <w:rFonts w:hint="eastAsia" w:ascii="宋体" w:hAnsi="宋体" w:cs="宋体"/>
          <w:b w:val="0"/>
          <w:bCs/>
          <w:color w:val="000000" w:themeColor="text1"/>
          <w:sz w:val="24"/>
          <w:szCs w:val="32"/>
          <w:highlight w:val="none"/>
          <w:lang w:val="en-US" w:eastAsia="zh-CN"/>
          <w14:textFill>
            <w14:solidFill>
              <w14:schemeClr w14:val="tx1"/>
            </w14:solidFill>
          </w14:textFill>
        </w:rPr>
        <w:t>4</w:t>
      </w:r>
      <w:r>
        <w:rPr>
          <w:rFonts w:hint="eastAsia" w:ascii="宋体" w:hAnsi="宋体" w:cs="宋体"/>
          <w:b w:val="0"/>
          <w:bCs/>
          <w:color w:val="000000" w:themeColor="text1"/>
          <w:sz w:val="24"/>
          <w:szCs w:val="32"/>
          <w:highlight w:val="none"/>
          <w14:textFill>
            <w14:solidFill>
              <w14:schemeClr w14:val="tx1"/>
            </w14:solidFill>
          </w14:textFill>
        </w:rPr>
        <w:t>.服务方式：现场服务，产品按照国家三包规定执行，提供终身技术支持。在质保期内，如果发生故障，供应商要调查故障原因，由供应商提供的产品出现的问题，供应商须免费修复直至满足最终验收指标和性能。</w:t>
      </w:r>
    </w:p>
    <w:p w14:paraId="5C315FF3">
      <w:pPr>
        <w:spacing w:line="360" w:lineRule="auto"/>
        <w:ind w:firstLine="480" w:firstLineChars="200"/>
        <w:rPr>
          <w:rFonts w:hint="eastAsia" w:ascii="宋体" w:hAnsi="宋体" w:cs="宋体"/>
          <w:b w:val="0"/>
          <w:bCs/>
          <w:color w:val="000000" w:themeColor="text1"/>
          <w:sz w:val="24"/>
          <w:szCs w:val="32"/>
          <w:highlight w:val="none"/>
          <w14:textFill>
            <w14:solidFill>
              <w14:schemeClr w14:val="tx1"/>
            </w14:solidFill>
          </w14:textFill>
        </w:rPr>
      </w:pPr>
      <w:r>
        <w:rPr>
          <w:rFonts w:hint="eastAsia" w:ascii="宋体" w:hAnsi="宋体" w:cs="宋体"/>
          <w:b w:val="0"/>
          <w:bCs/>
          <w:color w:val="000000" w:themeColor="text1"/>
          <w:sz w:val="24"/>
          <w:szCs w:val="32"/>
          <w:highlight w:val="none"/>
          <w:lang w:val="en-US" w:eastAsia="zh-CN"/>
          <w14:textFill>
            <w14:solidFill>
              <w14:schemeClr w14:val="tx1"/>
            </w14:solidFill>
          </w14:textFill>
        </w:rPr>
        <w:t>5</w:t>
      </w:r>
      <w:r>
        <w:rPr>
          <w:rFonts w:hint="eastAsia" w:ascii="宋体" w:hAnsi="宋体" w:cs="宋体"/>
          <w:b w:val="0"/>
          <w:bCs/>
          <w:color w:val="000000" w:themeColor="text1"/>
          <w:sz w:val="24"/>
          <w:szCs w:val="32"/>
          <w:highlight w:val="none"/>
          <w14:textFill>
            <w14:solidFill>
              <w14:schemeClr w14:val="tx1"/>
            </w14:solidFill>
          </w14:textFill>
        </w:rPr>
        <w:t>.在最终验收后的质量保证期内，供应商应对设计、工艺或材料等的缺陷而产生的故障负责（负责解决并承担全部费用）。质保期满后如出现此类问题亦应负责。</w:t>
      </w:r>
    </w:p>
    <w:p w14:paraId="0B58BE7C">
      <w:pPr>
        <w:spacing w:line="360" w:lineRule="auto"/>
        <w:rPr>
          <w:rFonts w:hint="eastAsia"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八、乙方售后服务</w:t>
      </w:r>
    </w:p>
    <w:p w14:paraId="669054AA">
      <w:pPr>
        <w:spacing w:line="360" w:lineRule="auto"/>
        <w:ind w:firstLine="480" w:firstLineChars="200"/>
        <w:jc w:val="left"/>
        <w:textAlignment w:val="top"/>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培训：为甲方提供涉及产品的使用范围、主要性能、技术指标、使用方法、注意事项和维护保养、贮存方法等方面的培训，并由乙方专业人员向客户提供技术支持。</w:t>
      </w:r>
    </w:p>
    <w:p w14:paraId="0C83FE2B">
      <w:pPr>
        <w:spacing w:line="360" w:lineRule="auto"/>
        <w:ind w:firstLine="480" w:firstLineChars="200"/>
        <w:jc w:val="left"/>
        <w:textAlignment w:val="top"/>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售后服务工作程序</w:t>
      </w:r>
    </w:p>
    <w:p w14:paraId="612EA432">
      <w:pPr>
        <w:spacing w:line="360" w:lineRule="auto"/>
        <w:ind w:firstLine="480" w:firstLineChars="200"/>
        <w:jc w:val="left"/>
        <w:textAlignment w:val="top"/>
        <w:rPr>
          <w:rFonts w:ascii="宋体" w:hAnsi="宋体" w:cs="宋体"/>
          <w:color w:val="000000" w:themeColor="text1"/>
          <w:szCs w:val="24"/>
          <w:highlight w:val="none"/>
          <w:u w:val="singl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售后服务电话：</w:t>
      </w:r>
      <w:r>
        <w:rPr>
          <w:rFonts w:hint="eastAsia" w:ascii="宋体" w:hAnsi="宋体" w:cs="宋体"/>
          <w:color w:val="000000" w:themeColor="text1"/>
          <w:szCs w:val="24"/>
          <w:highlight w:val="none"/>
          <w:u w:val="single"/>
          <w14:textFill>
            <w14:solidFill>
              <w14:schemeClr w14:val="tx1"/>
            </w14:solidFill>
          </w14:textFill>
        </w:rPr>
        <w:t xml:space="preserve">       </w:t>
      </w:r>
    </w:p>
    <w:p w14:paraId="4C401ABB">
      <w:pPr>
        <w:spacing w:line="360" w:lineRule="auto"/>
        <w:jc w:val="left"/>
        <w:textAlignment w:val="top"/>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 xml:space="preserve"> （1）受理甲方售后要求，详细弄清问题所在，并给予明确答复，做电话记录。</w:t>
      </w:r>
    </w:p>
    <w:p w14:paraId="7EE16BFB">
      <w:pPr>
        <w:spacing w:line="360" w:lineRule="auto"/>
        <w:jc w:val="left"/>
        <w:textAlignment w:val="top"/>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 xml:space="preserve"> （2）在接到电话</w:t>
      </w:r>
      <w:r>
        <w:rPr>
          <w:rFonts w:hint="eastAsia" w:ascii="宋体" w:hAnsi="宋体" w:cs="宋体"/>
          <w:color w:val="000000" w:themeColor="text1"/>
          <w:szCs w:val="24"/>
          <w:highlight w:val="none"/>
          <w:u w:val="single"/>
          <w14:textFill>
            <w14:solidFill>
              <w14:schemeClr w14:val="tx1"/>
            </w14:solidFill>
          </w14:textFill>
        </w:rPr>
        <w:t xml:space="preserve">   </w:t>
      </w:r>
      <w:r>
        <w:rPr>
          <w:rFonts w:hint="eastAsia" w:ascii="宋体" w:hAnsi="宋体" w:cs="宋体"/>
          <w:color w:val="000000" w:themeColor="text1"/>
          <w:szCs w:val="24"/>
          <w:highlight w:val="none"/>
          <w14:textFill>
            <w14:solidFill>
              <w14:schemeClr w14:val="tx1"/>
            </w14:solidFill>
          </w14:textFill>
        </w:rPr>
        <w:t>小时内，安排人员，制定服务计划（与</w:t>
      </w:r>
      <w:r>
        <w:rPr>
          <w:rFonts w:hint="eastAsia" w:ascii="宋体" w:hAnsi="宋体" w:cs="宋体"/>
          <w:color w:val="000000" w:themeColor="text1"/>
          <w:szCs w:val="24"/>
          <w:highlight w:val="none"/>
          <w:lang w:val="en-US" w:eastAsia="zh-CN"/>
          <w14:textFill>
            <w14:solidFill>
              <w14:schemeClr w14:val="tx1"/>
            </w14:solidFill>
          </w14:textFill>
        </w:rPr>
        <w:t>响应</w:t>
      </w:r>
      <w:r>
        <w:rPr>
          <w:rFonts w:hint="eastAsia" w:ascii="宋体" w:hAnsi="宋体" w:cs="宋体"/>
          <w:color w:val="000000" w:themeColor="text1"/>
          <w:szCs w:val="24"/>
          <w:highlight w:val="none"/>
          <w14:textFill>
            <w14:solidFill>
              <w14:schemeClr w14:val="tx1"/>
            </w14:solidFill>
          </w14:textFill>
        </w:rPr>
        <w:t>文件一致）。</w:t>
      </w:r>
    </w:p>
    <w:p w14:paraId="6EAA25A0">
      <w:pPr>
        <w:spacing w:line="360" w:lineRule="auto"/>
        <w:jc w:val="left"/>
        <w:textAlignment w:val="top"/>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 xml:space="preserve"> （3）在接到电话</w:t>
      </w:r>
      <w:r>
        <w:rPr>
          <w:rFonts w:hint="eastAsia" w:ascii="宋体" w:hAnsi="宋体" w:cs="宋体"/>
          <w:color w:val="000000" w:themeColor="text1"/>
          <w:szCs w:val="24"/>
          <w:highlight w:val="none"/>
          <w:u w:val="single"/>
          <w14:textFill>
            <w14:solidFill>
              <w14:schemeClr w14:val="tx1"/>
            </w14:solidFill>
          </w14:textFill>
        </w:rPr>
        <w:t xml:space="preserve">   </w:t>
      </w:r>
      <w:r>
        <w:rPr>
          <w:rFonts w:hint="eastAsia" w:ascii="宋体" w:hAnsi="宋体" w:cs="宋体"/>
          <w:color w:val="000000" w:themeColor="text1"/>
          <w:szCs w:val="24"/>
          <w:highlight w:val="none"/>
          <w14:textFill>
            <w14:solidFill>
              <w14:schemeClr w14:val="tx1"/>
            </w14:solidFill>
          </w14:textFill>
        </w:rPr>
        <w:t>小时内赶到甲方位置，对故障原因内予以解决（与</w:t>
      </w:r>
      <w:r>
        <w:rPr>
          <w:rFonts w:hint="eastAsia" w:ascii="宋体" w:hAnsi="宋体" w:cs="宋体"/>
          <w:color w:val="000000" w:themeColor="text1"/>
          <w:szCs w:val="24"/>
          <w:highlight w:val="none"/>
          <w:lang w:val="en-US" w:eastAsia="zh-CN"/>
          <w14:textFill>
            <w14:solidFill>
              <w14:schemeClr w14:val="tx1"/>
            </w14:solidFill>
          </w14:textFill>
        </w:rPr>
        <w:t>响应</w:t>
      </w:r>
      <w:r>
        <w:rPr>
          <w:rFonts w:hint="eastAsia" w:ascii="宋体" w:hAnsi="宋体" w:cs="宋体"/>
          <w:color w:val="000000" w:themeColor="text1"/>
          <w:szCs w:val="24"/>
          <w:highlight w:val="none"/>
          <w14:textFill>
            <w14:solidFill>
              <w14:schemeClr w14:val="tx1"/>
            </w14:solidFill>
          </w14:textFill>
        </w:rPr>
        <w:t>文件一致）。</w:t>
      </w:r>
    </w:p>
    <w:p w14:paraId="4C87F3C7">
      <w:pPr>
        <w:spacing w:line="360" w:lineRule="auto"/>
        <w:ind w:firstLine="480" w:firstLineChars="200"/>
        <w:jc w:val="left"/>
        <w:textAlignment w:val="top"/>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3</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保修期（质保期）内主要提供定期的客户查询，询问器材的使用情况、完好情况。一般每1－2个月一次。确有质量问题的，按第八条2款进行服务，服务免费。</w:t>
      </w:r>
    </w:p>
    <w:p w14:paraId="169FFC80">
      <w:pPr>
        <w:spacing w:line="360" w:lineRule="auto"/>
        <w:ind w:firstLine="480" w:firstLineChars="200"/>
        <w:jc w:val="left"/>
        <w:textAlignment w:val="top"/>
        <w:rPr>
          <w:rFonts w:ascii="宋体" w:hAnsi="宋体" w:cs="宋体"/>
          <w:color w:val="000000" w:themeColor="text1"/>
          <w:szCs w:val="24"/>
          <w:highlight w:val="none"/>
          <w14:textFill>
            <w14:solidFill>
              <w14:schemeClr w14:val="tx1"/>
            </w14:solidFill>
          </w14:textFill>
        </w:rPr>
      </w:pPr>
      <w:bookmarkStart w:id="15" w:name="_GoBack"/>
      <w:bookmarkEnd w:id="15"/>
      <w:r>
        <w:rPr>
          <w:rFonts w:hint="eastAsia" w:ascii="宋体" w:hAnsi="宋体" w:cs="宋体"/>
          <w:color w:val="000000" w:themeColor="text1"/>
          <w:szCs w:val="24"/>
          <w:highlight w:val="none"/>
          <w14:textFill>
            <w14:solidFill>
              <w14:schemeClr w14:val="tx1"/>
            </w14:solidFill>
          </w14:textFill>
        </w:rPr>
        <w:t>4.保修期（质保期）外乙方应继续按第八条规定提供服务，安排销售人员对甲方进行走访，维修只收工本费。对临界使用寿命的或严重毁损的器材提醒及时报废。</w:t>
      </w:r>
    </w:p>
    <w:p w14:paraId="12A680DC">
      <w:pPr>
        <w:spacing w:line="360" w:lineRule="auto"/>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九、乙方提供技术与服务</w:t>
      </w:r>
    </w:p>
    <w:p w14:paraId="18AA40E8">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随同货物提供相应的中文技术文件（包括产品合格证、装箱清单、操作手册、使用说明、检测报告、维护手册、服务指南等资料）；</w:t>
      </w:r>
    </w:p>
    <w:p w14:paraId="5688B49C">
      <w:pPr>
        <w:spacing w:line="360" w:lineRule="auto"/>
        <w:ind w:firstLine="48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 xml:space="preserve">现场安装、调试、试运行技术保障服务； </w:t>
      </w:r>
    </w:p>
    <w:p w14:paraId="5585A494">
      <w:pPr>
        <w:spacing w:line="360" w:lineRule="auto"/>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十、违约责任</w:t>
      </w:r>
    </w:p>
    <w:p w14:paraId="349CBF81">
      <w:pPr>
        <w:adjustRightInd w:val="0"/>
        <w:snapToGrid w:val="0"/>
        <w:spacing w:line="360" w:lineRule="auto"/>
        <w:ind w:firstLine="480" w:firstLineChars="200"/>
        <w:rPr>
          <w:rFonts w:ascii="宋体" w:hAnsi="宋体" w:cs="宋体"/>
          <w:color w:val="000000" w:themeColor="text1"/>
          <w:sz w:val="24"/>
          <w:szCs w:val="32"/>
          <w14:textFill>
            <w14:solidFill>
              <w14:schemeClr w14:val="tx1"/>
            </w14:solidFill>
          </w14:textFill>
        </w:rPr>
      </w:pPr>
      <w:r>
        <w:rPr>
          <w:rFonts w:hint="eastAsia" w:ascii="宋体" w:hAnsi="宋体" w:cs="宋体"/>
          <w:b w:val="0"/>
          <w:bCs/>
          <w:color w:val="000000" w:themeColor="text1"/>
          <w:sz w:val="24"/>
          <w:szCs w:val="32"/>
          <w14:textFill>
            <w14:solidFill>
              <w14:schemeClr w14:val="tx1"/>
            </w14:solidFill>
          </w14:textFill>
        </w:rPr>
        <w:t>1.</w:t>
      </w:r>
      <w:r>
        <w:rPr>
          <w:rFonts w:hint="eastAsia" w:ascii="宋体" w:hAnsi="宋体" w:cs="宋体"/>
          <w:color w:val="000000" w:themeColor="text1"/>
          <w:sz w:val="24"/>
          <w:szCs w:val="32"/>
          <w14:textFill>
            <w14:solidFill>
              <w14:schemeClr w14:val="tx1"/>
            </w14:solidFill>
          </w14:textFill>
        </w:rPr>
        <w:t>按《中华人民共和国民法典》中的相关条款执行；</w:t>
      </w:r>
    </w:p>
    <w:p w14:paraId="7C6B8A95">
      <w:pPr>
        <w:adjustRightInd w:val="0"/>
        <w:snapToGrid w:val="0"/>
        <w:spacing w:line="360" w:lineRule="auto"/>
        <w:ind w:firstLine="480" w:firstLineChars="200"/>
        <w:rPr>
          <w:rFonts w:ascii="宋体" w:hAnsi="宋体" w:cs="宋体"/>
          <w:color w:val="000000" w:themeColor="text1"/>
          <w:sz w:val="24"/>
          <w:szCs w:val="32"/>
          <w14:textFill>
            <w14:solidFill>
              <w14:schemeClr w14:val="tx1"/>
            </w14:solidFill>
          </w14:textFill>
        </w:rPr>
      </w:pPr>
      <w:r>
        <w:rPr>
          <w:rFonts w:hint="eastAsia" w:ascii="宋体" w:hAnsi="宋体" w:cs="宋体"/>
          <w:b w:val="0"/>
          <w:bCs/>
          <w:color w:val="000000" w:themeColor="text1"/>
          <w:sz w:val="24"/>
          <w:szCs w:val="32"/>
          <w14:textFill>
            <w14:solidFill>
              <w14:schemeClr w14:val="tx1"/>
            </w14:solidFill>
          </w14:textFill>
        </w:rPr>
        <w:t>2.</w:t>
      </w:r>
      <w:r>
        <w:rPr>
          <w:rFonts w:hint="eastAsia" w:ascii="宋体" w:hAnsi="宋体" w:cs="宋体"/>
          <w:color w:val="000000" w:themeColor="text1"/>
          <w:spacing w:val="-2"/>
          <w:sz w:val="24"/>
          <w:szCs w:val="32"/>
          <w:lang w:val="en-US" w:eastAsia="zh-CN"/>
          <w14:textFill>
            <w14:solidFill>
              <w14:schemeClr w14:val="tx1"/>
            </w14:solidFill>
          </w14:textFill>
        </w:rPr>
        <w:t>供应商</w:t>
      </w:r>
      <w:r>
        <w:rPr>
          <w:rFonts w:hint="eastAsia" w:ascii="宋体" w:hAnsi="宋体" w:cs="宋体"/>
          <w:color w:val="000000" w:themeColor="text1"/>
          <w:sz w:val="24"/>
          <w:szCs w:val="32"/>
          <w14:textFill>
            <w14:solidFill>
              <w14:schemeClr w14:val="tx1"/>
            </w14:solidFill>
          </w14:textFill>
        </w:rPr>
        <w:t>未能按期履行合同或</w:t>
      </w:r>
      <w:r>
        <w:rPr>
          <w:rFonts w:hint="eastAsia" w:ascii="宋体" w:hAnsi="宋体" w:cs="宋体"/>
          <w:color w:val="000000" w:themeColor="text1"/>
          <w:spacing w:val="-2"/>
          <w:sz w:val="24"/>
          <w:szCs w:val="32"/>
          <w:lang w:val="en-US" w:eastAsia="zh-CN"/>
          <w14:textFill>
            <w14:solidFill>
              <w14:schemeClr w14:val="tx1"/>
            </w14:solidFill>
          </w14:textFill>
        </w:rPr>
        <w:t>供应商</w:t>
      </w:r>
      <w:r>
        <w:rPr>
          <w:rFonts w:hint="eastAsia" w:ascii="宋体" w:hAnsi="宋体" w:cs="宋体"/>
          <w:color w:val="000000" w:themeColor="text1"/>
          <w:sz w:val="24"/>
          <w:szCs w:val="32"/>
          <w14:textFill>
            <w14:solidFill>
              <w14:schemeClr w14:val="tx1"/>
            </w14:solidFill>
          </w14:textFill>
        </w:rPr>
        <w:t>未按合同要求提供货物或货物质量不能满足采购</w:t>
      </w:r>
      <w:r>
        <w:rPr>
          <w:rFonts w:hint="eastAsia" w:ascii="宋体" w:hAnsi="宋体" w:cs="宋体"/>
          <w:color w:val="000000" w:themeColor="text1"/>
          <w:sz w:val="24"/>
          <w:szCs w:val="32"/>
          <w:lang w:val="en-US" w:eastAsia="zh-CN"/>
          <w14:textFill>
            <w14:solidFill>
              <w14:schemeClr w14:val="tx1"/>
            </w14:solidFill>
          </w14:textFill>
        </w:rPr>
        <w:t>人</w:t>
      </w:r>
      <w:r>
        <w:rPr>
          <w:rFonts w:hint="eastAsia" w:ascii="宋体" w:hAnsi="宋体" w:cs="宋体"/>
          <w:color w:val="000000" w:themeColor="text1"/>
          <w:sz w:val="24"/>
          <w:szCs w:val="32"/>
          <w14:textFill>
            <w14:solidFill>
              <w14:schemeClr w14:val="tx1"/>
            </w14:solidFill>
          </w14:textFill>
        </w:rPr>
        <w:t>要求，采购</w:t>
      </w:r>
      <w:r>
        <w:rPr>
          <w:rFonts w:hint="eastAsia" w:ascii="宋体" w:hAnsi="宋体" w:cs="宋体"/>
          <w:color w:val="000000" w:themeColor="text1"/>
          <w:sz w:val="24"/>
          <w:szCs w:val="32"/>
          <w:lang w:val="en-US" w:eastAsia="zh-CN"/>
          <w14:textFill>
            <w14:solidFill>
              <w14:schemeClr w14:val="tx1"/>
            </w14:solidFill>
          </w14:textFill>
        </w:rPr>
        <w:t>人</w:t>
      </w:r>
      <w:r>
        <w:rPr>
          <w:rFonts w:hint="eastAsia" w:ascii="宋体" w:hAnsi="宋体" w:cs="宋体"/>
          <w:color w:val="000000" w:themeColor="text1"/>
          <w:sz w:val="24"/>
          <w:szCs w:val="32"/>
          <w14:textFill>
            <w14:solidFill>
              <w14:schemeClr w14:val="tx1"/>
            </w14:solidFill>
          </w14:textFill>
        </w:rPr>
        <w:t>有权单方面解除合同，</w:t>
      </w:r>
      <w:r>
        <w:rPr>
          <w:rFonts w:hint="eastAsia" w:ascii="宋体" w:hAnsi="宋体" w:cs="宋体"/>
          <w:color w:val="000000" w:themeColor="text1"/>
          <w:spacing w:val="-2"/>
          <w:sz w:val="24"/>
          <w:szCs w:val="32"/>
          <w:lang w:val="en-US" w:eastAsia="zh-CN"/>
          <w14:textFill>
            <w14:solidFill>
              <w14:schemeClr w14:val="tx1"/>
            </w14:solidFill>
          </w14:textFill>
        </w:rPr>
        <w:t>供应商</w:t>
      </w:r>
      <w:r>
        <w:rPr>
          <w:rFonts w:hint="eastAsia" w:ascii="宋体" w:hAnsi="宋体" w:cs="宋体"/>
          <w:color w:val="000000" w:themeColor="text1"/>
          <w:sz w:val="24"/>
          <w:szCs w:val="32"/>
          <w14:textFill>
            <w14:solidFill>
              <w14:schemeClr w14:val="tx1"/>
            </w14:solidFill>
          </w14:textFill>
        </w:rPr>
        <w:t>除应返还采购</w:t>
      </w:r>
      <w:r>
        <w:rPr>
          <w:rFonts w:hint="eastAsia" w:ascii="宋体" w:hAnsi="宋体" w:cs="宋体"/>
          <w:color w:val="000000" w:themeColor="text1"/>
          <w:sz w:val="24"/>
          <w:szCs w:val="32"/>
          <w:lang w:val="en-US" w:eastAsia="zh-CN"/>
          <w14:textFill>
            <w14:solidFill>
              <w14:schemeClr w14:val="tx1"/>
            </w14:solidFill>
          </w14:textFill>
        </w:rPr>
        <w:t>人</w:t>
      </w:r>
      <w:r>
        <w:rPr>
          <w:rFonts w:hint="eastAsia" w:ascii="宋体" w:hAnsi="宋体" w:cs="宋体"/>
          <w:color w:val="000000" w:themeColor="text1"/>
          <w:sz w:val="24"/>
          <w:szCs w:val="32"/>
          <w14:textFill>
            <w14:solidFill>
              <w14:schemeClr w14:val="tx1"/>
            </w14:solidFill>
          </w14:textFill>
        </w:rPr>
        <w:t>已支付的款项外，还应承担本合同总金额20%的违约金，违约金不足以弥补损失的，</w:t>
      </w:r>
      <w:r>
        <w:rPr>
          <w:rFonts w:hint="eastAsia" w:ascii="宋体" w:hAnsi="宋体" w:cs="宋体"/>
          <w:color w:val="000000" w:themeColor="text1"/>
          <w:spacing w:val="-2"/>
          <w:sz w:val="24"/>
          <w:szCs w:val="32"/>
          <w:lang w:val="en-US" w:eastAsia="zh-CN"/>
          <w14:textFill>
            <w14:solidFill>
              <w14:schemeClr w14:val="tx1"/>
            </w14:solidFill>
          </w14:textFill>
        </w:rPr>
        <w:t>供应商</w:t>
      </w:r>
      <w:r>
        <w:rPr>
          <w:rFonts w:hint="eastAsia" w:ascii="宋体" w:hAnsi="宋体" w:cs="宋体"/>
          <w:color w:val="000000" w:themeColor="text1"/>
          <w:sz w:val="24"/>
          <w:szCs w:val="32"/>
          <w14:textFill>
            <w14:solidFill>
              <w14:schemeClr w14:val="tx1"/>
            </w14:solidFill>
          </w14:textFill>
        </w:rPr>
        <w:t>应予补足；</w:t>
      </w:r>
    </w:p>
    <w:p w14:paraId="44B06459">
      <w:pPr>
        <w:adjustRightInd w:val="0"/>
        <w:snapToGrid w:val="0"/>
        <w:spacing w:line="360" w:lineRule="auto"/>
        <w:ind w:firstLine="480" w:firstLineChars="200"/>
        <w:rPr>
          <w:rFonts w:ascii="宋体" w:hAnsi="宋体" w:cs="宋体"/>
          <w:color w:val="000000" w:themeColor="text1"/>
          <w:sz w:val="24"/>
          <w:szCs w:val="32"/>
          <w14:textFill>
            <w14:solidFill>
              <w14:schemeClr w14:val="tx1"/>
            </w14:solidFill>
          </w14:textFill>
        </w:rPr>
      </w:pPr>
      <w:r>
        <w:rPr>
          <w:rFonts w:hint="eastAsia" w:ascii="宋体" w:hAnsi="宋体" w:cs="宋体"/>
          <w:b w:val="0"/>
          <w:bCs/>
          <w:color w:val="000000" w:themeColor="text1"/>
          <w:sz w:val="24"/>
          <w:szCs w:val="32"/>
          <w14:textFill>
            <w14:solidFill>
              <w14:schemeClr w14:val="tx1"/>
            </w14:solidFill>
          </w14:textFill>
        </w:rPr>
        <w:t>3.</w:t>
      </w:r>
      <w:r>
        <w:rPr>
          <w:rFonts w:hint="eastAsia" w:ascii="宋体" w:hAnsi="宋体" w:cs="宋体"/>
          <w:color w:val="000000" w:themeColor="text1"/>
          <w:sz w:val="24"/>
          <w:szCs w:val="32"/>
          <w14:textFill>
            <w14:solidFill>
              <w14:schemeClr w14:val="tx1"/>
            </w14:solidFill>
          </w14:textFill>
        </w:rPr>
        <w:t>交货期每逾期一天，</w:t>
      </w:r>
      <w:r>
        <w:rPr>
          <w:rFonts w:hint="eastAsia" w:ascii="宋体" w:hAnsi="宋体" w:cs="宋体"/>
          <w:color w:val="000000" w:themeColor="text1"/>
          <w:spacing w:val="-2"/>
          <w:sz w:val="24"/>
          <w:szCs w:val="32"/>
          <w:lang w:val="en-US" w:eastAsia="zh-CN"/>
          <w14:textFill>
            <w14:solidFill>
              <w14:schemeClr w14:val="tx1"/>
            </w14:solidFill>
          </w14:textFill>
        </w:rPr>
        <w:t>供应商</w:t>
      </w:r>
      <w:r>
        <w:rPr>
          <w:rFonts w:hint="eastAsia" w:ascii="宋体" w:hAnsi="宋体" w:cs="宋体"/>
          <w:color w:val="000000" w:themeColor="text1"/>
          <w:sz w:val="24"/>
          <w:szCs w:val="32"/>
          <w14:textFill>
            <w14:solidFill>
              <w14:schemeClr w14:val="tx1"/>
            </w14:solidFill>
          </w14:textFill>
        </w:rPr>
        <w:t>应向采购</w:t>
      </w:r>
      <w:r>
        <w:rPr>
          <w:rFonts w:hint="eastAsia" w:ascii="宋体" w:hAnsi="宋体" w:cs="宋体"/>
          <w:color w:val="000000" w:themeColor="text1"/>
          <w:sz w:val="24"/>
          <w:szCs w:val="32"/>
          <w:lang w:val="en-US" w:eastAsia="zh-CN"/>
          <w14:textFill>
            <w14:solidFill>
              <w14:schemeClr w14:val="tx1"/>
            </w14:solidFill>
          </w14:textFill>
        </w:rPr>
        <w:t>人</w:t>
      </w:r>
      <w:r>
        <w:rPr>
          <w:rFonts w:hint="eastAsia" w:ascii="宋体" w:hAnsi="宋体" w:cs="宋体"/>
          <w:color w:val="000000" w:themeColor="text1"/>
          <w:sz w:val="24"/>
          <w:szCs w:val="32"/>
          <w14:textFill>
            <w14:solidFill>
              <w14:schemeClr w14:val="tx1"/>
            </w14:solidFill>
          </w14:textFill>
        </w:rPr>
        <w:t>支付合同总价款的5‰违约金。逾期超过15日的，采购</w:t>
      </w:r>
      <w:r>
        <w:rPr>
          <w:rFonts w:hint="eastAsia" w:ascii="宋体" w:hAnsi="宋体" w:cs="宋体"/>
          <w:color w:val="000000" w:themeColor="text1"/>
          <w:sz w:val="24"/>
          <w:szCs w:val="32"/>
          <w:lang w:val="en-US" w:eastAsia="zh-CN"/>
          <w14:textFill>
            <w14:solidFill>
              <w14:schemeClr w14:val="tx1"/>
            </w14:solidFill>
          </w14:textFill>
        </w:rPr>
        <w:t>人</w:t>
      </w:r>
      <w:r>
        <w:rPr>
          <w:rFonts w:hint="eastAsia" w:ascii="宋体" w:hAnsi="宋体" w:cs="宋体"/>
          <w:color w:val="000000" w:themeColor="text1"/>
          <w:sz w:val="24"/>
          <w:szCs w:val="32"/>
          <w14:textFill>
            <w14:solidFill>
              <w14:schemeClr w14:val="tx1"/>
            </w14:solidFill>
          </w14:textFill>
        </w:rPr>
        <w:t>有权单方面解除本合同，</w:t>
      </w:r>
      <w:r>
        <w:rPr>
          <w:rFonts w:hint="eastAsia" w:ascii="宋体" w:hAnsi="宋体" w:cs="宋体"/>
          <w:color w:val="000000" w:themeColor="text1"/>
          <w:spacing w:val="-2"/>
          <w:sz w:val="24"/>
          <w:szCs w:val="32"/>
          <w:lang w:val="en-US" w:eastAsia="zh-CN"/>
          <w14:textFill>
            <w14:solidFill>
              <w14:schemeClr w14:val="tx1"/>
            </w14:solidFill>
          </w14:textFill>
        </w:rPr>
        <w:t>供应商</w:t>
      </w:r>
      <w:r>
        <w:rPr>
          <w:rFonts w:hint="eastAsia" w:ascii="宋体" w:hAnsi="宋体" w:cs="宋体"/>
          <w:color w:val="000000" w:themeColor="text1"/>
          <w:sz w:val="24"/>
          <w:szCs w:val="32"/>
          <w14:textFill>
            <w14:solidFill>
              <w14:schemeClr w14:val="tx1"/>
            </w14:solidFill>
          </w14:textFill>
        </w:rPr>
        <w:t>除退还采购</w:t>
      </w:r>
      <w:r>
        <w:rPr>
          <w:rFonts w:hint="eastAsia" w:ascii="宋体" w:hAnsi="宋体" w:cs="宋体"/>
          <w:color w:val="000000" w:themeColor="text1"/>
          <w:sz w:val="24"/>
          <w:szCs w:val="32"/>
          <w:lang w:val="en-US" w:eastAsia="zh-CN"/>
          <w14:textFill>
            <w14:solidFill>
              <w14:schemeClr w14:val="tx1"/>
            </w14:solidFill>
          </w14:textFill>
        </w:rPr>
        <w:t>人</w:t>
      </w:r>
      <w:r>
        <w:rPr>
          <w:rFonts w:hint="eastAsia" w:ascii="宋体" w:hAnsi="宋体" w:cs="宋体"/>
          <w:color w:val="000000" w:themeColor="text1"/>
          <w:sz w:val="24"/>
          <w:szCs w:val="32"/>
          <w14:textFill>
            <w14:solidFill>
              <w14:schemeClr w14:val="tx1"/>
            </w14:solidFill>
          </w14:textFill>
        </w:rPr>
        <w:t>已支付全部费用外还应按照合同总价的20%向采购</w:t>
      </w:r>
      <w:r>
        <w:rPr>
          <w:rFonts w:hint="eastAsia" w:ascii="宋体" w:hAnsi="宋体" w:cs="宋体"/>
          <w:color w:val="000000" w:themeColor="text1"/>
          <w:sz w:val="24"/>
          <w:szCs w:val="32"/>
          <w:lang w:val="en-US" w:eastAsia="zh-CN"/>
          <w14:textFill>
            <w14:solidFill>
              <w14:schemeClr w14:val="tx1"/>
            </w14:solidFill>
          </w14:textFill>
        </w:rPr>
        <w:t>人</w:t>
      </w:r>
      <w:r>
        <w:rPr>
          <w:rFonts w:hint="eastAsia" w:ascii="宋体" w:hAnsi="宋体" w:cs="宋体"/>
          <w:color w:val="000000" w:themeColor="text1"/>
          <w:sz w:val="24"/>
          <w:szCs w:val="32"/>
          <w14:textFill>
            <w14:solidFill>
              <w14:schemeClr w14:val="tx1"/>
            </w14:solidFill>
          </w14:textFill>
        </w:rPr>
        <w:t>支付违约金。违约金不足以弥补损失的，</w:t>
      </w:r>
      <w:r>
        <w:rPr>
          <w:rFonts w:hint="eastAsia" w:ascii="宋体" w:hAnsi="宋体" w:cs="宋体"/>
          <w:color w:val="000000" w:themeColor="text1"/>
          <w:spacing w:val="-2"/>
          <w:sz w:val="24"/>
          <w:szCs w:val="32"/>
          <w:lang w:val="en-US" w:eastAsia="zh-CN"/>
          <w14:textFill>
            <w14:solidFill>
              <w14:schemeClr w14:val="tx1"/>
            </w14:solidFill>
          </w14:textFill>
        </w:rPr>
        <w:t>供应商</w:t>
      </w:r>
      <w:r>
        <w:rPr>
          <w:rFonts w:hint="eastAsia" w:ascii="宋体" w:hAnsi="宋体" w:cs="宋体"/>
          <w:color w:val="000000" w:themeColor="text1"/>
          <w:sz w:val="24"/>
          <w:szCs w:val="32"/>
          <w14:textFill>
            <w14:solidFill>
              <w14:schemeClr w14:val="tx1"/>
            </w14:solidFill>
          </w14:textFill>
        </w:rPr>
        <w:t>应予以补足。</w:t>
      </w:r>
    </w:p>
    <w:p w14:paraId="6D8DB1DD">
      <w:pPr>
        <w:adjustRightInd w:val="0"/>
        <w:snapToGrid w:val="0"/>
        <w:spacing w:line="360" w:lineRule="auto"/>
        <w:ind w:firstLine="480" w:firstLineChars="200"/>
        <w:rPr>
          <w:rFonts w:hint="eastAsia" w:ascii="宋体" w:hAnsi="宋体" w:cs="宋体"/>
          <w:color w:val="000000" w:themeColor="text1"/>
          <w:sz w:val="24"/>
          <w:szCs w:val="32"/>
          <w14:textFill>
            <w14:solidFill>
              <w14:schemeClr w14:val="tx1"/>
            </w14:solidFill>
          </w14:textFill>
        </w:rPr>
      </w:pPr>
      <w:r>
        <w:rPr>
          <w:rFonts w:hint="eastAsia" w:ascii="宋体" w:hAnsi="宋体" w:cs="宋体"/>
          <w:b w:val="0"/>
          <w:bCs/>
          <w:color w:val="000000" w:themeColor="text1"/>
          <w:sz w:val="24"/>
          <w:szCs w:val="32"/>
          <w14:textFill>
            <w14:solidFill>
              <w14:schemeClr w14:val="tx1"/>
            </w14:solidFill>
          </w14:textFill>
        </w:rPr>
        <w:t>4.</w:t>
      </w:r>
      <w:r>
        <w:rPr>
          <w:rFonts w:hint="eastAsia" w:ascii="宋体" w:hAnsi="宋体" w:cs="宋体"/>
          <w:color w:val="000000" w:themeColor="text1"/>
          <w:sz w:val="24"/>
          <w:szCs w:val="32"/>
          <w14:textFill>
            <w14:solidFill>
              <w14:schemeClr w14:val="tx1"/>
            </w14:solidFill>
          </w14:textFill>
        </w:rPr>
        <w:t>未按合同要求提供产品或设备质量不能满足技术要求，采购</w:t>
      </w:r>
      <w:r>
        <w:rPr>
          <w:rFonts w:hint="eastAsia" w:ascii="宋体" w:hAnsi="宋体" w:cs="宋体"/>
          <w:color w:val="000000" w:themeColor="text1"/>
          <w:sz w:val="24"/>
          <w:szCs w:val="32"/>
          <w:lang w:val="en-US" w:eastAsia="zh-CN"/>
          <w14:textFill>
            <w14:solidFill>
              <w14:schemeClr w14:val="tx1"/>
            </w14:solidFill>
          </w14:textFill>
        </w:rPr>
        <w:t>人</w:t>
      </w:r>
      <w:r>
        <w:rPr>
          <w:rFonts w:hint="eastAsia" w:ascii="宋体" w:hAnsi="宋体" w:cs="宋体"/>
          <w:color w:val="000000" w:themeColor="text1"/>
          <w:sz w:val="24"/>
          <w:szCs w:val="32"/>
          <w14:textFill>
            <w14:solidFill>
              <w14:schemeClr w14:val="tx1"/>
            </w14:solidFill>
          </w14:textFill>
        </w:rPr>
        <w:t>有权终止合同，并对中标单位违约行为进行追究，同时按《政府采购法》的有关规定进行处罚。</w:t>
      </w:r>
    </w:p>
    <w:p w14:paraId="27F5A88A">
      <w:pPr>
        <w:adjustRightInd w:val="0"/>
        <w:snapToGrid w:val="0"/>
        <w:spacing w:line="360" w:lineRule="auto"/>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十一、验收</w:t>
      </w:r>
    </w:p>
    <w:p w14:paraId="56EE9A4C">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bookmarkStart w:id="14" w:name="_Toc341636310"/>
      <w:r>
        <w:rPr>
          <w:rFonts w:hint="eastAsia" w:ascii="宋体" w:hAnsi="宋体" w:cs="宋体"/>
          <w:bCs/>
          <w:color w:val="000000" w:themeColor="text1"/>
          <w:sz w:val="24"/>
          <w:szCs w:val="32"/>
          <w14:textFill>
            <w14:solidFill>
              <w14:schemeClr w14:val="tx1"/>
            </w14:solidFill>
          </w14:textFill>
        </w:rPr>
        <w:t>由采购人和供应商共同对项目进行验收。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1AA236DE">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r>
        <w:rPr>
          <w:rFonts w:hint="eastAsia" w:ascii="宋体" w:hAnsi="宋体" w:cs="宋体"/>
          <w:b w:val="0"/>
          <w:bCs/>
          <w:color w:val="000000" w:themeColor="text1"/>
          <w:sz w:val="24"/>
          <w:szCs w:val="32"/>
          <w14:textFill>
            <w14:solidFill>
              <w14:schemeClr w14:val="tx1"/>
            </w14:solidFill>
          </w14:textFill>
        </w:rPr>
        <w:t>1.</w:t>
      </w:r>
      <w:r>
        <w:rPr>
          <w:rFonts w:hint="eastAsia" w:ascii="宋体" w:hAnsi="宋体" w:cs="宋体"/>
          <w:bCs/>
          <w:color w:val="000000" w:themeColor="text1"/>
          <w:sz w:val="24"/>
          <w:szCs w:val="32"/>
          <w14:textFill>
            <w14:solidFill>
              <w14:schemeClr w14:val="tx1"/>
            </w14:solidFill>
          </w14:textFill>
        </w:rPr>
        <w:t>所验产品的指标、性能参数通过验收达不到</w:t>
      </w:r>
      <w:r>
        <w:rPr>
          <w:rFonts w:hint="eastAsia" w:ascii="宋体" w:hAnsi="宋体" w:cs="宋体"/>
          <w:bCs/>
          <w:color w:val="000000" w:themeColor="text1"/>
          <w:sz w:val="24"/>
          <w:szCs w:val="32"/>
          <w:lang w:eastAsia="zh-CN"/>
          <w14:textFill>
            <w14:solidFill>
              <w14:schemeClr w14:val="tx1"/>
            </w14:solidFill>
          </w14:textFill>
        </w:rPr>
        <w:t>采购文件</w:t>
      </w:r>
      <w:r>
        <w:rPr>
          <w:rFonts w:hint="eastAsia" w:ascii="宋体" w:hAnsi="宋体" w:cs="宋体"/>
          <w:bCs/>
          <w:color w:val="000000" w:themeColor="text1"/>
          <w:sz w:val="24"/>
          <w:szCs w:val="32"/>
          <w14:textFill>
            <w14:solidFill>
              <w14:schemeClr w14:val="tx1"/>
            </w14:solidFill>
          </w14:textFill>
        </w:rPr>
        <w:t>要求和</w:t>
      </w:r>
      <w:r>
        <w:rPr>
          <w:rFonts w:hint="eastAsia" w:ascii="宋体" w:hAnsi="宋体" w:cs="宋体"/>
          <w:bCs/>
          <w:color w:val="000000" w:themeColor="text1"/>
          <w:sz w:val="24"/>
          <w:szCs w:val="32"/>
          <w:lang w:eastAsia="zh-CN"/>
          <w14:textFill>
            <w14:solidFill>
              <w14:schemeClr w14:val="tx1"/>
            </w14:solidFill>
          </w14:textFill>
        </w:rPr>
        <w:t>响应文件</w:t>
      </w:r>
      <w:r>
        <w:rPr>
          <w:rFonts w:hint="eastAsia" w:ascii="宋体" w:hAnsi="宋体" w:cs="宋体"/>
          <w:bCs/>
          <w:color w:val="000000" w:themeColor="text1"/>
          <w:sz w:val="24"/>
          <w:szCs w:val="32"/>
          <w14:textFill>
            <w14:solidFill>
              <w14:schemeClr w14:val="tx1"/>
            </w14:solidFill>
          </w14:textFill>
        </w:rPr>
        <w:t>承诺的，或在使用中发现设计缺陷等，将视为产品验收不合格，供应商应无条件免费更换或退货。</w:t>
      </w:r>
    </w:p>
    <w:p w14:paraId="5C1FB3A5">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r>
        <w:rPr>
          <w:rFonts w:hint="eastAsia" w:ascii="宋体" w:hAnsi="宋体" w:cs="宋体"/>
          <w:b w:val="0"/>
          <w:bCs/>
          <w:color w:val="000000" w:themeColor="text1"/>
          <w:sz w:val="24"/>
          <w:szCs w:val="32"/>
          <w14:textFill>
            <w14:solidFill>
              <w14:schemeClr w14:val="tx1"/>
            </w14:solidFill>
          </w14:textFill>
        </w:rPr>
        <w:t>2.</w:t>
      </w:r>
      <w:r>
        <w:rPr>
          <w:rFonts w:hint="eastAsia" w:ascii="宋体" w:hAnsi="宋体" w:cs="宋体"/>
          <w:bCs/>
          <w:color w:val="000000" w:themeColor="text1"/>
          <w:sz w:val="24"/>
          <w:szCs w:val="32"/>
          <w14:textFill>
            <w14:solidFill>
              <w14:schemeClr w14:val="tx1"/>
            </w14:solidFill>
          </w14:textFill>
        </w:rPr>
        <w:t>若发现供应商有弄虚作假的，在投标阶段故意或随意夸大产品技术性能，供应商应无条件退货，并赔偿采购人相应的损失。</w:t>
      </w:r>
    </w:p>
    <w:p w14:paraId="473BA858">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r>
        <w:rPr>
          <w:rFonts w:hint="eastAsia" w:ascii="宋体" w:hAnsi="宋体" w:cs="宋体"/>
          <w:b w:val="0"/>
          <w:bCs/>
          <w:color w:val="000000" w:themeColor="text1"/>
          <w:sz w:val="24"/>
          <w:szCs w:val="32"/>
          <w14:textFill>
            <w14:solidFill>
              <w14:schemeClr w14:val="tx1"/>
            </w14:solidFill>
          </w14:textFill>
        </w:rPr>
        <w:t>3.</w:t>
      </w:r>
      <w:r>
        <w:rPr>
          <w:rFonts w:hint="eastAsia" w:ascii="宋体" w:hAnsi="宋体" w:cs="宋体"/>
          <w:bCs/>
          <w:color w:val="000000" w:themeColor="text1"/>
          <w:sz w:val="24"/>
          <w:szCs w:val="32"/>
          <w14:textFill>
            <w14:solidFill>
              <w14:schemeClr w14:val="tx1"/>
            </w14:solidFill>
          </w14:textFill>
        </w:rPr>
        <w:t>验收标准：按</w:t>
      </w:r>
      <w:r>
        <w:rPr>
          <w:rFonts w:hint="eastAsia" w:ascii="宋体" w:hAnsi="宋体" w:cs="宋体"/>
          <w:bCs/>
          <w:color w:val="000000" w:themeColor="text1"/>
          <w:sz w:val="24"/>
          <w:szCs w:val="32"/>
          <w:lang w:eastAsia="zh-CN"/>
          <w14:textFill>
            <w14:solidFill>
              <w14:schemeClr w14:val="tx1"/>
            </w14:solidFill>
          </w14:textFill>
        </w:rPr>
        <w:t>采购文件</w:t>
      </w:r>
      <w:r>
        <w:rPr>
          <w:rFonts w:hint="eastAsia" w:ascii="宋体" w:hAnsi="宋体" w:cs="宋体"/>
          <w:bCs/>
          <w:color w:val="000000" w:themeColor="text1"/>
          <w:sz w:val="24"/>
          <w:szCs w:val="32"/>
          <w14:textFill>
            <w14:solidFill>
              <w14:schemeClr w14:val="tx1"/>
            </w14:solidFill>
          </w14:textFill>
        </w:rPr>
        <w:t>、</w:t>
      </w:r>
      <w:r>
        <w:rPr>
          <w:rFonts w:hint="eastAsia" w:ascii="宋体" w:hAnsi="宋体" w:cs="宋体"/>
          <w:bCs/>
          <w:color w:val="000000" w:themeColor="text1"/>
          <w:sz w:val="24"/>
          <w:szCs w:val="32"/>
          <w:lang w:eastAsia="zh-CN"/>
          <w14:textFill>
            <w14:solidFill>
              <w14:schemeClr w14:val="tx1"/>
            </w14:solidFill>
          </w14:textFill>
        </w:rPr>
        <w:t>响应文件</w:t>
      </w:r>
      <w:r>
        <w:rPr>
          <w:rFonts w:hint="eastAsia" w:ascii="宋体" w:hAnsi="宋体" w:cs="宋体"/>
          <w:bCs/>
          <w:color w:val="000000" w:themeColor="text1"/>
          <w:sz w:val="24"/>
          <w:szCs w:val="32"/>
          <w14:textFill>
            <w14:solidFill>
              <w14:schemeClr w14:val="tx1"/>
            </w14:solidFill>
          </w14:textFill>
        </w:rPr>
        <w:t>及澄清函等技术指标进行验收。各项指标均应符合验收标准及要求。</w:t>
      </w:r>
    </w:p>
    <w:p w14:paraId="56B604EB">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r>
        <w:rPr>
          <w:rFonts w:hint="eastAsia" w:ascii="宋体" w:hAnsi="宋体" w:cs="宋体"/>
          <w:b w:val="0"/>
          <w:bCs/>
          <w:color w:val="000000" w:themeColor="text1"/>
          <w:sz w:val="24"/>
          <w:szCs w:val="32"/>
          <w14:textFill>
            <w14:solidFill>
              <w14:schemeClr w14:val="tx1"/>
            </w14:solidFill>
          </w14:textFill>
        </w:rPr>
        <w:t>4.</w:t>
      </w:r>
      <w:r>
        <w:rPr>
          <w:rFonts w:hint="eastAsia" w:ascii="宋体" w:hAnsi="宋体" w:cs="宋体"/>
          <w:bCs/>
          <w:color w:val="000000" w:themeColor="text1"/>
          <w:sz w:val="24"/>
          <w:szCs w:val="32"/>
          <w14:textFill>
            <w14:solidFill>
              <w14:schemeClr w14:val="tx1"/>
            </w14:solidFill>
          </w14:textFill>
        </w:rPr>
        <w:t>验收合格后，填写验收单，双方签字盖章后生效。</w:t>
      </w:r>
    </w:p>
    <w:p w14:paraId="1FE79A1E">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r>
        <w:rPr>
          <w:rFonts w:hint="eastAsia" w:ascii="宋体" w:hAnsi="宋体" w:cs="宋体"/>
          <w:b w:val="0"/>
          <w:bCs/>
          <w:color w:val="000000" w:themeColor="text1"/>
          <w:sz w:val="24"/>
          <w:szCs w:val="32"/>
          <w14:textFill>
            <w14:solidFill>
              <w14:schemeClr w14:val="tx1"/>
            </w14:solidFill>
          </w14:textFill>
        </w:rPr>
        <w:t>5.</w:t>
      </w:r>
      <w:r>
        <w:rPr>
          <w:rFonts w:hint="eastAsia" w:ascii="宋体" w:hAnsi="宋体" w:cs="宋体"/>
          <w:bCs/>
          <w:color w:val="000000" w:themeColor="text1"/>
          <w:sz w:val="24"/>
          <w:szCs w:val="32"/>
          <w14:textFill>
            <w14:solidFill>
              <w14:schemeClr w14:val="tx1"/>
            </w14:solidFill>
          </w14:textFill>
        </w:rPr>
        <w:t>验收依据：</w:t>
      </w:r>
    </w:p>
    <w:p w14:paraId="13103636">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r>
        <w:rPr>
          <w:rFonts w:hint="eastAsia" w:ascii="宋体" w:hAnsi="宋体" w:cs="宋体"/>
          <w:bCs/>
          <w:color w:val="000000" w:themeColor="text1"/>
          <w:sz w:val="24"/>
          <w:szCs w:val="32"/>
          <w14:textFill>
            <w14:solidFill>
              <w14:schemeClr w14:val="tx1"/>
            </w14:solidFill>
          </w14:textFill>
        </w:rPr>
        <w:t>1）合同文本；</w:t>
      </w:r>
    </w:p>
    <w:p w14:paraId="6FFC69C4">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r>
        <w:rPr>
          <w:rFonts w:hint="eastAsia" w:ascii="宋体" w:hAnsi="宋体" w:cs="宋体"/>
          <w:bCs/>
          <w:color w:val="000000" w:themeColor="text1"/>
          <w:sz w:val="24"/>
          <w:szCs w:val="32"/>
          <w14:textFill>
            <w14:solidFill>
              <w14:schemeClr w14:val="tx1"/>
            </w14:solidFill>
          </w14:textFill>
        </w:rPr>
        <w:t>2）</w:t>
      </w:r>
      <w:r>
        <w:rPr>
          <w:rFonts w:hint="eastAsia" w:ascii="宋体" w:hAnsi="宋体" w:cs="宋体"/>
          <w:bCs/>
          <w:color w:val="000000" w:themeColor="text1"/>
          <w:sz w:val="24"/>
          <w:szCs w:val="32"/>
          <w:lang w:eastAsia="zh-CN"/>
          <w14:textFill>
            <w14:solidFill>
              <w14:schemeClr w14:val="tx1"/>
            </w14:solidFill>
          </w14:textFill>
        </w:rPr>
        <w:t>响应文件</w:t>
      </w:r>
      <w:r>
        <w:rPr>
          <w:rFonts w:hint="eastAsia" w:ascii="宋体" w:hAnsi="宋体" w:cs="宋体"/>
          <w:bCs/>
          <w:color w:val="000000" w:themeColor="text1"/>
          <w:sz w:val="24"/>
          <w:szCs w:val="32"/>
          <w14:textFill>
            <w14:solidFill>
              <w14:schemeClr w14:val="tx1"/>
            </w14:solidFill>
          </w14:textFill>
        </w:rPr>
        <w:t>及澄清函、</w:t>
      </w:r>
      <w:r>
        <w:rPr>
          <w:rFonts w:hint="eastAsia" w:ascii="宋体" w:hAnsi="宋体" w:cs="宋体"/>
          <w:bCs/>
          <w:color w:val="000000" w:themeColor="text1"/>
          <w:sz w:val="24"/>
          <w:szCs w:val="32"/>
          <w:lang w:eastAsia="zh-CN"/>
          <w14:textFill>
            <w14:solidFill>
              <w14:schemeClr w14:val="tx1"/>
            </w14:solidFill>
          </w14:textFill>
        </w:rPr>
        <w:t>采购文件</w:t>
      </w:r>
      <w:r>
        <w:rPr>
          <w:rFonts w:hint="eastAsia" w:ascii="宋体" w:hAnsi="宋体" w:cs="宋体"/>
          <w:bCs/>
          <w:color w:val="000000" w:themeColor="text1"/>
          <w:sz w:val="24"/>
          <w:szCs w:val="32"/>
          <w14:textFill>
            <w14:solidFill>
              <w14:schemeClr w14:val="tx1"/>
            </w14:solidFill>
          </w14:textFill>
        </w:rPr>
        <w:t>；</w:t>
      </w:r>
    </w:p>
    <w:p w14:paraId="41726E3A">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r>
        <w:rPr>
          <w:rFonts w:hint="eastAsia" w:ascii="宋体" w:hAnsi="宋体" w:cs="宋体"/>
          <w:bCs/>
          <w:color w:val="000000" w:themeColor="text1"/>
          <w:sz w:val="24"/>
          <w:szCs w:val="32"/>
          <w14:textFill>
            <w14:solidFill>
              <w14:schemeClr w14:val="tx1"/>
            </w14:solidFill>
          </w14:textFill>
        </w:rPr>
        <w:t>3）国家和行业制定的相应的标准和规范；</w:t>
      </w:r>
    </w:p>
    <w:p w14:paraId="5DFB81CF">
      <w:pPr>
        <w:adjustRightInd w:val="0"/>
        <w:snapToGrid w:val="0"/>
        <w:spacing w:line="360" w:lineRule="auto"/>
        <w:ind w:firstLine="480" w:firstLineChars="200"/>
        <w:rPr>
          <w:rFonts w:ascii="宋体" w:hAnsi="宋体" w:cs="宋体"/>
          <w:bCs/>
          <w:color w:val="000000" w:themeColor="text1"/>
          <w:sz w:val="24"/>
          <w:szCs w:val="32"/>
          <w14:textFill>
            <w14:solidFill>
              <w14:schemeClr w14:val="tx1"/>
            </w14:solidFill>
          </w14:textFill>
        </w:rPr>
      </w:pPr>
      <w:r>
        <w:rPr>
          <w:rFonts w:hint="eastAsia" w:ascii="宋体" w:hAnsi="宋体" w:cs="宋体"/>
          <w:bCs/>
          <w:color w:val="000000" w:themeColor="text1"/>
          <w:sz w:val="24"/>
          <w:szCs w:val="32"/>
          <w14:textFill>
            <w14:solidFill>
              <w14:schemeClr w14:val="tx1"/>
            </w14:solidFill>
          </w14:textFill>
        </w:rPr>
        <w:t>4)产品验收清单（注明各部件的品名、数量、规格型号和原产地或生产厂家）。</w:t>
      </w:r>
    </w:p>
    <w:bookmarkEnd w:id="14"/>
    <w:p w14:paraId="0F2606E9">
      <w:pPr>
        <w:pStyle w:val="3"/>
        <w:spacing w:line="360" w:lineRule="auto"/>
        <w:rPr>
          <w:rFonts w:ascii="宋体" w:hAnsi="宋体" w:cs="宋体"/>
          <w:bCs/>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十二、技术成果</w:t>
      </w:r>
    </w:p>
    <w:p w14:paraId="6E0151DC">
      <w:pPr>
        <w:tabs>
          <w:tab w:val="left" w:pos="480"/>
        </w:tabs>
        <w:spacing w:line="360" w:lineRule="auto"/>
        <w:ind w:firstLine="480" w:firstLineChars="200"/>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本项目采购形成的技术成果归采购人所有。</w:t>
      </w:r>
    </w:p>
    <w:p w14:paraId="3EED7786">
      <w:pPr>
        <w:spacing w:line="360" w:lineRule="auto"/>
        <w:rPr>
          <w:rFonts w:ascii="宋体" w:hAnsi="宋体" w:cs="宋体"/>
          <w:b/>
          <w:bCs/>
          <w:color w:val="000000" w:themeColor="text1"/>
          <w:szCs w:val="24"/>
          <w:highlight w:val="none"/>
          <w14:textFill>
            <w14:solidFill>
              <w14:schemeClr w14:val="tx1"/>
            </w14:solidFill>
          </w14:textFill>
        </w:rPr>
      </w:pPr>
      <w:r>
        <w:rPr>
          <w:rFonts w:hint="eastAsia" w:ascii="宋体" w:hAnsi="宋体" w:cs="宋体"/>
          <w:b/>
          <w:bCs/>
          <w:color w:val="000000" w:themeColor="text1"/>
          <w:szCs w:val="24"/>
          <w:highlight w:val="none"/>
          <w14:textFill>
            <w14:solidFill>
              <w14:schemeClr w14:val="tx1"/>
            </w14:solidFill>
          </w14:textFill>
        </w:rPr>
        <w:t>十</w:t>
      </w:r>
      <w:r>
        <w:rPr>
          <w:rFonts w:hint="eastAsia" w:ascii="宋体" w:hAnsi="宋体" w:cs="宋体"/>
          <w:b/>
          <w:bCs/>
          <w:color w:val="000000" w:themeColor="text1"/>
          <w:szCs w:val="24"/>
          <w:highlight w:val="none"/>
          <w:lang w:val="en-US" w:eastAsia="zh-CN"/>
          <w14:textFill>
            <w14:solidFill>
              <w14:schemeClr w14:val="tx1"/>
            </w14:solidFill>
          </w14:textFill>
        </w:rPr>
        <w:t>三</w:t>
      </w:r>
      <w:r>
        <w:rPr>
          <w:rFonts w:hint="eastAsia" w:ascii="宋体" w:hAnsi="宋体" w:cs="宋体"/>
          <w:b/>
          <w:bCs/>
          <w:color w:val="000000" w:themeColor="text1"/>
          <w:szCs w:val="24"/>
          <w:highlight w:val="none"/>
          <w14:textFill>
            <w14:solidFill>
              <w14:schemeClr w14:val="tx1"/>
            </w14:solidFill>
          </w14:textFill>
        </w:rPr>
        <w:t>、保密责任</w:t>
      </w:r>
    </w:p>
    <w:p w14:paraId="370F2C71">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双方均应遵守《中华人民共和国保守国家秘密法》和其它相关规定，妥善保管对方提供的资料，保守对方的各项秘密，保护对方的知识产权；未经对方许可，不得利用知悉的对方资料和成果为自己或第三方谋取利益。</w:t>
      </w:r>
    </w:p>
    <w:p w14:paraId="5C28BFF1">
      <w:pPr>
        <w:spacing w:line="360" w:lineRule="auto"/>
        <w:rPr>
          <w:rFonts w:ascii="宋体" w:hAnsi="宋体" w:cs="宋体"/>
          <w:b/>
          <w:bCs/>
          <w:color w:val="000000" w:themeColor="text1"/>
          <w:szCs w:val="24"/>
          <w:highlight w:val="none"/>
          <w14:textFill>
            <w14:solidFill>
              <w14:schemeClr w14:val="tx1"/>
            </w14:solidFill>
          </w14:textFill>
        </w:rPr>
      </w:pPr>
      <w:r>
        <w:rPr>
          <w:rFonts w:hint="eastAsia" w:ascii="宋体" w:hAnsi="宋体" w:cs="宋体"/>
          <w:b/>
          <w:bCs/>
          <w:color w:val="000000" w:themeColor="text1"/>
          <w:szCs w:val="24"/>
          <w:highlight w:val="none"/>
          <w14:textFill>
            <w14:solidFill>
              <w14:schemeClr w14:val="tx1"/>
            </w14:solidFill>
          </w14:textFill>
        </w:rPr>
        <w:t>十</w:t>
      </w:r>
      <w:r>
        <w:rPr>
          <w:rFonts w:hint="eastAsia" w:ascii="宋体" w:hAnsi="宋体" w:cs="宋体"/>
          <w:b/>
          <w:bCs/>
          <w:color w:val="000000" w:themeColor="text1"/>
          <w:szCs w:val="24"/>
          <w:highlight w:val="none"/>
          <w:lang w:val="en-US" w:eastAsia="zh-CN"/>
          <w14:textFill>
            <w14:solidFill>
              <w14:schemeClr w14:val="tx1"/>
            </w14:solidFill>
          </w14:textFill>
        </w:rPr>
        <w:t>四</w:t>
      </w:r>
      <w:r>
        <w:rPr>
          <w:rFonts w:hint="eastAsia" w:ascii="宋体" w:hAnsi="宋体" w:cs="宋体"/>
          <w:b/>
          <w:bCs/>
          <w:color w:val="000000" w:themeColor="text1"/>
          <w:szCs w:val="24"/>
          <w:highlight w:val="none"/>
          <w14:textFill>
            <w14:solidFill>
              <w14:schemeClr w14:val="tx1"/>
            </w14:solidFill>
          </w14:textFill>
        </w:rPr>
        <w:t>、通知与送达</w:t>
      </w:r>
    </w:p>
    <w:p w14:paraId="2258790A">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甲乙双方应当在3天内将与合同有关的通知、批准、证明、证书、指示、指令、要求、请求、同意、意见、确定和决定等书面函件送达对方当事人。</w:t>
      </w:r>
    </w:p>
    <w:p w14:paraId="37282B1B">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甲乙双方的送达接收人和送达地点以合同中明确的联系人，联系地址为准。双方确保合同中的联系方式真实有效。任何一方合同当事人指定的接收人或送达地点发生变动的，应提前3天以书面形式通知对方。</w:t>
      </w:r>
    </w:p>
    <w:p w14:paraId="1B0A86AC">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3</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甲乙双方应当及时签收另一方送达至送达地点和指定接收人的来往信函。拒不签收的，由此增加的费用和（或）延误的交货期由拒绝接收一方承担。</w:t>
      </w:r>
    </w:p>
    <w:p w14:paraId="7DDD427B">
      <w:pPr>
        <w:spacing w:line="360" w:lineRule="auto"/>
        <w:rPr>
          <w:rFonts w:ascii="宋体" w:hAnsi="宋体" w:cs="宋体"/>
          <w:b/>
          <w:bCs/>
          <w:color w:val="000000" w:themeColor="text1"/>
          <w:szCs w:val="24"/>
          <w:highlight w:val="none"/>
          <w14:textFill>
            <w14:solidFill>
              <w14:schemeClr w14:val="tx1"/>
            </w14:solidFill>
          </w14:textFill>
        </w:rPr>
      </w:pPr>
      <w:r>
        <w:rPr>
          <w:rFonts w:hint="eastAsia" w:ascii="宋体" w:hAnsi="宋体" w:cs="宋体"/>
          <w:b/>
          <w:bCs/>
          <w:color w:val="000000" w:themeColor="text1"/>
          <w:szCs w:val="24"/>
          <w:highlight w:val="none"/>
          <w14:textFill>
            <w14:solidFill>
              <w14:schemeClr w14:val="tx1"/>
            </w14:solidFill>
          </w14:textFill>
        </w:rPr>
        <w:t>十</w:t>
      </w:r>
      <w:r>
        <w:rPr>
          <w:rFonts w:hint="eastAsia" w:ascii="宋体" w:hAnsi="宋体" w:cs="宋体"/>
          <w:b/>
          <w:bCs/>
          <w:color w:val="000000" w:themeColor="text1"/>
          <w:szCs w:val="24"/>
          <w:highlight w:val="none"/>
          <w:lang w:val="en-US" w:eastAsia="zh-CN"/>
          <w14:textFill>
            <w14:solidFill>
              <w14:schemeClr w14:val="tx1"/>
            </w14:solidFill>
          </w14:textFill>
        </w:rPr>
        <w:t>五</w:t>
      </w:r>
      <w:r>
        <w:rPr>
          <w:rFonts w:hint="eastAsia" w:ascii="宋体" w:hAnsi="宋体" w:cs="宋体"/>
          <w:b/>
          <w:bCs/>
          <w:color w:val="000000" w:themeColor="text1"/>
          <w:szCs w:val="24"/>
          <w:highlight w:val="none"/>
          <w14:textFill>
            <w14:solidFill>
              <w14:schemeClr w14:val="tx1"/>
            </w14:solidFill>
          </w14:textFill>
        </w:rPr>
        <w:t>、合同争议解决的方式</w:t>
      </w:r>
    </w:p>
    <w:p w14:paraId="2C4C6C42">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本合同在履行过程中发生的争议，由甲、乙方当事人协商解决；也可由当地工商行政管理部门调解；协商或调解不成的按以下第2种方式解决；</w:t>
      </w:r>
    </w:p>
    <w:p w14:paraId="0AE1F852">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提交</w:t>
      </w:r>
      <w:r>
        <w:rPr>
          <w:rFonts w:hint="eastAsia" w:ascii="宋体" w:hAnsi="宋体" w:cs="宋体"/>
          <w:color w:val="000000" w:themeColor="text1"/>
          <w:szCs w:val="24"/>
          <w:highlight w:val="none"/>
          <w:u w:val="single"/>
          <w:lang w:val="en-US" w:eastAsia="zh-CN"/>
          <w14:textFill>
            <w14:solidFill>
              <w14:schemeClr w14:val="tx1"/>
            </w14:solidFill>
          </w14:textFill>
        </w:rPr>
        <w:t xml:space="preserve">   /     </w:t>
      </w:r>
      <w:r>
        <w:rPr>
          <w:rFonts w:hint="eastAsia" w:ascii="宋体" w:hAnsi="宋体" w:cs="宋体"/>
          <w:color w:val="000000" w:themeColor="text1"/>
          <w:szCs w:val="24"/>
          <w:highlight w:val="none"/>
          <w14:textFill>
            <w14:solidFill>
              <w14:schemeClr w14:val="tx1"/>
            </w14:solidFill>
          </w14:textFill>
        </w:rPr>
        <w:t>仲裁委员会仲裁；</w:t>
      </w:r>
    </w:p>
    <w:p w14:paraId="1A001B30">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依法向甲方所在地人民法院起诉。</w:t>
      </w:r>
    </w:p>
    <w:p w14:paraId="111FB929">
      <w:pPr>
        <w:spacing w:line="360" w:lineRule="auto"/>
        <w:rPr>
          <w:rFonts w:ascii="宋体" w:hAnsi="宋体" w:cs="宋体"/>
          <w:b/>
          <w:color w:val="000000" w:themeColor="text1"/>
          <w:szCs w:val="24"/>
          <w:highlight w:val="none"/>
          <w14:textFill>
            <w14:solidFill>
              <w14:schemeClr w14:val="tx1"/>
            </w14:solidFill>
          </w14:textFill>
        </w:rPr>
      </w:pPr>
      <w:r>
        <w:rPr>
          <w:rFonts w:hint="eastAsia" w:ascii="宋体" w:hAnsi="宋体" w:cs="宋体"/>
          <w:b/>
          <w:color w:val="000000" w:themeColor="text1"/>
          <w:szCs w:val="24"/>
          <w:highlight w:val="none"/>
          <w14:textFill>
            <w14:solidFill>
              <w14:schemeClr w14:val="tx1"/>
            </w14:solidFill>
          </w14:textFill>
        </w:rPr>
        <w:t>十七、其他事项</w:t>
      </w:r>
    </w:p>
    <w:p w14:paraId="090F20A1">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1</w:t>
      </w:r>
      <w:r>
        <w:rPr>
          <w:rFonts w:hint="eastAsia" w:ascii="宋体" w:hAnsi="宋体" w:cs="宋体"/>
          <w:color w:val="000000" w:themeColor="text1"/>
          <w:szCs w:val="24"/>
          <w:highlight w:val="none"/>
          <w:lang w:val="en-US" w:eastAsia="zh-CN"/>
          <w14:textFill>
            <w14:solidFill>
              <w14:schemeClr w14:val="tx1"/>
            </w14:solidFill>
          </w14:textFill>
        </w:rPr>
        <w:t>.采购</w:t>
      </w:r>
      <w:r>
        <w:rPr>
          <w:rFonts w:hint="eastAsia" w:ascii="宋体" w:hAnsi="宋体" w:cs="宋体"/>
          <w:color w:val="000000" w:themeColor="text1"/>
          <w:szCs w:val="24"/>
          <w:highlight w:val="none"/>
          <w14:textFill>
            <w14:solidFill>
              <w14:schemeClr w14:val="tx1"/>
            </w14:solidFill>
          </w14:textFill>
        </w:rPr>
        <w:t>文件、</w:t>
      </w:r>
      <w:r>
        <w:rPr>
          <w:rFonts w:hint="eastAsia" w:ascii="宋体" w:hAnsi="宋体" w:cs="宋体"/>
          <w:color w:val="000000" w:themeColor="text1"/>
          <w:szCs w:val="24"/>
          <w:highlight w:val="none"/>
          <w:lang w:val="en-US" w:eastAsia="zh-CN"/>
          <w14:textFill>
            <w14:solidFill>
              <w14:schemeClr w14:val="tx1"/>
            </w14:solidFill>
          </w14:textFill>
        </w:rPr>
        <w:t>响应</w:t>
      </w:r>
      <w:r>
        <w:rPr>
          <w:rFonts w:hint="eastAsia" w:ascii="宋体" w:hAnsi="宋体" w:cs="宋体"/>
          <w:color w:val="000000" w:themeColor="text1"/>
          <w:szCs w:val="24"/>
          <w:highlight w:val="none"/>
          <w14:textFill>
            <w14:solidFill>
              <w14:schemeClr w14:val="tx1"/>
            </w14:solidFill>
          </w14:textFill>
        </w:rPr>
        <w:t>文件、澄清表（函）、合同附件均成为合同不可分割的部分。</w:t>
      </w:r>
    </w:p>
    <w:p w14:paraId="246385F3">
      <w:pPr>
        <w:spacing w:line="360" w:lineRule="auto"/>
        <w:ind w:firstLine="480" w:firstLineChars="20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2</w:t>
      </w:r>
      <w:r>
        <w:rPr>
          <w:rFonts w:hint="eastAsia" w:ascii="宋体"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Cs w:val="24"/>
          <w:highlight w:val="none"/>
          <w14:textFill>
            <w14:solidFill>
              <w14:schemeClr w14:val="tx1"/>
            </w14:solidFill>
          </w14:textFill>
        </w:rPr>
        <w:t>合同未尽事宜，由甲、乙双方协商，另行签订补充合同，为本合同有效组成部分。</w:t>
      </w:r>
    </w:p>
    <w:p w14:paraId="19167D5E">
      <w:pPr>
        <w:spacing w:line="360" w:lineRule="auto"/>
        <w:ind w:firstLine="360" w:firstLineChars="150"/>
        <w:rPr>
          <w:rFonts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本合同一式肆份，甲方、乙方各执贰份。各方签字盖章后生效，合同执行完毕自动终止。（合同的服务承诺则长期有效）。</w:t>
      </w:r>
    </w:p>
    <w:tbl>
      <w:tblPr>
        <w:tblStyle w:val="5"/>
        <w:tblW w:w="9610" w:type="dxa"/>
        <w:tblInd w:w="-295" w:type="dxa"/>
        <w:tblLayout w:type="fixed"/>
        <w:tblCellMar>
          <w:top w:w="0" w:type="dxa"/>
          <w:left w:w="108" w:type="dxa"/>
          <w:bottom w:w="0" w:type="dxa"/>
          <w:right w:w="108" w:type="dxa"/>
        </w:tblCellMar>
      </w:tblPr>
      <w:tblGrid>
        <w:gridCol w:w="4555"/>
        <w:gridCol w:w="5055"/>
      </w:tblGrid>
      <w:tr w14:paraId="7620AA54">
        <w:tblPrEx>
          <w:tblCellMar>
            <w:top w:w="0" w:type="dxa"/>
            <w:left w:w="108" w:type="dxa"/>
            <w:bottom w:w="0" w:type="dxa"/>
            <w:right w:w="108" w:type="dxa"/>
          </w:tblCellMar>
        </w:tblPrEx>
        <w:trPr>
          <w:trHeight w:val="90" w:hRule="atLeast"/>
        </w:trPr>
        <w:tc>
          <w:tcPr>
            <w:tcW w:w="4555" w:type="dxa"/>
          </w:tcPr>
          <w:p w14:paraId="0ED43A92">
            <w:pPr>
              <w:adjustRightInd w:val="0"/>
              <w:snapToGrid w:val="0"/>
              <w:spacing w:line="360" w:lineRule="auto"/>
              <w:rPr>
                <w:b/>
                <w:color w:val="000000" w:themeColor="text1"/>
                <w:highlight w:val="none"/>
                <w14:textFill>
                  <w14:solidFill>
                    <w14:schemeClr w14:val="tx1"/>
                  </w14:solidFill>
                </w14:textFill>
              </w:rPr>
            </w:pPr>
            <w:r>
              <w:rPr>
                <w:rFonts w:hint="eastAsia"/>
                <w:b/>
                <w:color w:val="000000" w:themeColor="text1"/>
                <w:kern w:val="0"/>
                <w:highlight w:val="none"/>
                <w14:textFill>
                  <w14:solidFill>
                    <w14:schemeClr w14:val="tx1"/>
                  </w14:solidFill>
                </w14:textFill>
              </w:rPr>
              <w:t>甲方：</w:t>
            </w:r>
          </w:p>
          <w:p w14:paraId="7ED7A816">
            <w:pPr>
              <w:adjustRightInd w:val="0"/>
              <w:snapToGrid w:val="0"/>
              <w:spacing w:line="360" w:lineRule="auto"/>
              <w:rPr>
                <w:rFonts w:hint="default" w:eastAsia="宋体"/>
                <w:color w:val="000000" w:themeColor="text1"/>
                <w:kern w:val="0"/>
                <w:highlight w:val="none"/>
                <w:lang w:val="en-US" w:eastAsia="zh-CN"/>
                <w14:textFill>
                  <w14:solidFill>
                    <w14:schemeClr w14:val="tx1"/>
                  </w14:solidFill>
                </w14:textFill>
              </w:rPr>
            </w:pPr>
            <w:r>
              <w:rPr>
                <w:rFonts w:hint="eastAsia" w:ascii="Arial" w:cs="Arial"/>
                <w:color w:val="000000" w:themeColor="text1"/>
                <w:kern w:val="0"/>
                <w:highlight w:val="none"/>
                <w14:textFill>
                  <w14:solidFill>
                    <w14:schemeClr w14:val="tx1"/>
                  </w14:solidFill>
                </w14:textFill>
              </w:rPr>
              <w:t>名称：</w:t>
            </w:r>
            <w:r>
              <w:rPr>
                <w:rFonts w:hint="eastAsia" w:ascii="Arial" w:cs="Arial"/>
                <w:color w:val="000000" w:themeColor="text1"/>
                <w:kern w:val="0"/>
                <w:highlight w:val="none"/>
                <w:lang w:eastAsia="zh-CN"/>
                <w14:textFill>
                  <w14:solidFill>
                    <w14:schemeClr w14:val="tx1"/>
                  </w14:solidFill>
                </w14:textFill>
              </w:rPr>
              <w:t>富平县</w:t>
            </w:r>
            <w:r>
              <w:rPr>
                <w:rFonts w:hint="eastAsia" w:ascii="Arial" w:cs="Arial"/>
                <w:color w:val="000000" w:themeColor="text1"/>
                <w:kern w:val="0"/>
                <w:highlight w:val="none"/>
                <w:lang w:val="en-US" w:eastAsia="zh-CN"/>
                <w14:textFill>
                  <w14:solidFill>
                    <w14:schemeClr w14:val="tx1"/>
                  </w14:solidFill>
                </w14:textFill>
              </w:rPr>
              <w:t>庄里中心卫生院</w:t>
            </w:r>
          </w:p>
          <w:p w14:paraId="325844E9">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地址：</w:t>
            </w:r>
          </w:p>
          <w:p w14:paraId="7F586E4A">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法定代表人：</w:t>
            </w:r>
          </w:p>
          <w:p w14:paraId="7E8C104E">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委托代理人：</w:t>
            </w:r>
          </w:p>
          <w:p w14:paraId="5E5A7140">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电话：</w:t>
            </w:r>
          </w:p>
          <w:p w14:paraId="4EB79A43">
            <w:pPr>
              <w:spacing w:line="360" w:lineRule="auto"/>
              <w:rPr>
                <w:rFonts w:ascii="宋体" w:hAnsi="宋体" w:cs="宋体"/>
                <w:color w:val="000000" w:themeColor="text1"/>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开户银行：</w:t>
            </w:r>
          </w:p>
          <w:p w14:paraId="74A5D966">
            <w:pPr>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开户账号：</w:t>
            </w:r>
          </w:p>
          <w:p w14:paraId="19920ED3">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传真：</w:t>
            </w:r>
          </w:p>
          <w:p w14:paraId="134F765E">
            <w:pPr>
              <w:adjustRightInd w:val="0"/>
              <w:snapToGrid w:val="0"/>
              <w:spacing w:line="360" w:lineRule="auto"/>
              <w:rPr>
                <w:b/>
                <w:color w:val="000000" w:themeColor="text1"/>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日期：</w:t>
            </w:r>
            <w:r>
              <w:rPr>
                <w:color w:val="000000" w:themeColor="text1"/>
                <w:kern w:val="0"/>
                <w:highlight w:val="none"/>
                <w14:textFill>
                  <w14:solidFill>
                    <w14:schemeClr w14:val="tx1"/>
                  </w14:solidFill>
                </w14:textFill>
              </w:rPr>
              <w:t xml:space="preserve"> </w:t>
            </w:r>
            <w:r>
              <w:rPr>
                <w:rFonts w:hint="eastAsia"/>
                <w:color w:val="000000" w:themeColor="text1"/>
                <w:kern w:val="0"/>
                <w:highlight w:val="none"/>
                <w14:textFill>
                  <w14:solidFill>
                    <w14:schemeClr w14:val="tx1"/>
                  </w14:solidFill>
                </w14:textFill>
              </w:rPr>
              <w:t xml:space="preserve">  年</w:t>
            </w:r>
            <w:r>
              <w:rPr>
                <w:color w:val="000000" w:themeColor="text1"/>
                <w:kern w:val="0"/>
                <w:highlight w:val="none"/>
                <w14:textFill>
                  <w14:solidFill>
                    <w14:schemeClr w14:val="tx1"/>
                  </w14:solidFill>
                </w14:textFill>
              </w:rPr>
              <w:t xml:space="preserve"> </w:t>
            </w:r>
            <w:r>
              <w:rPr>
                <w:rFonts w:hint="eastAsia"/>
                <w:color w:val="000000" w:themeColor="text1"/>
                <w:kern w:val="0"/>
                <w:highlight w:val="none"/>
                <w14:textFill>
                  <w14:solidFill>
                    <w14:schemeClr w14:val="tx1"/>
                  </w14:solidFill>
                </w14:textFill>
              </w:rPr>
              <w:t xml:space="preserve"> 月</w:t>
            </w:r>
            <w:r>
              <w:rPr>
                <w:color w:val="000000" w:themeColor="text1"/>
                <w:kern w:val="0"/>
                <w:highlight w:val="none"/>
                <w14:textFill>
                  <w14:solidFill>
                    <w14:schemeClr w14:val="tx1"/>
                  </w14:solidFill>
                </w14:textFill>
              </w:rPr>
              <w:t xml:space="preserve"> </w:t>
            </w:r>
            <w:r>
              <w:rPr>
                <w:rFonts w:hint="eastAsia"/>
                <w:color w:val="000000" w:themeColor="text1"/>
                <w:kern w:val="0"/>
                <w:highlight w:val="none"/>
                <w14:textFill>
                  <w14:solidFill>
                    <w14:schemeClr w14:val="tx1"/>
                  </w14:solidFill>
                </w14:textFill>
              </w:rPr>
              <w:t xml:space="preserve"> 日</w:t>
            </w:r>
          </w:p>
        </w:tc>
        <w:tc>
          <w:tcPr>
            <w:tcW w:w="5055" w:type="dxa"/>
          </w:tcPr>
          <w:p w14:paraId="6A7CB316">
            <w:pPr>
              <w:adjustRightInd w:val="0"/>
              <w:snapToGrid w:val="0"/>
              <w:spacing w:line="360" w:lineRule="auto"/>
              <w:rPr>
                <w:b/>
                <w:color w:val="000000" w:themeColor="text1"/>
                <w:highlight w:val="none"/>
                <w14:textFill>
                  <w14:solidFill>
                    <w14:schemeClr w14:val="tx1"/>
                  </w14:solidFill>
                </w14:textFill>
              </w:rPr>
            </w:pPr>
            <w:r>
              <w:rPr>
                <w:rFonts w:hint="eastAsia"/>
                <w:b/>
                <w:color w:val="000000" w:themeColor="text1"/>
                <w:kern w:val="0"/>
                <w:highlight w:val="none"/>
                <w14:textFill>
                  <w14:solidFill>
                    <w14:schemeClr w14:val="tx1"/>
                  </w14:solidFill>
                </w14:textFill>
              </w:rPr>
              <w:t>乙方：</w:t>
            </w:r>
          </w:p>
          <w:p w14:paraId="4CEF4302">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名称：</w:t>
            </w:r>
          </w:p>
          <w:p w14:paraId="11EA92C6">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地址：</w:t>
            </w:r>
          </w:p>
          <w:p w14:paraId="6F0D70BF">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法定代表人：</w:t>
            </w:r>
          </w:p>
          <w:p w14:paraId="71AB3FC7">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委托代理人：</w:t>
            </w:r>
          </w:p>
          <w:p w14:paraId="51BAA0D0">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电话：</w:t>
            </w:r>
          </w:p>
          <w:p w14:paraId="7FB83E93">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开户银行：</w:t>
            </w:r>
          </w:p>
          <w:p w14:paraId="384AF129">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开户账号：</w:t>
            </w:r>
          </w:p>
          <w:p w14:paraId="2E12727C">
            <w:pPr>
              <w:adjustRightInd w:val="0"/>
              <w:snapToGrid w:val="0"/>
              <w:spacing w:line="360" w:lineRule="auto"/>
              <w:rPr>
                <w:color w:val="000000" w:themeColor="text1"/>
                <w:kern w:val="0"/>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传真：</w:t>
            </w:r>
          </w:p>
          <w:p w14:paraId="14BEC88E">
            <w:pPr>
              <w:adjustRightInd w:val="0"/>
              <w:snapToGrid w:val="0"/>
              <w:spacing w:line="360" w:lineRule="auto"/>
              <w:rPr>
                <w:b/>
                <w:color w:val="000000" w:themeColor="text1"/>
                <w:highlight w:val="none"/>
                <w14:textFill>
                  <w14:solidFill>
                    <w14:schemeClr w14:val="tx1"/>
                  </w14:solidFill>
                </w14:textFill>
              </w:rPr>
            </w:pPr>
            <w:r>
              <w:rPr>
                <w:rFonts w:hint="eastAsia"/>
                <w:color w:val="000000" w:themeColor="text1"/>
                <w:kern w:val="0"/>
                <w:highlight w:val="none"/>
                <w14:textFill>
                  <w14:solidFill>
                    <w14:schemeClr w14:val="tx1"/>
                  </w14:solidFill>
                </w14:textFill>
              </w:rPr>
              <w:t>日期：   年  月  日</w:t>
            </w:r>
          </w:p>
        </w:tc>
      </w:tr>
      <w:bookmarkEnd w:id="2"/>
      <w:bookmarkEnd w:id="3"/>
      <w:bookmarkEnd w:id="4"/>
      <w:bookmarkEnd w:id="5"/>
      <w:bookmarkEnd w:id="6"/>
      <w:bookmarkEnd w:id="7"/>
      <w:bookmarkEnd w:id="8"/>
      <w:bookmarkEnd w:id="9"/>
      <w:bookmarkEnd w:id="10"/>
      <w:bookmarkEnd w:id="11"/>
      <w:bookmarkEnd w:id="12"/>
      <w:bookmarkEnd w:id="13"/>
    </w:tbl>
    <w:p w14:paraId="7A9AFBC8">
      <w:pPr>
        <w:spacing w:line="360" w:lineRule="auto"/>
        <w:rPr>
          <w:rFonts w:ascii="宋体" w:hAnsi="宋体" w:cs="宋体"/>
          <w:b/>
          <w:color w:val="000000" w:themeColor="text1"/>
          <w:szCs w:val="24"/>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C665FE"/>
    <w:rsid w:val="0766301F"/>
    <w:rsid w:val="24C665FE"/>
    <w:rsid w:val="259108C8"/>
    <w:rsid w:val="3ED16599"/>
    <w:rsid w:val="47B77EE3"/>
    <w:rsid w:val="68C62C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1"/>
    <w:pPr>
      <w:keepNext/>
      <w:keepLines/>
      <w:spacing w:before="340" w:after="330" w:line="560" w:lineRule="exact"/>
      <w:jc w:val="center"/>
      <w:outlineLvl w:val="0"/>
    </w:pPr>
    <w:rPr>
      <w:b/>
      <w:bCs/>
      <w:kern w:val="44"/>
      <w:sz w:val="36"/>
      <w:szCs w:val="44"/>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szCs w:val="24"/>
    </w:rPr>
  </w:style>
  <w:style w:type="paragraph" w:styleId="4">
    <w:name w:val="Body Text 2"/>
    <w:basedOn w:val="1"/>
    <w:qFormat/>
    <w:uiPriority w:val="0"/>
    <w:pPr>
      <w:spacing w:afterLines="100"/>
      <w:ind w:firstLine="0" w:firstLineChars="0"/>
      <w:jc w:val="center"/>
    </w:p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3698</Words>
  <Characters>3761</Characters>
  <Lines>0</Lines>
  <Paragraphs>0</Paragraphs>
  <TotalTime>6</TotalTime>
  <ScaleCrop>false</ScaleCrop>
  <LinksUpToDate>false</LinksUpToDate>
  <CharactersWithSpaces>3983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2025-09-30T05:56:00Z</dcterms:created>
  <dc:creator>A</dc:creator>
  <cp:lastModifiedBy>WwwLuu_</cp:lastModifiedBy>
  <dcterms:modified xsi:type="dcterms:W3CDTF">2026-06-23T06:36:56Z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36D440A52DBD4B53BF4D10FFEF8E53B9_11</vt:lpwstr>
  </property>
  <property fmtid="{D5CDD505-2E9C-101B-9397-08002B2CF9AE}" pid="4" name="KSOTemplateDocerSaveRecord">
    <vt:lpwstr>eyJoZGlkIjoiMWMzMWJiYzg5NWE3NTQ5Y2E1NDQxYmM5Y2JjOWEyY2IiLCJ1c2VySWQiOiIxMDI4MDA0Nzk5In0=</vt:lpwstr>
  </property>
</Properties>
</file>