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D5D47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说明：供应商按照采购清单提供分项报价表，并填写单价和合计，若分项报价表与报价一览表不一致时，以分项报价表中的合计为准。</w:t>
      </w:r>
    </w:p>
    <w:p w14:paraId="01BD25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21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2026-05-11T02:15:56Z</dcterms:created>
  <dc:creator>Administrator</dc:creator>
  <cp:lastModifiedBy>以后</cp:lastModifiedBy>
  <dcterms:modified xsi:type="dcterms:W3CDTF">2026-05-11T02:15:59Z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eyJoZGlkIjoiM2Q2ZTE5MGUzMTdkMzY5ZGZkYTgzMDNiODk2NDA5NDEiLCJ1c2VySWQiOiI0OTMwMDA3ODEifQ==</vt:lpwstr>
  </property>
  <property fmtid="{D5CDD505-2E9C-101B-9397-08002B2CF9AE}" pid="4" name="ICV">
    <vt:lpwstr>F72AB911B80F4E9C9710D4C05672DC7F_12</vt:lpwstr>
  </property>
</Properties>
</file>