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CED6E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采购需求</w:t>
      </w:r>
    </w:p>
    <w:p w14:paraId="2D2E42E9">
      <w:pPr>
        <w:pStyle w:val="15"/>
        <w:ind w:firstLine="562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b/>
          <w:sz w:val="32"/>
          <w:szCs w:val="32"/>
          <w:highlight w:val="none"/>
        </w:rPr>
        <w:t>一、项目概况</w:t>
      </w:r>
    </w:p>
    <w:p w14:paraId="4F26A363">
      <w:pPr>
        <w:pStyle w:val="15"/>
        <w:ind w:firstLine="562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本项目旨在持续完善高新区社区教育体系，丰富社区教育内涵，打造特色教育品牌，提升社区教育队伍素质，推动高新区社区教育规范运行、有序发展，营造全民终身学习浓厚氛围，助力学习型社会建设。本次采购主要内容为：（1）完善高新区社区教育运行体系；（2）开展社区教育课程体系建设及社区教育活动；（3）开展高新区社区教育平台建设工作；（4）推进区级市民终身学习体验基地建设；（5）培育和打造区级社区教育特色品牌；（6）开展社区教育业务指导和社区教育队伍建设；（7）开展社区教育理论研究与宣传推广；（8）统筹开展全民终身学习周策划、组织与实施工作。</w:t>
      </w:r>
    </w:p>
    <w:p w14:paraId="29D65870">
      <w:pPr>
        <w:pStyle w:val="15"/>
        <w:ind w:firstLine="562"/>
        <w:rPr>
          <w:b/>
          <w:bCs w:val="0"/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b/>
          <w:bCs w:val="0"/>
          <w:sz w:val="32"/>
          <w:szCs w:val="32"/>
          <w:highlight w:val="none"/>
        </w:rPr>
        <w:t>二、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>具体服务内容与技术要求</w:t>
      </w:r>
      <w:r>
        <w:rPr>
          <w:rFonts w:ascii="仿宋_GB2312" w:hAnsi="仿宋_GB2312" w:eastAsia="仿宋_GB2312" w:cs="仿宋_GB2312"/>
          <w:b/>
          <w:bCs w:val="0"/>
          <w:sz w:val="32"/>
          <w:szCs w:val="32"/>
          <w:highlight w:val="none"/>
        </w:rPr>
        <w:t xml:space="preserve"> </w:t>
      </w:r>
    </w:p>
    <w:p w14:paraId="0BDF8604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一）完善高新区社区教育运行体系。立足高新区社区教育运行体系的发展实际，持续优化社区教育整体运行架构与发展模式，健全组织架构及各项管理制度；在保障现有社区教育常态化、规范化运行的基础上，新增不低于2个社区教育教学点。</w:t>
      </w:r>
    </w:p>
    <w:p w14:paraId="32DD973C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二）开展社区教育课程体系建设及社区教育活动。立足西安高新区社区教育课程建设发展实际，进一步推进社区教育课程体系建设；面向社区需求及市民的终身学习需要，研发社区教育特色课程，开展社区教育示范活动以及各类社区教育活动。</w:t>
      </w:r>
    </w:p>
    <w:p w14:paraId="5A2112F3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（三）开展高新区社区教育平台建设。立足高新区社区教育数字化发展实际，开展高新区社区教育平台建设，对标市级数字化课程建设标准，研发与制作不低于2门的优质数字化课程。</w:t>
      </w:r>
    </w:p>
    <w:p w14:paraId="577F6D78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（四）区级市民终身学习体验基地建设。立足高新区市民终身学习体验基地建设的实际情况，进一步推进区级市民终身学习体验基地的建设，打造1-2个区级体验基地，用于基地运行和优化、体验活动开展等。</w:t>
      </w:r>
    </w:p>
    <w:p w14:paraId="799BB7DA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（五）培育和打造区级社区教育特色品牌。以高新区社区教育的实践情况为基础，开展区级社区教育品牌的培育与打造，并将培育成熟的“百姓学习之星”与“终身学习品牌”案例推送到西安市教育局。</w:t>
      </w:r>
    </w:p>
    <w:p w14:paraId="01786788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（六）开展社区教育业务指导和社区教育队伍建设。开展是社区教育业务指导、培训及队伍建设工作，加强对社区教育工作者、教师及志愿者队伍的培训、外出交流等，提升队伍专业化水平。</w:t>
      </w:r>
    </w:p>
    <w:p w14:paraId="135E1E7B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（七）开展社区教育研究与宣传工作。针对高新区社区教育开展的现实问题，开展理论研究、成果总结等工作，以理论研究成果指导社区教育实际工作开展。利用新媒体等载体，开展社区教育宣传。</w:t>
      </w:r>
    </w:p>
    <w:p w14:paraId="702A34D4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（八）统筹开展全民终身学习周策划、组织与实施工作。按照西安市教育局全民学习活动周的统一安排，负责区级全民学习活动周的策划、以及相关活动的举办，包括活动周启动、成果展演、宣传材料等工作。</w:t>
      </w:r>
    </w:p>
    <w:p w14:paraId="1E52812D">
      <w:pPr>
        <w:pStyle w:val="15"/>
        <w:ind w:firstLine="480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三、服务要求</w:t>
      </w:r>
    </w:p>
    <w:p w14:paraId="6245B308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（一）供应商须配备固定项目团队，指定项目负责人1名、专职联络人1名，确保专人专责、响应及时、全程闭环管理。</w:t>
      </w:r>
    </w:p>
    <w:p w14:paraId="47228C63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（二）所有活动、课程、宣传品、成果材料须遵循国家、省、市及高新区相关政策与规范。</w:t>
      </w:r>
    </w:p>
    <w:p w14:paraId="0B9CDD62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（三）严格遵守财务制度与政府采购规定，费用据实结算，提供合法有效票据。</w:t>
      </w:r>
    </w:p>
    <w:p w14:paraId="0F0AF338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（四）服从采购人工作调度与管理，积极配合市级督导、考核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检查与成果展示等工作。</w:t>
      </w:r>
    </w:p>
    <w:p w14:paraId="6CBB137E">
      <w:pPr>
        <w:pStyle w:val="15"/>
        <w:ind w:firstLine="480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四、商务要求</w:t>
      </w:r>
    </w:p>
    <w:p w14:paraId="37A5038F">
      <w:pPr>
        <w:pStyle w:val="15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（一）服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务期限：自合同签订之日起一年。</w:t>
      </w:r>
    </w:p>
    <w:p w14:paraId="75BA3E98">
      <w:pPr>
        <w:pStyle w:val="15"/>
        <w:ind w:firstLine="640" w:firstLineChars="200"/>
        <w:rPr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（二）服务地点：西安市高新区辖区范围内，具体以采购人要求为准。</w:t>
      </w:r>
    </w:p>
    <w:p w14:paraId="581E0DF0">
      <w:pPr>
        <w:pStyle w:val="15"/>
        <w:ind w:firstLine="480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五、其他要求</w:t>
      </w:r>
    </w:p>
    <w:p w14:paraId="74EDDC0F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（一）知识产权：本项目形成的所有课程、视频、案例、品牌成果等知识产权归西安高新区教育体育局所有。</w:t>
      </w:r>
    </w:p>
    <w:p w14:paraId="211D6060">
      <w:pPr>
        <w:pStyle w:val="15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（二）保密义务：供应商应对工作中获取的各类数据、文件、信息严格保密，不得擅自使用或泄露。</w:t>
      </w:r>
    </w:p>
    <w:p w14:paraId="48D8ACF5">
      <w:pPr>
        <w:pStyle w:val="15"/>
        <w:ind w:firstLine="640" w:firstLineChars="200"/>
        <w:rPr>
          <w:rFonts w:hint="default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（三）违约责任：因供应商原因导致任务延误、成果不达标或造成不良影响的，采购单位有权扣减费用、终止合同并追究相关责任。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3576C1"/>
    <w:rsid w:val="3A977C71"/>
    <w:rsid w:val="3E1E037D"/>
    <w:rsid w:val="656C55A9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4">
    <w:name w:val="标题 2 Char"/>
    <w:link w:val="3"/>
    <w:qFormat/>
    <w:uiPriority w:val="0"/>
    <w:rPr>
      <w:rFonts w:ascii="黑体" w:hAnsi="黑体" w:eastAsia="宋体"/>
      <w:b/>
      <w:sz w:val="44"/>
    </w:rPr>
  </w:style>
  <w:style w:type="paragraph" w:customStyle="1" w:styleId="15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2024-03-15T06:24:00Z</dcterms:created>
  <dc:creator>DELL</dc:creator>
  <cp:lastModifiedBy>陕西华采招标有限公司</cp:lastModifiedBy>
  <dcterms:modified xsi:type="dcterms:W3CDTF">2026-05-19T08:45:02Z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452917B7DF5041F5A5C64AFCFAFA45B1_12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