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版本号：SCZC2026-CS-2454-00120260827002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市级畜禽产品风险监测（例行监测）项目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SCZC2026-CS-2454-001</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市级畜禽产品风险监测（例行监测）项目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SCZC2026-CS-2454-001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市级畜禽产品风险监测（例行监测）项目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西安市农业农村局市级畜禽产品风险监测（例行监测）项目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磋商全过程，其中法定代表人（或单位负责人）磋商的，应提供法定代表人（或单位负责人）身份证明，并与营业执照上信息一致；授权代表磋商的，应提供法定代表人（或单位负责人）身份证明、授权委托书及授权代表本单位证明（养老保险缴纳证明）。</w:t>
      </w:r>
    </w:p>
    <w:p>
      <w:pPr>
        <w:pStyle w:val="null3"/>
      </w:pPr>
      <w:r>
        <w:rPr>
          <w:rFonts w:ascii="仿宋_GB2312" w:hAnsi="仿宋_GB2312" w:cs="仿宋_GB2312" w:eastAsia="仿宋_GB231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4、供应商具备合法有效的CMA检验检测机构资质认定证书、CATL农产品质量安全检测机构考核合格证书：供应商具备合法有效的CMA检验检测机构资质认定证书、CATL农产品质量安全检测机构考核合格证书。</w:t>
      </w:r>
    </w:p>
    <w:p>
      <w:pPr>
        <w:pStyle w:val="null3"/>
      </w:pPr>
      <w:r>
        <w:rPr>
          <w:rFonts w:ascii="仿宋_GB2312" w:hAnsi="仿宋_GB2312" w:cs="仿宋_GB2312" w:eastAsia="仿宋_GB2312"/>
        </w:rPr>
        <w:t>5、已向采购代理机构获取采购文件：需向采购代理机构获取采购文件，未向采购代理机构获取采购文件的供应商均为无效响应。</w:t>
      </w:r>
    </w:p>
    <w:p>
      <w:pPr>
        <w:pStyle w:val="null3"/>
      </w:pPr>
      <w:r>
        <w:rPr>
          <w:rFonts w:ascii="仿宋_GB2312" w:hAnsi="仿宋_GB2312" w:cs="仿宋_GB2312" w:eastAsia="仿宋_GB2312"/>
        </w:rPr>
        <w:t>6、法律、行政法规规定的其他条件：不存在违反法律法规的情况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磋商全过程，其中法定代表人（或单位负责人）磋商的，应提供法定代表人（或单位负责人）身份证明，并与营业执照上信息一致；授权代表磋商的，应提供法定代表人（或单位负责人）身份证明、授权委托书及授权代表本单位证明（养老保险缴纳证明）。</w:t>
      </w:r>
    </w:p>
    <w:p>
      <w:pPr>
        <w:pStyle w:val="null3"/>
      </w:pPr>
      <w:r>
        <w:rPr>
          <w:rFonts w:ascii="仿宋_GB2312" w:hAnsi="仿宋_GB2312" w:cs="仿宋_GB2312" w:eastAsia="仿宋_GB231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4、供应商具备合法有效的CMA检验检测机构资质认定证书、CATL农产品质量安全检测机构考核合格证书：供应商具备合法有效的CMA检验检测机构资质认定证书、CATL农产品质量安全检测机构考核合格证书。</w:t>
      </w:r>
    </w:p>
    <w:p>
      <w:pPr>
        <w:pStyle w:val="null3"/>
      </w:pPr>
      <w:r>
        <w:rPr>
          <w:rFonts w:ascii="仿宋_GB2312" w:hAnsi="仿宋_GB2312" w:cs="仿宋_GB2312" w:eastAsia="仿宋_GB2312"/>
        </w:rPr>
        <w:t>5、已向采购代理机构获取采购文件：需向采购代理机构获取采购文件，未向采购代理机构获取采购文件的供应商均为无效响应。</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029-67097495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采购包1：678,600.00元</w:t>
            </w:r>
          </w:p>
          <w:p>
            <w:pPr>
              <w:pStyle w:val="null3"/>
            </w:pPr>
            <w:r>
              <w:rPr>
                <w:rFonts w:ascii="仿宋_GB2312" w:hAnsi="仿宋_GB2312" w:cs="仿宋_GB2312" w:eastAsia="仿宋_GB2312"/>
              </w:rPr>
              <w:t>采购包2：621,400.00元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西安市农业农村局市级畜禽产品风险监测（例行监测）项目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678,600.00</w:t>
      </w:r>
    </w:p>
    <w:p>
      <w:pPr>
        <w:pStyle w:val="null3"/>
      </w:pPr>
      <w:r>
        <w:rPr>
          <w:rFonts w:ascii="仿宋_GB2312" w:hAnsi="仿宋_GB2312" w:cs="仿宋_GB2312" w:eastAsia="仿宋_GB2312"/>
        </w:rPr>
        <w:t>采购包最高限价（元）: 678,600.00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市级畜禽产品风险监测（例行监测）项目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621,400.00</w:t>
      </w:r>
    </w:p>
    <w:p>
      <w:pPr>
        <w:pStyle w:val="null3"/>
      </w:pPr>
      <w:r>
        <w:rPr>
          <w:rFonts w:ascii="仿宋_GB2312" w:hAnsi="仿宋_GB2312" w:cs="仿宋_GB2312" w:eastAsia="仿宋_GB2312"/>
        </w:rPr>
        <w:t>采购包最高限价（元）: 621,400.00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市级畜禽产品风险监测（例行监测）项目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621,400.00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标的名称：市级畜禽产品风险监测（例行监测）项目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1"/>
              <w:jc w:val="center"/>
            </w:pPr>
            <w:r>
              <w:rPr>
                <w:rFonts w:ascii="仿宋_GB2312" w:hAnsi="仿宋_GB2312" w:cs="仿宋_GB2312" w:eastAsia="仿宋_GB2312"/>
                <w:sz w:val="24"/>
                <w:b/>
                <w:shd w:fill="FFFFFF" w:val="clear"/>
              </w:rPr>
              <w:t>市级畜禽产品风险监测（例行监测）项目（第一标段）</w:t>
            </w:r>
          </w:p>
          <w:p>
            <w:pPr>
              <w:pStyle w:val="null3"/>
              <w:ind w:firstLine="481"/>
              <w:jc w:val="both"/>
            </w:pPr>
            <w:r>
              <w:rPr>
                <w:rFonts w:ascii="仿宋_GB2312" w:hAnsi="仿宋_GB2312" w:cs="仿宋_GB2312" w:eastAsia="仿宋_GB2312"/>
                <w:sz w:val="24"/>
                <w:b/>
              </w:rPr>
              <w:t>一、目标任务</w:t>
            </w:r>
          </w:p>
          <w:p>
            <w:pPr>
              <w:pStyle w:val="null3"/>
              <w:ind w:firstLine="480"/>
              <w:jc w:val="left"/>
            </w:pPr>
            <w:r>
              <w:rPr>
                <w:rFonts w:ascii="仿宋_GB2312" w:hAnsi="仿宋_GB2312" w:cs="仿宋_GB2312" w:eastAsia="仿宋_GB2312"/>
                <w:sz w:val="24"/>
              </w:rPr>
              <w:t>严格落实农产品质量安全定量监测</w:t>
            </w:r>
            <w:r>
              <w:rPr>
                <w:rFonts w:ascii="仿宋_GB2312" w:hAnsi="仿宋_GB2312" w:cs="仿宋_GB2312" w:eastAsia="仿宋_GB2312"/>
                <w:sz w:val="24"/>
              </w:rPr>
              <w:t>2.0批次/千人目标任务，参照市级监测方案，确保监管监测全覆盖，确保全年检验检测各项工作圆满完成，努力保障人民群众畜禽产品消费安全。</w:t>
            </w:r>
          </w:p>
          <w:p>
            <w:pPr>
              <w:pStyle w:val="null3"/>
              <w:ind w:left="-15" w:firstLine="640"/>
              <w:jc w:val="both"/>
            </w:pPr>
            <w:r>
              <w:rPr>
                <w:rFonts w:ascii="仿宋_GB2312" w:hAnsi="仿宋_GB2312" w:cs="仿宋_GB2312" w:eastAsia="仿宋_GB2312"/>
                <w:sz w:val="24"/>
                <w:b/>
              </w:rPr>
              <w:t>二、监测品种数量及资金预算</w:t>
            </w:r>
          </w:p>
          <w:p>
            <w:pPr>
              <w:pStyle w:val="null3"/>
              <w:ind w:firstLine="481"/>
              <w:jc w:val="left"/>
            </w:pPr>
            <w:r>
              <w:rPr>
                <w:rFonts w:ascii="仿宋_GB2312" w:hAnsi="仿宋_GB2312" w:cs="仿宋_GB2312" w:eastAsia="仿宋_GB2312"/>
                <w:sz w:val="24"/>
                <w:b/>
              </w:rPr>
              <w:t>1、例行监测（一标段）：</w:t>
            </w:r>
            <w:r>
              <w:rPr>
                <w:rFonts w:ascii="仿宋_GB2312" w:hAnsi="仿宋_GB2312" w:cs="仿宋_GB2312" w:eastAsia="仿宋_GB2312"/>
                <w:sz w:val="24"/>
              </w:rPr>
              <w:t>在全市范围内屠宰企业、养殖场和农贸市场，开展猪肉、猪肝、牛肉、羊肉、禽肉、禽蛋等共计</w:t>
            </w:r>
            <w:r>
              <w:rPr>
                <w:rFonts w:ascii="仿宋_GB2312" w:hAnsi="仿宋_GB2312" w:cs="仿宋_GB2312" w:eastAsia="仿宋_GB2312"/>
                <w:sz w:val="24"/>
              </w:rPr>
              <w:t>853批次样品，分三个阶段进行抽样检测（检测参数及检测方法见附件2）。853批次样品中，猪肉290批次、猪肝33批次、牛肉97批次、羊肉44批次、禽肉135批次、禽蛋254批次。其中：猪肉、牛肉、羊肉和禽肉在屠宰场和批发市场抽样，猪肝在屠宰企业抽样，禽蛋在养殖场和批发市场抽样,抽样比例为6:2:2，猪肝在屠宰场抽样。一标段，预算67.86万元。</w:t>
            </w:r>
          </w:p>
          <w:p>
            <w:pPr>
              <w:pStyle w:val="null3"/>
              <w:ind w:firstLine="481"/>
              <w:jc w:val="both"/>
            </w:pPr>
            <w:r>
              <w:rPr>
                <w:rFonts w:ascii="仿宋_GB2312" w:hAnsi="仿宋_GB2312" w:cs="仿宋_GB2312" w:eastAsia="仿宋_GB2312"/>
                <w:sz w:val="24"/>
                <w:b/>
              </w:rPr>
              <w:t>三、项目实施方式</w:t>
            </w:r>
          </w:p>
          <w:p>
            <w:pPr>
              <w:pStyle w:val="null3"/>
              <w:ind w:firstLine="480"/>
              <w:jc w:val="both"/>
            </w:pPr>
            <w:r>
              <w:rPr>
                <w:rFonts w:ascii="仿宋_GB2312" w:hAnsi="仿宋_GB2312" w:cs="仿宋_GB2312" w:eastAsia="仿宋_GB2312"/>
                <w:sz w:val="24"/>
              </w:rPr>
              <w:t>市农业农村局协调政府采购部门，按照政府采购要求和程序，办理相关采购审批手续。本项目各标段资金包含样品采购、样品包装、样品检测和出具检测报告等服务项目，以政府购买服务的方式委托第三方进行实施。</w:t>
            </w:r>
          </w:p>
          <w:p>
            <w:pPr>
              <w:pStyle w:val="null3"/>
              <w:ind w:firstLine="481"/>
              <w:jc w:val="both"/>
            </w:pPr>
            <w:r>
              <w:rPr>
                <w:rFonts w:ascii="仿宋_GB2312" w:hAnsi="仿宋_GB2312" w:cs="仿宋_GB2312" w:eastAsia="仿宋_GB2312"/>
                <w:sz w:val="24"/>
                <w:b/>
              </w:rPr>
              <w:t>四、进度安排</w:t>
            </w:r>
          </w:p>
          <w:p>
            <w:pPr>
              <w:pStyle w:val="null3"/>
              <w:ind w:firstLine="480"/>
              <w:jc w:val="both"/>
            </w:pPr>
            <w:r>
              <w:rPr>
                <w:rFonts w:ascii="仿宋_GB2312" w:hAnsi="仿宋_GB2312" w:cs="仿宋_GB2312" w:eastAsia="仿宋_GB2312"/>
                <w:sz w:val="24"/>
              </w:rPr>
              <w:t>第一阶段：（</w:t>
            </w:r>
            <w:r>
              <w:rPr>
                <w:rFonts w:ascii="仿宋_GB2312" w:hAnsi="仿宋_GB2312" w:cs="仿宋_GB2312" w:eastAsia="仿宋_GB2312"/>
                <w:sz w:val="24"/>
              </w:rPr>
              <w:t xml:space="preserve">2026.8），制定实施方案，办理政府采购手续；                   </w:t>
            </w:r>
          </w:p>
          <w:p>
            <w:pPr>
              <w:pStyle w:val="null3"/>
              <w:ind w:firstLine="480"/>
              <w:jc w:val="both"/>
            </w:pPr>
            <w:r>
              <w:rPr>
                <w:rFonts w:ascii="仿宋_GB2312" w:hAnsi="仿宋_GB2312" w:cs="仿宋_GB2312" w:eastAsia="仿宋_GB2312"/>
                <w:sz w:val="24"/>
              </w:rPr>
              <w:t>第二阶段：（</w:t>
            </w:r>
            <w:r>
              <w:rPr>
                <w:rFonts w:ascii="仿宋_GB2312" w:hAnsi="仿宋_GB2312" w:cs="仿宋_GB2312" w:eastAsia="仿宋_GB2312"/>
                <w:sz w:val="24"/>
              </w:rPr>
              <w:t xml:space="preserve">2026.9—2026.11），委托第三方检测机构开展抽检检测工作。                              </w:t>
            </w:r>
          </w:p>
          <w:p>
            <w:pPr>
              <w:pStyle w:val="null3"/>
              <w:ind w:firstLine="480"/>
              <w:jc w:val="both"/>
            </w:pPr>
            <w:r>
              <w:rPr>
                <w:rFonts w:ascii="仿宋_GB2312" w:hAnsi="仿宋_GB2312" w:cs="仿宋_GB2312" w:eastAsia="仿宋_GB2312"/>
                <w:sz w:val="24"/>
              </w:rPr>
              <w:t>第三阶段：</w:t>
            </w:r>
            <w:r>
              <w:rPr>
                <w:rFonts w:ascii="仿宋_GB2312" w:hAnsi="仿宋_GB2312" w:cs="仿宋_GB2312" w:eastAsia="仿宋_GB2312"/>
                <w:sz w:val="24"/>
              </w:rPr>
              <w:t>2026年12月20日前，对项目实施进行总结和验收。</w:t>
            </w:r>
          </w:p>
          <w:p>
            <w:pPr>
              <w:pStyle w:val="null3"/>
              <w:ind w:firstLine="481"/>
              <w:jc w:val="both"/>
            </w:pPr>
            <w:r>
              <w:rPr>
                <w:rFonts w:ascii="仿宋_GB2312" w:hAnsi="仿宋_GB2312" w:cs="仿宋_GB2312" w:eastAsia="仿宋_GB2312"/>
                <w:sz w:val="24"/>
                <w:b/>
              </w:rPr>
              <w:t>五、项目分解招标及采样计划</w:t>
            </w:r>
          </w:p>
          <w:p>
            <w:pPr>
              <w:pStyle w:val="null3"/>
              <w:ind w:firstLine="481"/>
              <w:jc w:val="both"/>
            </w:pPr>
            <w:r>
              <w:rPr>
                <w:rFonts w:ascii="仿宋_GB2312" w:hAnsi="仿宋_GB2312" w:cs="仿宋_GB2312" w:eastAsia="仿宋_GB2312"/>
                <w:sz w:val="24"/>
                <w:b/>
              </w:rPr>
              <w:t>1、采样数量及资金安排如下。</w:t>
            </w:r>
          </w:p>
          <w:p>
            <w:pPr>
              <w:pStyle w:val="null3"/>
              <w:ind w:firstLine="480"/>
              <w:jc w:val="both"/>
            </w:pPr>
            <w:r>
              <w:rPr>
                <w:rFonts w:ascii="仿宋_GB2312" w:hAnsi="仿宋_GB2312" w:cs="仿宋_GB2312" w:eastAsia="仿宋_GB2312"/>
                <w:sz w:val="24"/>
              </w:rPr>
              <w:t>第一标段：抽样检测</w:t>
            </w:r>
            <w:r>
              <w:rPr>
                <w:rFonts w:ascii="仿宋_GB2312" w:hAnsi="仿宋_GB2312" w:cs="仿宋_GB2312" w:eastAsia="仿宋_GB2312"/>
                <w:sz w:val="24"/>
              </w:rPr>
              <w:t>853批次，资金67.86万元。</w:t>
            </w:r>
          </w:p>
          <w:p>
            <w:pPr>
              <w:pStyle w:val="null3"/>
              <w:ind w:firstLine="480"/>
              <w:jc w:val="both"/>
            </w:pPr>
            <w:r>
              <w:rPr>
                <w:rFonts w:ascii="仿宋_GB2312" w:hAnsi="仿宋_GB2312" w:cs="仿宋_GB2312" w:eastAsia="仿宋_GB2312"/>
                <w:sz w:val="24"/>
              </w:rPr>
              <w:t>各标段及抽样任务分解区域、品种和数量详见附件</w:t>
            </w:r>
            <w:r>
              <w:rPr>
                <w:rFonts w:ascii="仿宋_GB2312" w:hAnsi="仿宋_GB2312" w:cs="仿宋_GB2312" w:eastAsia="仿宋_GB2312"/>
                <w:sz w:val="24"/>
              </w:rPr>
              <w:t>1。</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b/>
              </w:rPr>
              <w:t>采样及检测阶段计划。</w:t>
            </w:r>
          </w:p>
          <w:p>
            <w:pPr>
              <w:pStyle w:val="null3"/>
              <w:ind w:firstLine="480"/>
              <w:jc w:val="both"/>
            </w:pPr>
            <w:r>
              <w:rPr>
                <w:rFonts w:ascii="仿宋_GB2312" w:hAnsi="仿宋_GB2312" w:cs="仿宋_GB2312" w:eastAsia="仿宋_GB2312"/>
                <w:sz w:val="24"/>
              </w:rPr>
              <w:t>招标工作完成后，例行监测标段同步开展抽样检测</w:t>
            </w:r>
            <w:r>
              <w:rPr>
                <w:rFonts w:ascii="仿宋_GB2312" w:hAnsi="仿宋_GB2312" w:cs="仿宋_GB2312" w:eastAsia="仿宋_GB2312"/>
                <w:sz w:val="24"/>
              </w:rPr>
              <w:t>,三个阶段开始时间待定，承担该项目的检测企业于11月30日前，提交全部抽检资料。12月20日前完成项目验收。</w:t>
            </w:r>
          </w:p>
          <w:p>
            <w:pPr>
              <w:pStyle w:val="null3"/>
              <w:ind w:firstLine="640"/>
              <w:jc w:val="both"/>
            </w:pPr>
            <w:r>
              <w:rPr>
                <w:rFonts w:ascii="仿宋_GB2312" w:hAnsi="仿宋_GB2312" w:cs="仿宋_GB2312" w:eastAsia="仿宋_GB2312"/>
                <w:sz w:val="24"/>
                <w:b/>
              </w:rPr>
              <w:t>六、保障措施和要求</w:t>
            </w:r>
          </w:p>
          <w:p>
            <w:pPr>
              <w:pStyle w:val="null3"/>
              <w:ind w:firstLine="480"/>
              <w:jc w:val="both"/>
            </w:pPr>
            <w:r>
              <w:rPr>
                <w:rFonts w:ascii="仿宋_GB2312" w:hAnsi="仿宋_GB2312" w:cs="仿宋_GB2312" w:eastAsia="仿宋_GB2312"/>
                <w:sz w:val="24"/>
              </w:rPr>
              <w:t>1、项目实施责任制。由市农业农村局畜牧兽医处负责，市动物卫生与屠宰管理中心配合。按照项目进度，联系区县相关单位人员，协调处理抽样环节工作，积极开展检查督导，确保项目资金专款专用，各标段和阶段性工作按期高质量完成。</w:t>
            </w:r>
          </w:p>
          <w:p>
            <w:pPr>
              <w:pStyle w:val="null3"/>
              <w:ind w:firstLine="480"/>
              <w:jc w:val="both"/>
            </w:pPr>
            <w:r>
              <w:rPr>
                <w:rFonts w:ascii="仿宋_GB2312" w:hAnsi="仿宋_GB2312" w:cs="仿宋_GB2312" w:eastAsia="仿宋_GB2312"/>
                <w:sz w:val="24"/>
              </w:rPr>
              <w:t>2、区县工作任务。各区县主管部门，要指定专人，负责同市级项目执行单位配合，联系相关屠宰企业、养殖企业和市场监管部门，确保各环节采样数量按要求完成。</w:t>
            </w:r>
          </w:p>
          <w:p>
            <w:pPr>
              <w:pStyle w:val="null3"/>
              <w:ind w:firstLine="480"/>
              <w:jc w:val="both"/>
            </w:pPr>
            <w:r>
              <w:rPr>
                <w:rFonts w:ascii="仿宋_GB2312" w:hAnsi="仿宋_GB2312" w:cs="仿宋_GB2312" w:eastAsia="仿宋_GB2312"/>
                <w:sz w:val="24"/>
              </w:rPr>
              <w:t>3、第三方检测机构要求。严格按照项目负责单位要求，开展相关工作，提交相关检测资料和报表。抽检工作严格按《官方取样程序》和《动物及动物产品兽药残留监控抽样规范》（NY/T1897-2010）执行。采样过程由第三方组织实施，按照合同要求的时间节点出具检测报告。</w:t>
            </w:r>
          </w:p>
          <w:p>
            <w:pPr>
              <w:pStyle w:val="null3"/>
              <w:ind w:firstLine="480"/>
              <w:jc w:val="both"/>
            </w:pPr>
            <w:r>
              <w:rPr>
                <w:rFonts w:ascii="仿宋_GB2312" w:hAnsi="仿宋_GB2312" w:cs="仿宋_GB2312" w:eastAsia="仿宋_GB2312"/>
                <w:sz w:val="24"/>
              </w:rPr>
              <w:t>4、检测样品要求。猪肉、牛肉、羊肉样品为精瘦肉，每份样品1000克（500克检测，500克留样）；鸡肉1000克（500克检测，500克留样）；猪肝不低于1000克（500克检测，500克留样）；鸡蛋24枚(12枚检测，12枚留样)。</w:t>
            </w:r>
          </w:p>
          <w:p>
            <w:pPr>
              <w:pStyle w:val="null3"/>
              <w:ind w:firstLine="480"/>
              <w:jc w:val="both"/>
            </w:pPr>
            <w:r>
              <w:rPr>
                <w:rFonts w:ascii="仿宋_GB2312" w:hAnsi="仿宋_GB2312" w:cs="仿宋_GB2312" w:eastAsia="仿宋_GB2312"/>
                <w:sz w:val="24"/>
              </w:rPr>
              <w:t>5、规范项目资金使用管理。加强经费预算执行，专款专用，提高预算执行的及时性与有效性。</w:t>
            </w:r>
          </w:p>
          <w:p>
            <w:pPr>
              <w:pStyle w:val="null3"/>
              <w:ind w:firstLine="480"/>
              <w:jc w:val="left"/>
            </w:pPr>
            <w:r>
              <w:rPr>
                <w:rFonts w:ascii="仿宋_GB2312" w:hAnsi="仿宋_GB2312" w:cs="仿宋_GB2312" w:eastAsia="仿宋_GB2312"/>
                <w:sz w:val="24"/>
              </w:rPr>
              <w:t>附件：</w:t>
            </w:r>
          </w:p>
          <w:p>
            <w:pPr>
              <w:pStyle w:val="null3"/>
              <w:ind w:firstLine="480"/>
              <w:jc w:val="both"/>
            </w:pPr>
            <w:r>
              <w:rPr>
                <w:rFonts w:ascii="仿宋_GB2312" w:hAnsi="仿宋_GB2312" w:cs="仿宋_GB2312" w:eastAsia="仿宋_GB2312"/>
                <w:sz w:val="24"/>
              </w:rPr>
              <w:t>1.第一标段例行监测抽样品类、数量表、分配表</w:t>
            </w:r>
          </w:p>
          <w:p>
            <w:pPr>
              <w:pStyle w:val="null3"/>
              <w:ind w:firstLine="480"/>
              <w:jc w:val="both"/>
            </w:pPr>
            <w:r>
              <w:rPr>
                <w:rFonts w:ascii="仿宋_GB2312" w:hAnsi="仿宋_GB2312" w:cs="仿宋_GB2312" w:eastAsia="仿宋_GB2312"/>
                <w:sz w:val="24"/>
              </w:rPr>
              <w:t>2.畜禽产品例行监测参数和检测方法</w:t>
            </w:r>
          </w:p>
          <w:p>
            <w:pPr>
              <w:pStyle w:val="null3"/>
              <w:spacing w:before="255" w:after="255"/>
              <w:jc w:val="both"/>
              <w:outlineLvl w:val="2"/>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1：</w:t>
            </w:r>
          </w:p>
          <w:p>
            <w:pPr>
              <w:pStyle w:val="null3"/>
              <w:jc w:val="center"/>
            </w:pPr>
            <w:r>
              <w:rPr>
                <w:rFonts w:ascii="仿宋_GB2312" w:hAnsi="仿宋_GB2312" w:cs="仿宋_GB2312" w:eastAsia="仿宋_GB2312"/>
                <w:sz w:val="24"/>
                <w:b/>
              </w:rPr>
              <w:t>第一标段例行监测抽样品类及数量表</w:t>
            </w:r>
          </w:p>
          <w:tbl>
            <w:tblPr>
              <w:tblBorders>
                <w:top w:val="none" w:color="000000" w:sz="4"/>
                <w:left w:val="none" w:color="000000" w:sz="4"/>
                <w:bottom w:val="none" w:color="000000" w:sz="4"/>
                <w:right w:val="none" w:color="000000" w:sz="4"/>
                <w:insideH w:val="none"/>
                <w:insideV w:val="none"/>
              </w:tblBorders>
            </w:tblPr>
            <w:tblGrid>
              <w:gridCol w:w="296"/>
              <w:gridCol w:w="395"/>
              <w:gridCol w:w="360"/>
              <w:gridCol w:w="315"/>
              <w:gridCol w:w="359"/>
              <w:gridCol w:w="360"/>
              <w:gridCol w:w="469"/>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品类</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数量</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部位</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样本质量</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备样质量</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9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3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精瘦肉</w:t>
                  </w:r>
                </w:p>
              </w:tc>
              <w:tc>
                <w:tcPr>
                  <w:tcW w:type="dxa" w:w="3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9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猪肝</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肝叶</w:t>
                  </w:r>
                </w:p>
              </w:tc>
              <w:tc>
                <w:tcPr>
                  <w:tcW w:type="dxa" w:w="3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9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牛肉</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3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精瘦肉</w:t>
                  </w:r>
                </w:p>
              </w:tc>
              <w:tc>
                <w:tcPr>
                  <w:tcW w:type="dxa" w:w="3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9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羊肉</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精瘦肉</w:t>
                  </w:r>
                </w:p>
              </w:tc>
              <w:tc>
                <w:tcPr>
                  <w:tcW w:type="dxa" w:w="3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9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胸脯肉</w:t>
                  </w:r>
                </w:p>
              </w:tc>
              <w:tc>
                <w:tcPr>
                  <w:tcW w:type="dxa" w:w="3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无破损</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12枚</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12枚</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rPr>
              <w:t>第一标段例行监测采样各区县任务分配表</w:t>
            </w:r>
          </w:p>
          <w:tbl>
            <w:tblPr>
              <w:tblBorders>
                <w:top w:val="none" w:color="000000" w:sz="4"/>
                <w:left w:val="none" w:color="000000" w:sz="4"/>
                <w:bottom w:val="none" w:color="000000" w:sz="4"/>
                <w:right w:val="none" w:color="000000" w:sz="4"/>
                <w:insideH w:val="none"/>
                <w:insideV w:val="none"/>
              </w:tblBorders>
            </w:tblPr>
            <w:tblGrid>
              <w:gridCol w:w="207"/>
              <w:gridCol w:w="300"/>
              <w:gridCol w:w="242"/>
              <w:gridCol w:w="247"/>
              <w:gridCol w:w="251"/>
              <w:gridCol w:w="247"/>
              <w:gridCol w:w="242"/>
              <w:gridCol w:w="242"/>
              <w:gridCol w:w="264"/>
              <w:gridCol w:w="269"/>
            </w:tblGrid>
            <w:tr>
              <w:tc>
                <w:tcPr>
                  <w:tcW w:type="dxa" w:w="207"/>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0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采集</w:t>
                  </w:r>
                </w:p>
                <w:p>
                  <w:pPr>
                    <w:pStyle w:val="null3"/>
                    <w:jc w:val="center"/>
                  </w:pPr>
                  <w:r>
                    <w:rPr>
                      <w:rFonts w:ascii="仿宋_GB2312" w:hAnsi="仿宋_GB2312" w:cs="仿宋_GB2312" w:eastAsia="仿宋_GB2312"/>
                      <w:sz w:val="24"/>
                      <w:color w:val="000000"/>
                    </w:rPr>
                    <w:t>区县</w:t>
                  </w:r>
                </w:p>
              </w:tc>
              <w:tc>
                <w:tcPr>
                  <w:tcW w:type="dxa" w:w="1471"/>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样本采集数量（份）</w:t>
                  </w:r>
                </w:p>
              </w:tc>
              <w:tc>
                <w:tcPr>
                  <w:tcW w:type="dxa" w:w="26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6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7"/>
                  <w:vMerge/>
                  <w:tcBorders>
                    <w:top w:val="single" w:color="000000" w:sz="4"/>
                    <w:left w:val="single" w:color="000000" w:sz="4"/>
                    <w:bottom w:val="none" w:color="000000" w:sz="4"/>
                    <w:right w:val="single" w:color="000000" w:sz="4"/>
                  </w:tcBorders>
                </w:tcPr>
                <w:p/>
              </w:tc>
              <w:tc>
                <w:tcPr>
                  <w:tcW w:type="dxa" w:w="300"/>
                  <w:vMerge/>
                  <w:tcBorders>
                    <w:top w:val="singl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猪肉</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猪肝</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牛肉</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羊肉</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禽肉</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禽蛋</w:t>
                  </w:r>
                </w:p>
              </w:tc>
              <w:tc>
                <w:tcPr>
                  <w:tcW w:type="dxa" w:w="264"/>
                  <w:vMerge/>
                  <w:tcBorders>
                    <w:top w:val="single" w:color="000000" w:sz="4"/>
                    <w:left w:val="none" w:color="000000" w:sz="4"/>
                    <w:bottom w:val="none" w:color="000000" w:sz="4"/>
                    <w:right w:val="single" w:color="000000" w:sz="4"/>
                  </w:tcBorders>
                </w:tcPr>
                <w:p/>
              </w:tc>
              <w:tc>
                <w:tcPr>
                  <w:tcW w:type="dxa" w:w="269"/>
                  <w:vMerge/>
                  <w:tcBorders>
                    <w:top w:val="single" w:color="000000" w:sz="4"/>
                    <w:left w:val="none" w:color="000000" w:sz="4"/>
                    <w:bottom w:val="none" w:color="000000" w:sz="4"/>
                    <w:right w:val="single" w:color="000000" w:sz="4"/>
                  </w:tcBorders>
                </w:tcPr>
                <w:p/>
              </w:tc>
            </w:tr>
            <w:tr>
              <w:tc>
                <w:tcPr>
                  <w:tcW w:type="dxa" w:w="20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阎良区</w:t>
                  </w:r>
                </w:p>
              </w:tc>
              <w:tc>
                <w:tcPr>
                  <w:tcW w:type="dxa" w:w="2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2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0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0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高陵区</w:t>
                  </w:r>
                </w:p>
              </w:tc>
              <w:tc>
                <w:tcPr>
                  <w:tcW w:type="dxa" w:w="2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2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26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363</w:t>
                  </w:r>
                </w:p>
              </w:tc>
              <w:tc>
                <w:tcPr>
                  <w:tcW w:type="dxa" w:w="2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临潼区</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2</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4"/>
                <w:b/>
              </w:rPr>
              <w:t>畜禽产品例行监测参数和检测方法</w:t>
            </w:r>
          </w:p>
          <w:tbl>
            <w:tblPr>
              <w:tblBorders>
                <w:top w:val="none" w:color="000000" w:sz="4"/>
                <w:left w:val="none" w:color="000000" w:sz="4"/>
                <w:bottom w:val="none" w:color="000000" w:sz="4"/>
                <w:right w:val="none" w:color="000000" w:sz="4"/>
                <w:insideH w:val="none"/>
                <w:insideV w:val="none"/>
              </w:tblBorders>
            </w:tblPr>
            <w:tblGrid>
              <w:gridCol w:w="1196"/>
              <w:gridCol w:w="443"/>
              <w:gridCol w:w="915"/>
            </w:tblGrid>
            <w:tr>
              <w:tc>
                <w:tcPr>
                  <w:tcW w:type="dxa" w:w="1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样品种类</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禁用药物</w:t>
                  </w:r>
                  <w:r>
                    <w:rPr>
                      <w:rFonts w:ascii="仿宋_GB2312" w:hAnsi="仿宋_GB2312" w:cs="仿宋_GB2312" w:eastAsia="仿宋_GB2312"/>
                      <w:sz w:val="24"/>
                    </w:rPr>
                    <w:t>β-受体激动剂类（克伦特罗、莱克多巴胺、沙丁胺醇、特布他林、西马特罗、氯丙那林、妥布特罗、齐帕特</w:t>
                  </w:r>
                  <w:r>
                    <w:rPr>
                      <w:rFonts w:ascii="仿宋_GB2312" w:hAnsi="仿宋_GB2312" w:cs="仿宋_GB2312" w:eastAsia="仿宋_GB2312"/>
                      <w:sz w:val="24"/>
                    </w:rPr>
                    <w:t>罗</w:t>
                  </w:r>
                  <w:r>
                    <w:rPr>
                      <w:rFonts w:ascii="仿宋_GB2312" w:hAnsi="仿宋_GB2312" w:cs="仿宋_GB2312" w:eastAsia="仿宋_GB2312"/>
                      <w:sz w:val="24"/>
                    </w:rPr>
                    <w:t>）</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猪肉、猪肝</w:t>
                  </w:r>
                </w:p>
                <w:p>
                  <w:pPr>
                    <w:pStyle w:val="null3"/>
                    <w:jc w:val="center"/>
                  </w:pPr>
                  <w:r>
                    <w:rPr>
                      <w:rFonts w:ascii="仿宋_GB2312" w:hAnsi="仿宋_GB2312" w:cs="仿宋_GB2312" w:eastAsia="仿宋_GB2312"/>
                      <w:sz w:val="24"/>
                    </w:rPr>
                    <w:t>牛肉、羊肉</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按农业部</w:t>
                  </w:r>
                  <w:r>
                    <w:rPr>
                      <w:rFonts w:ascii="仿宋_GB2312" w:hAnsi="仿宋_GB2312" w:cs="仿宋_GB2312" w:eastAsia="仿宋_GB2312"/>
                      <w:sz w:val="24"/>
                    </w:rPr>
                    <w:t>1025号公告-18-2008</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31658.22进行检测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磺胺类（磺胺间甲氧嘧啶、磺胺二甲嘧啶、磺胺甲噁唑、磺胺</w:t>
                  </w:r>
                  <w:r>
                    <w:rPr>
                      <w:rFonts w:ascii="仿宋_GB2312" w:hAnsi="仿宋_GB2312" w:cs="仿宋_GB2312" w:eastAsia="仿宋_GB2312"/>
                      <w:sz w:val="24"/>
                    </w:rPr>
                    <w:t>(间)二甲氧嘧啶、磺胺喹噁啉、磺胺氯哒嗪）</w:t>
                  </w:r>
                </w:p>
              </w:tc>
              <w:tc>
                <w:tcPr>
                  <w:tcW w:type="dxa" w:w="443"/>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20759</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21316</w:t>
                  </w:r>
                </w:p>
                <w:p>
                  <w:pPr>
                    <w:pStyle w:val="null3"/>
                    <w:jc w:val="both"/>
                  </w:pPr>
                  <w:r>
                    <w:rPr>
                      <w:rFonts w:ascii="仿宋_GB2312" w:hAnsi="仿宋_GB2312" w:cs="仿宋_GB2312" w:eastAsia="仿宋_GB2312"/>
                      <w:sz w:val="24"/>
                    </w:rPr>
                    <w:t>或农业部</w:t>
                  </w:r>
                  <w:r>
                    <w:rPr>
                      <w:rFonts w:ascii="仿宋_GB2312" w:hAnsi="仿宋_GB2312" w:cs="仿宋_GB2312" w:eastAsia="仿宋_GB2312"/>
                      <w:sz w:val="24"/>
                    </w:rPr>
                    <w:t>1025号公告-23-2008</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SN/T 5140</w:t>
                  </w:r>
                </w:p>
                <w:p>
                  <w:pPr>
                    <w:pStyle w:val="null3"/>
                    <w:jc w:val="both"/>
                  </w:pPr>
                  <w:r>
                    <w:rPr>
                      <w:rFonts w:ascii="仿宋_GB2312" w:hAnsi="仿宋_GB2312" w:cs="仿宋_GB2312" w:eastAsia="仿宋_GB2312"/>
                      <w:sz w:val="24"/>
                    </w:rPr>
                    <w:t>或农质发〔</w:t>
                  </w:r>
                  <w:r>
                    <w:rPr>
                      <w:rFonts w:ascii="仿宋_GB2312" w:hAnsi="仿宋_GB2312" w:cs="仿宋_GB2312" w:eastAsia="仿宋_GB2312"/>
                      <w:sz w:val="24"/>
                    </w:rPr>
                    <w:t>2014〕5号文件附录进行检测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四环素类（金霉素、土霉素、四环素、多西环素）</w:t>
                  </w:r>
                </w:p>
              </w:tc>
              <w:tc>
                <w:tcPr>
                  <w:tcW w:type="dxa" w:w="443"/>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21317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31658.6进行检测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糖皮质激素类（地塞米松、倍他米松）</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按农业部</w:t>
                  </w:r>
                  <w:r>
                    <w:rPr>
                      <w:rFonts w:ascii="仿宋_GB2312" w:hAnsi="仿宋_GB2312" w:cs="仿宋_GB2312" w:eastAsia="仿宋_GB2312"/>
                      <w:sz w:val="24"/>
                    </w:rPr>
                    <w:t>1031号公告-2-2008进行检测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氟喹诺酮类（恩诺沙星、环丙沙星）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猪肉、牛肉、羊肉</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31658.17进行检测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食品动物中停止使用药物</w:t>
                  </w:r>
                  <w:r>
                    <w:rPr>
                      <w:rFonts w:ascii="仿宋_GB2312" w:hAnsi="仿宋_GB2312" w:cs="仿宋_GB2312" w:eastAsia="仿宋_GB2312"/>
                      <w:sz w:val="24"/>
                    </w:rPr>
                    <w:t>氟喹诺酮类（氧氟沙星、培氟沙星、诺氟沙星、洛美沙星）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21316</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21312</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20366</w:t>
                  </w:r>
                </w:p>
                <w:p>
                  <w:pPr>
                    <w:pStyle w:val="null3"/>
                    <w:jc w:val="both"/>
                  </w:pPr>
                  <w:r>
                    <w:rPr>
                      <w:rFonts w:ascii="仿宋_GB2312" w:hAnsi="仿宋_GB2312" w:cs="仿宋_GB2312" w:eastAsia="仿宋_GB2312"/>
                      <w:sz w:val="24"/>
                    </w:rPr>
                    <w:t>或农业农村部指定方法进行检测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氟喹诺酮类（恩诺沙星、环丙沙星、沙拉沙星、达氟沙星）</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抗菌增效剂（甲氧苄啶）</w:t>
                  </w:r>
                </w:p>
              </w:tc>
              <w:tc>
                <w:tcPr>
                  <w:tcW w:type="dxa" w:w="44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产蛋期不得使用药物</w:t>
                  </w:r>
                  <w:r>
                    <w:rPr>
                      <w:rFonts w:ascii="仿宋_GB2312" w:hAnsi="仿宋_GB2312" w:cs="仿宋_GB2312" w:eastAsia="仿宋_GB2312"/>
                      <w:sz w:val="24"/>
                    </w:rPr>
                    <w:t>氟喹诺酮类（恩诺沙星、环丙沙星、沙拉沙星、达氟沙星）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食品动物中停止使用药物</w:t>
                  </w:r>
                  <w:r>
                    <w:rPr>
                      <w:rFonts w:ascii="仿宋_GB2312" w:hAnsi="仿宋_GB2312" w:cs="仿宋_GB2312" w:eastAsia="仿宋_GB2312"/>
                      <w:sz w:val="24"/>
                    </w:rPr>
                    <w:t>金刚烷胺</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31660.5或农业农村部指定方法进行检测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禁用药物</w:t>
                  </w:r>
                  <w:r>
                    <w:rPr>
                      <w:rFonts w:ascii="仿宋_GB2312" w:hAnsi="仿宋_GB2312" w:cs="仿宋_GB2312" w:eastAsia="仿宋_GB2312"/>
                      <w:sz w:val="24"/>
                    </w:rPr>
                    <w:t>酰胺醇类（氯霉素）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31658.20或农业农村部指定方法进行检测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酰胺醇类（氟苯尼考、氟苯尼考胺和甲砜霉素）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产蛋期不得使用药物</w:t>
                  </w:r>
                  <w:r>
                    <w:rPr>
                      <w:rFonts w:ascii="仿宋_GB2312" w:hAnsi="仿宋_GB2312" w:cs="仿宋_GB2312" w:eastAsia="仿宋_GB2312"/>
                      <w:sz w:val="24"/>
                    </w:rPr>
                    <w:t>酰胺醇类（氟苯尼考、氟苯尼考胺、甲砜霉素）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产蛋期不得使用药物</w:t>
                  </w:r>
                  <w:r>
                    <w:rPr>
                      <w:rFonts w:ascii="仿宋_GB2312" w:hAnsi="仿宋_GB2312" w:cs="仿宋_GB2312" w:eastAsia="仿宋_GB2312"/>
                      <w:sz w:val="24"/>
                    </w:rPr>
                    <w:t>四环素类（多西环素）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w:t>
                  </w:r>
                  <w:r>
                    <w:rPr>
                      <w:rFonts w:ascii="仿宋_GB2312" w:hAnsi="仿宋_GB2312" w:cs="仿宋_GB2312" w:eastAsia="仿宋_GB2312"/>
                      <w:sz w:val="24"/>
                    </w:rPr>
                    <w:t>GB 31658.6</w:t>
                  </w:r>
                </w:p>
                <w:p>
                  <w:pPr>
                    <w:pStyle w:val="null3"/>
                    <w:jc w:val="left"/>
                  </w:pPr>
                  <w:r>
                    <w:rPr>
                      <w:rFonts w:ascii="仿宋_GB2312" w:hAnsi="仿宋_GB2312" w:cs="仿宋_GB2312" w:eastAsia="仿宋_GB2312"/>
                      <w:sz w:val="24"/>
                    </w:rPr>
                    <w:t>或</w:t>
                  </w:r>
                  <w:r>
                    <w:rPr>
                      <w:rFonts w:ascii="仿宋_GB2312" w:hAnsi="仿宋_GB2312" w:cs="仿宋_GB2312" w:eastAsia="仿宋_GB2312"/>
                      <w:sz w:val="24"/>
                    </w:rPr>
                    <w:t>GB 31659.2进行检测</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标的名称：市级畜禽产品风险监测（例行监测）项目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shd w:fill="FFFFFF" w:val="clear"/>
              </w:rPr>
              <w:t>市级畜禽产品风险监测（例行监测）项目（第二标段）</w:t>
            </w:r>
          </w:p>
          <w:p>
            <w:pPr>
              <w:pStyle w:val="null3"/>
              <w:ind w:firstLine="482"/>
              <w:jc w:val="both"/>
            </w:pPr>
            <w:r>
              <w:rPr>
                <w:rFonts w:ascii="仿宋_GB2312" w:hAnsi="仿宋_GB2312" w:cs="仿宋_GB2312" w:eastAsia="仿宋_GB2312"/>
                <w:sz w:val="24"/>
                <w:b/>
              </w:rPr>
              <w:t>一、目标任务</w:t>
            </w:r>
          </w:p>
          <w:p>
            <w:pPr>
              <w:pStyle w:val="null3"/>
              <w:ind w:firstLine="480"/>
              <w:jc w:val="left"/>
            </w:pPr>
            <w:r>
              <w:rPr>
                <w:rFonts w:ascii="仿宋_GB2312" w:hAnsi="仿宋_GB2312" w:cs="仿宋_GB2312" w:eastAsia="仿宋_GB2312"/>
                <w:sz w:val="24"/>
              </w:rPr>
              <w:t>严格落实农产品质量安全定量监测</w:t>
            </w:r>
            <w:r>
              <w:rPr>
                <w:rFonts w:ascii="仿宋_GB2312" w:hAnsi="仿宋_GB2312" w:cs="仿宋_GB2312" w:eastAsia="仿宋_GB2312"/>
                <w:sz w:val="24"/>
              </w:rPr>
              <w:t>2.0批次/千人目标任务，参照市级监测方案，确保监管监测全覆盖，确保全年检验检测各项工作圆满完成，努力保障人民群众畜禽产品消费安全。</w:t>
            </w:r>
          </w:p>
          <w:p>
            <w:pPr>
              <w:pStyle w:val="null3"/>
              <w:ind w:left="-15" w:firstLine="640"/>
              <w:jc w:val="both"/>
            </w:pPr>
            <w:r>
              <w:rPr>
                <w:rFonts w:ascii="仿宋_GB2312" w:hAnsi="仿宋_GB2312" w:cs="仿宋_GB2312" w:eastAsia="仿宋_GB2312"/>
                <w:sz w:val="24"/>
                <w:b/>
              </w:rPr>
              <w:t>二、</w:t>
            </w:r>
            <w:r>
              <w:rPr>
                <w:rFonts w:ascii="仿宋_GB2312" w:hAnsi="仿宋_GB2312" w:cs="仿宋_GB2312" w:eastAsia="仿宋_GB2312"/>
                <w:sz w:val="24"/>
                <w:b/>
              </w:rPr>
              <w:t>监测品种数量及资金预算</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、例行监测和屠宰环节风险监测（二标段）</w:t>
            </w:r>
            <w:r>
              <w:rPr>
                <w:rFonts w:ascii="仿宋_GB2312" w:hAnsi="仿宋_GB2312" w:cs="仿宋_GB2312" w:eastAsia="仿宋_GB2312"/>
                <w:sz w:val="24"/>
                <w:b/>
              </w:rPr>
              <w:t>：</w:t>
            </w:r>
            <w:r>
              <w:rPr>
                <w:rFonts w:ascii="仿宋_GB2312" w:hAnsi="仿宋_GB2312" w:cs="仿宋_GB2312" w:eastAsia="仿宋_GB2312"/>
                <w:sz w:val="24"/>
              </w:rPr>
              <w:t>①例行监测：在全市范围内屠宰企业、养殖场和农贸市场，开展猪肉、猪肝、牛肉、羊肉、禽肉、禽蛋等共计727批次样品，分三个阶段进行抽样检测（检测参数及检测方法见</w:t>
            </w:r>
            <w:r>
              <w:rPr>
                <w:rFonts w:ascii="仿宋_GB2312" w:hAnsi="仿宋_GB2312" w:cs="仿宋_GB2312" w:eastAsia="仿宋_GB2312"/>
                <w:sz w:val="24"/>
              </w:rPr>
              <w:t>附件</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727批次样品中，猪肉251批次、猪肝27批次、牛肉60批次、羊肉8批次、禽肉130批次、禽蛋251批次。其中：猪肉、牛肉、羊肉和禽肉在屠宰场和批发市场抽样，猪肝在屠宰企业抽样，禽蛋在养殖场和批发市场抽样,抽样比例为6:2:2，猪肝在屠宰场抽样。</w:t>
            </w:r>
          </w:p>
          <w:p>
            <w:pPr>
              <w:pStyle w:val="null3"/>
              <w:ind w:firstLine="480"/>
              <w:jc w:val="left"/>
            </w:pPr>
            <w:r>
              <w:rPr>
                <w:rFonts w:ascii="仿宋_GB2312" w:hAnsi="仿宋_GB2312" w:cs="仿宋_GB2312" w:eastAsia="仿宋_GB2312"/>
                <w:sz w:val="24"/>
              </w:rPr>
              <w:t>②屠宰环节风险监测：在全市范围内所有屠宰企业，开展猪肉、猪肝、牛肉、牛肝、禽肉五个品种共计100批次样品，进行抽样检测（检测参数及检测方法见</w:t>
            </w:r>
            <w:r>
              <w:rPr>
                <w:rFonts w:ascii="仿宋_GB2312" w:hAnsi="仿宋_GB2312" w:cs="仿宋_GB2312" w:eastAsia="仿宋_GB2312"/>
                <w:sz w:val="24"/>
              </w:rPr>
              <w:t>附件</w:t>
            </w:r>
            <w:r>
              <w:rPr>
                <w:rFonts w:ascii="仿宋_GB2312" w:hAnsi="仿宋_GB2312" w:cs="仿宋_GB2312" w:eastAsia="仿宋_GB2312"/>
                <w:sz w:val="24"/>
              </w:rPr>
              <w:t>3</w:t>
            </w:r>
            <w:r>
              <w:rPr>
                <w:rFonts w:ascii="仿宋_GB2312" w:hAnsi="仿宋_GB2312" w:cs="仿宋_GB2312" w:eastAsia="仿宋_GB2312"/>
                <w:sz w:val="24"/>
              </w:rPr>
              <w:t>、附件</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100批次样品中：猪肉10批次、猪肝10批次、牛肉35批次、牛肝35批次、禽肉10批次，抽样数量来自省级分配任务。二标段，预算62.14万元。</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项目实施方式</w:t>
            </w:r>
          </w:p>
          <w:p>
            <w:pPr>
              <w:pStyle w:val="null3"/>
              <w:ind w:firstLine="480"/>
              <w:jc w:val="both"/>
            </w:pPr>
            <w:r>
              <w:rPr>
                <w:rFonts w:ascii="仿宋_GB2312" w:hAnsi="仿宋_GB2312" w:cs="仿宋_GB2312" w:eastAsia="仿宋_GB2312"/>
                <w:sz w:val="24"/>
              </w:rPr>
              <w:t>市农业农村局协调政府采购部门，按照政府采购要求和程序，办理相关采购审批手续。本项目各标段资金包含样品采购、样品包装、样品检测和出具检测报告等服务项目，以政府购买服务的方式委托第三方进行实施。</w:t>
            </w:r>
          </w:p>
          <w:p>
            <w:pPr>
              <w:pStyle w:val="null3"/>
              <w:ind w:firstLine="482"/>
              <w:jc w:val="both"/>
            </w:pPr>
            <w:r>
              <w:rPr>
                <w:rFonts w:ascii="仿宋_GB2312" w:hAnsi="仿宋_GB2312" w:cs="仿宋_GB2312" w:eastAsia="仿宋_GB2312"/>
                <w:sz w:val="24"/>
                <w:b/>
              </w:rPr>
              <w:t>四、进度安排</w:t>
            </w:r>
          </w:p>
          <w:p>
            <w:pPr>
              <w:pStyle w:val="null3"/>
              <w:ind w:firstLine="480"/>
              <w:jc w:val="both"/>
            </w:pPr>
            <w:r>
              <w:rPr>
                <w:rFonts w:ascii="仿宋_GB2312" w:hAnsi="仿宋_GB2312" w:cs="仿宋_GB2312" w:eastAsia="仿宋_GB2312"/>
                <w:sz w:val="24"/>
              </w:rPr>
              <w:t>第一阶段：（</w:t>
            </w:r>
            <w:r>
              <w:rPr>
                <w:rFonts w:ascii="仿宋_GB2312" w:hAnsi="仿宋_GB2312" w:cs="仿宋_GB2312" w:eastAsia="仿宋_GB2312"/>
                <w:sz w:val="24"/>
              </w:rPr>
              <w:t xml:space="preserve">2026.8），制定实施方案，办理政府采购手续；                   </w:t>
            </w:r>
          </w:p>
          <w:p>
            <w:pPr>
              <w:pStyle w:val="null3"/>
              <w:ind w:firstLine="480"/>
              <w:jc w:val="both"/>
            </w:pPr>
            <w:r>
              <w:rPr>
                <w:rFonts w:ascii="仿宋_GB2312" w:hAnsi="仿宋_GB2312" w:cs="仿宋_GB2312" w:eastAsia="仿宋_GB2312"/>
                <w:sz w:val="24"/>
              </w:rPr>
              <w:t>第二阶段：（</w:t>
            </w:r>
            <w:r>
              <w:rPr>
                <w:rFonts w:ascii="仿宋_GB2312" w:hAnsi="仿宋_GB2312" w:cs="仿宋_GB2312" w:eastAsia="仿宋_GB2312"/>
                <w:sz w:val="24"/>
              </w:rPr>
              <w:t xml:space="preserve">2026.9—2026.11），委托第三方检测机构开展抽检检测工作。                              </w:t>
            </w:r>
          </w:p>
          <w:p>
            <w:pPr>
              <w:pStyle w:val="null3"/>
              <w:ind w:firstLine="480"/>
              <w:jc w:val="both"/>
            </w:pPr>
            <w:r>
              <w:rPr>
                <w:rFonts w:ascii="仿宋_GB2312" w:hAnsi="仿宋_GB2312" w:cs="仿宋_GB2312" w:eastAsia="仿宋_GB2312"/>
                <w:sz w:val="24"/>
              </w:rPr>
              <w:t>第三阶段：</w:t>
            </w:r>
            <w:r>
              <w:rPr>
                <w:rFonts w:ascii="仿宋_GB2312" w:hAnsi="仿宋_GB2312" w:cs="仿宋_GB2312" w:eastAsia="仿宋_GB2312"/>
                <w:sz w:val="24"/>
              </w:rPr>
              <w:t>2026年12月</w:t>
            </w:r>
            <w:r>
              <w:rPr>
                <w:rFonts w:ascii="仿宋_GB2312" w:hAnsi="仿宋_GB2312" w:cs="仿宋_GB2312" w:eastAsia="仿宋_GB2312"/>
                <w:sz w:val="24"/>
              </w:rPr>
              <w:t>20日前</w:t>
            </w:r>
            <w:r>
              <w:rPr>
                <w:rFonts w:ascii="仿宋_GB2312" w:hAnsi="仿宋_GB2312" w:cs="仿宋_GB2312" w:eastAsia="仿宋_GB2312"/>
                <w:sz w:val="24"/>
              </w:rPr>
              <w:t>，对项目实施进行总结和验收。</w:t>
            </w:r>
          </w:p>
          <w:p>
            <w:pPr>
              <w:pStyle w:val="null3"/>
              <w:ind w:firstLine="482"/>
              <w:jc w:val="both"/>
            </w:pPr>
            <w:r>
              <w:rPr>
                <w:rFonts w:ascii="仿宋_GB2312" w:hAnsi="仿宋_GB2312" w:cs="仿宋_GB2312" w:eastAsia="仿宋_GB2312"/>
                <w:sz w:val="24"/>
                <w:b/>
              </w:rPr>
              <w:t>五、项目分解招标及采样计划</w:t>
            </w:r>
          </w:p>
          <w:p>
            <w:pPr>
              <w:pStyle w:val="null3"/>
              <w:ind w:firstLine="482"/>
              <w:jc w:val="both"/>
            </w:pPr>
            <w:r>
              <w:rPr>
                <w:rFonts w:ascii="仿宋_GB2312" w:hAnsi="仿宋_GB2312" w:cs="仿宋_GB2312" w:eastAsia="仿宋_GB2312"/>
                <w:sz w:val="24"/>
                <w:b/>
              </w:rPr>
              <w:t>1、采样数量及资金安排如下。</w:t>
            </w:r>
          </w:p>
          <w:p>
            <w:pPr>
              <w:pStyle w:val="null3"/>
              <w:ind w:firstLine="480"/>
              <w:jc w:val="both"/>
            </w:pPr>
            <w:r>
              <w:rPr>
                <w:rFonts w:ascii="仿宋_GB2312" w:hAnsi="仿宋_GB2312" w:cs="仿宋_GB2312" w:eastAsia="仿宋_GB2312"/>
                <w:sz w:val="24"/>
              </w:rPr>
              <w:t>第二标段：</w:t>
            </w:r>
            <w:r>
              <w:rPr>
                <w:rFonts w:ascii="仿宋_GB2312" w:hAnsi="仿宋_GB2312" w:cs="仿宋_GB2312" w:eastAsia="仿宋_GB2312"/>
                <w:sz w:val="24"/>
              </w:rPr>
              <w:t>抽样检测</w:t>
            </w:r>
            <w:r>
              <w:rPr>
                <w:rFonts w:ascii="仿宋_GB2312" w:hAnsi="仿宋_GB2312" w:cs="仿宋_GB2312" w:eastAsia="仿宋_GB2312"/>
                <w:sz w:val="24"/>
              </w:rPr>
              <w:t>827批次，资金62.14万元。</w:t>
            </w:r>
          </w:p>
          <w:p>
            <w:pPr>
              <w:pStyle w:val="null3"/>
              <w:ind w:firstLine="480"/>
              <w:jc w:val="both"/>
            </w:pPr>
            <w:r>
              <w:rPr>
                <w:rFonts w:ascii="仿宋_GB2312" w:hAnsi="仿宋_GB2312" w:cs="仿宋_GB2312" w:eastAsia="仿宋_GB2312"/>
                <w:sz w:val="24"/>
              </w:rPr>
              <w:t>各标段及抽样任务分解区域、品种和数量详见</w:t>
            </w:r>
            <w:r>
              <w:rPr>
                <w:rFonts w:ascii="仿宋_GB2312" w:hAnsi="仿宋_GB2312" w:cs="仿宋_GB2312" w:eastAsia="仿宋_GB2312"/>
                <w:sz w:val="24"/>
              </w:rPr>
              <w:t>附件</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b/>
              </w:rPr>
              <w:t>采样及检测阶段计划。</w:t>
            </w:r>
          </w:p>
          <w:p>
            <w:pPr>
              <w:pStyle w:val="null3"/>
              <w:ind w:firstLine="480"/>
              <w:jc w:val="both"/>
            </w:pPr>
            <w:r>
              <w:rPr>
                <w:rFonts w:ascii="仿宋_GB2312" w:hAnsi="仿宋_GB2312" w:cs="仿宋_GB2312" w:eastAsia="仿宋_GB2312"/>
                <w:sz w:val="24"/>
              </w:rPr>
              <w:t>招标工作完成后，例行监测标段同步开展抽样检测</w:t>
            </w:r>
            <w:r>
              <w:rPr>
                <w:rFonts w:ascii="仿宋_GB2312" w:hAnsi="仿宋_GB2312" w:cs="仿宋_GB2312" w:eastAsia="仿宋_GB2312"/>
                <w:sz w:val="24"/>
              </w:rPr>
              <w:t>,三个阶段开始时间待定，承担该项目的检测企业于11月30日前，提交全部抽检资料。屠宰环节监测标段，12月15日前提交资料（填报表格见</w:t>
            </w:r>
            <w:r>
              <w:rPr>
                <w:rFonts w:ascii="仿宋_GB2312" w:hAnsi="仿宋_GB2312" w:cs="仿宋_GB2312" w:eastAsia="仿宋_GB2312"/>
                <w:sz w:val="24"/>
              </w:rPr>
              <w:t>附件</w:t>
            </w:r>
            <w:r>
              <w:rPr>
                <w:rFonts w:ascii="仿宋_GB2312" w:hAnsi="仿宋_GB2312" w:cs="仿宋_GB2312" w:eastAsia="仿宋_GB2312"/>
                <w:sz w:val="24"/>
              </w:rPr>
              <w:t>4</w:t>
            </w:r>
            <w:r>
              <w:rPr>
                <w:rFonts w:ascii="仿宋_GB2312" w:hAnsi="仿宋_GB2312" w:cs="仿宋_GB2312" w:eastAsia="仿宋_GB2312"/>
                <w:sz w:val="24"/>
              </w:rPr>
              <w:t>），全年任务完成后，汇总提交陕西省农业农村厅。承担</w:t>
            </w:r>
            <w:r>
              <w:rPr>
                <w:rFonts w:ascii="仿宋_GB2312" w:hAnsi="仿宋_GB2312" w:cs="仿宋_GB2312" w:eastAsia="仿宋_GB2312"/>
                <w:sz w:val="24"/>
              </w:rPr>
              <w:t>第二标段</w:t>
            </w:r>
            <w:r>
              <w:rPr>
                <w:rFonts w:ascii="仿宋_GB2312" w:hAnsi="仿宋_GB2312" w:cs="仿宋_GB2312" w:eastAsia="仿宋_GB2312"/>
                <w:sz w:val="24"/>
              </w:rPr>
              <w:t>任务的检测机构（</w:t>
            </w:r>
            <w:r>
              <w:rPr>
                <w:rFonts w:ascii="仿宋_GB2312" w:hAnsi="仿宋_GB2312" w:cs="仿宋_GB2312" w:eastAsia="仿宋_GB2312"/>
                <w:sz w:val="24"/>
              </w:rPr>
              <w:t>附件</w:t>
            </w:r>
            <w:r>
              <w:rPr>
                <w:rFonts w:ascii="仿宋_GB2312" w:hAnsi="仿宋_GB2312" w:cs="仿宋_GB2312" w:eastAsia="仿宋_GB2312"/>
                <w:sz w:val="24"/>
              </w:rPr>
              <w:t>6</w:t>
            </w:r>
            <w:r>
              <w:rPr>
                <w:rFonts w:ascii="仿宋_GB2312" w:hAnsi="仿宋_GB2312" w:cs="仿宋_GB2312" w:eastAsia="仿宋_GB2312"/>
                <w:sz w:val="24"/>
              </w:rPr>
              <w:t>），必须参加省农业农村厅组织的检测能力验证。</w:t>
            </w:r>
            <w:r>
              <w:rPr>
                <w:rFonts w:ascii="仿宋_GB2312" w:hAnsi="仿宋_GB2312" w:cs="仿宋_GB2312" w:eastAsia="仿宋_GB2312"/>
                <w:sz w:val="24"/>
              </w:rPr>
              <w:t>12月20日前完成项目验收。</w:t>
            </w:r>
          </w:p>
          <w:p>
            <w:pPr>
              <w:pStyle w:val="null3"/>
              <w:ind w:firstLine="640"/>
              <w:jc w:val="both"/>
            </w:pPr>
            <w:r>
              <w:rPr>
                <w:rFonts w:ascii="仿宋_GB2312" w:hAnsi="仿宋_GB2312" w:cs="仿宋_GB2312" w:eastAsia="仿宋_GB2312"/>
                <w:sz w:val="24"/>
                <w:b/>
              </w:rPr>
              <w:t>六、保障措施和要求</w:t>
            </w:r>
          </w:p>
          <w:p>
            <w:pPr>
              <w:pStyle w:val="null3"/>
              <w:ind w:firstLine="480"/>
              <w:jc w:val="both"/>
            </w:pPr>
            <w:r>
              <w:rPr>
                <w:rFonts w:ascii="仿宋_GB2312" w:hAnsi="仿宋_GB2312" w:cs="仿宋_GB2312" w:eastAsia="仿宋_GB2312"/>
                <w:sz w:val="24"/>
              </w:rPr>
              <w:t>1、项目实施责任制。由市农业农村局畜牧兽医处负责，市动物卫生与屠宰管理中心配合。按照项目进度，联系区县相关单位人员，协调处理抽样环节工作，积极开展检查督导，确保项目资金专款专用，各标段和阶段性工作按期高质量完成。</w:t>
            </w:r>
          </w:p>
          <w:p>
            <w:pPr>
              <w:pStyle w:val="null3"/>
              <w:ind w:firstLine="480"/>
              <w:jc w:val="both"/>
            </w:pPr>
            <w:r>
              <w:rPr>
                <w:rFonts w:ascii="仿宋_GB2312" w:hAnsi="仿宋_GB2312" w:cs="仿宋_GB2312" w:eastAsia="仿宋_GB2312"/>
                <w:sz w:val="24"/>
              </w:rPr>
              <w:t>2、区县工作任务。各区县主管部门，要指定专人，负责同市级项目执行单位配合，联系相关屠宰企业、养殖企业和市场监管部门，确保各环节采样数量按要求完成。</w:t>
            </w:r>
          </w:p>
          <w:p>
            <w:pPr>
              <w:pStyle w:val="null3"/>
              <w:ind w:firstLine="480"/>
              <w:jc w:val="both"/>
            </w:pPr>
            <w:r>
              <w:rPr>
                <w:rFonts w:ascii="仿宋_GB2312" w:hAnsi="仿宋_GB2312" w:cs="仿宋_GB2312" w:eastAsia="仿宋_GB2312"/>
                <w:sz w:val="24"/>
              </w:rPr>
              <w:t>3、第三方检测机构要求。严格按照项目负责单位要求，开展相关工作，提交相关检测资料和报表。抽检工作严格按《官方取样程序》和《动物及动物产品兽药残留监控抽样规范》（NY/T1897-2010）执行。采样过程由第三方组织实施，按照合同要求的时间节点出具检测报告。</w:t>
            </w:r>
          </w:p>
          <w:p>
            <w:pPr>
              <w:pStyle w:val="null3"/>
              <w:ind w:firstLine="480"/>
              <w:jc w:val="both"/>
            </w:pPr>
            <w:r>
              <w:rPr>
                <w:rFonts w:ascii="仿宋_GB2312" w:hAnsi="仿宋_GB2312" w:cs="仿宋_GB2312" w:eastAsia="仿宋_GB2312"/>
                <w:sz w:val="24"/>
              </w:rPr>
              <w:t>4、检测样品要求。猪肉、牛肉、羊肉样品为精瘦肉，每份样品1000克（500克检测，500克留样）；鸡肉1000克（500克检测，500克留样）；猪肝不低于1000克（500克检测，500克留样）；鸡蛋24枚(12枚检测，12枚留样)。</w:t>
            </w:r>
          </w:p>
          <w:p>
            <w:pPr>
              <w:pStyle w:val="null3"/>
              <w:ind w:firstLine="480"/>
              <w:jc w:val="both"/>
            </w:pPr>
            <w:r>
              <w:rPr>
                <w:rFonts w:ascii="仿宋_GB2312" w:hAnsi="仿宋_GB2312" w:cs="仿宋_GB2312" w:eastAsia="仿宋_GB2312"/>
                <w:sz w:val="24"/>
              </w:rPr>
              <w:t>5、规范项目资金使用管理。加强经费预算执行，专款专用，提高预算执行的及时性与有效性。</w:t>
            </w:r>
          </w:p>
          <w:p>
            <w:pPr>
              <w:pStyle w:val="null3"/>
              <w:ind w:firstLine="480"/>
              <w:jc w:val="left"/>
            </w:pPr>
            <w:r>
              <w:rPr>
                <w:rFonts w:ascii="仿宋_GB2312" w:hAnsi="仿宋_GB2312" w:cs="仿宋_GB2312" w:eastAsia="仿宋_GB2312"/>
                <w:sz w:val="24"/>
              </w:rPr>
              <w:t>附件：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第二标段</w:t>
            </w:r>
            <w:r>
              <w:rPr>
                <w:rFonts w:ascii="仿宋_GB2312" w:hAnsi="仿宋_GB2312" w:cs="仿宋_GB2312" w:eastAsia="仿宋_GB2312"/>
                <w:sz w:val="24"/>
              </w:rPr>
              <w:t>例行监测和风险监测抽样品类、数量表、分配表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.畜禽产品例行监测参数和检测方法</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.2026年畜禽屠宰质量安全风险监测检测项目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.2026年畜禽屠宰质量安全风险监测结果汇总表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.2026年畜禽屠宰质量安全风险监测检测方法及判定依据一览表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.2026年市级监测承检机构信息表</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1</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4"/>
                <w:b/>
              </w:rPr>
              <w:t>第二标段</w:t>
            </w:r>
            <w:r>
              <w:rPr>
                <w:rFonts w:ascii="仿宋_GB2312" w:hAnsi="仿宋_GB2312" w:cs="仿宋_GB2312" w:eastAsia="仿宋_GB2312"/>
                <w:sz w:val="24"/>
                <w:b/>
              </w:rPr>
              <w:t>例行监测抽样品类及数量表</w:t>
            </w:r>
          </w:p>
          <w:tbl>
            <w:tblPr>
              <w:tblInd w:type="dxa" w:w="135"/>
              <w:tblBorders>
                <w:top w:val="none" w:color="000000" w:sz="4"/>
                <w:left w:val="none" w:color="000000" w:sz="4"/>
                <w:bottom w:val="none" w:color="000000" w:sz="4"/>
                <w:right w:val="none" w:color="000000" w:sz="4"/>
                <w:insideH w:val="none"/>
                <w:insideV w:val="none"/>
              </w:tblBorders>
            </w:tblPr>
            <w:tblGrid>
              <w:gridCol w:w="296"/>
              <w:gridCol w:w="403"/>
              <w:gridCol w:w="355"/>
              <w:gridCol w:w="314"/>
              <w:gridCol w:w="368"/>
              <w:gridCol w:w="355"/>
              <w:gridCol w:w="462"/>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品类</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部位</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样本质量</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备样质量</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精瘦肉</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猪肝</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肝叶</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整片</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整片</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牛肉</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精瘦肉</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羊肉</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精瘦肉</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胸脯肉</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无破损</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12枚</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12枚</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rPr>
              <w:t>第二标段例行监测采样各区县任务分配表</w:t>
            </w:r>
          </w:p>
          <w:tbl>
            <w:tblPr>
              <w:tblBorders>
                <w:top w:val="none" w:color="000000" w:sz="4"/>
                <w:left w:val="none" w:color="000000" w:sz="4"/>
                <w:bottom w:val="none" w:color="000000" w:sz="4"/>
                <w:right w:val="none" w:color="000000" w:sz="4"/>
                <w:insideH w:val="none"/>
                <w:insideV w:val="none"/>
              </w:tblBorders>
            </w:tblPr>
            <w:tblGrid>
              <w:gridCol w:w="204"/>
              <w:gridCol w:w="302"/>
              <w:gridCol w:w="243"/>
              <w:gridCol w:w="247"/>
              <w:gridCol w:w="251"/>
              <w:gridCol w:w="247"/>
              <w:gridCol w:w="243"/>
              <w:gridCol w:w="243"/>
              <w:gridCol w:w="264"/>
              <w:gridCol w:w="268"/>
            </w:tblGrid>
            <w:tr>
              <w:tc>
                <w:tcPr>
                  <w:tcW w:type="dxa" w:w="20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0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采集</w:t>
                  </w:r>
                </w:p>
                <w:p>
                  <w:pPr>
                    <w:pStyle w:val="null3"/>
                    <w:jc w:val="center"/>
                  </w:pPr>
                  <w:r>
                    <w:rPr>
                      <w:rFonts w:ascii="仿宋_GB2312" w:hAnsi="仿宋_GB2312" w:cs="仿宋_GB2312" w:eastAsia="仿宋_GB2312"/>
                      <w:sz w:val="24"/>
                      <w:color w:val="000000"/>
                    </w:rPr>
                    <w:t>区县</w:t>
                  </w:r>
                </w:p>
              </w:tc>
              <w:tc>
                <w:tcPr>
                  <w:tcW w:type="dxa" w:w="147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样本采集数量（份）</w:t>
                  </w:r>
                </w:p>
              </w:tc>
              <w:tc>
                <w:tcPr>
                  <w:tcW w:type="dxa" w:w="26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6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4"/>
                  <w:vMerge/>
                  <w:tcBorders>
                    <w:top w:val="single" w:color="000000" w:sz="4"/>
                    <w:left w:val="single" w:color="000000" w:sz="4"/>
                    <w:bottom w:val="none" w:color="000000" w:sz="4"/>
                    <w:right w:val="single" w:color="000000" w:sz="4"/>
                  </w:tcBorders>
                </w:tcPr>
                <w:p/>
              </w:tc>
              <w:tc>
                <w:tcPr>
                  <w:tcW w:type="dxa" w:w="302"/>
                  <w:vMerge/>
                  <w:tcBorders>
                    <w:top w:val="single" w:color="000000" w:sz="4"/>
                    <w:left w:val="none" w:color="000000" w:sz="4"/>
                    <w:bottom w:val="none" w:color="000000" w:sz="4"/>
                    <w:right w:val="single" w:color="000000" w:sz="4"/>
                  </w:tcBorders>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猪肉</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猪肝</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牛肉</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羊肉</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禽肉</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禽蛋</w:t>
                  </w:r>
                </w:p>
              </w:tc>
              <w:tc>
                <w:tcPr>
                  <w:tcW w:type="dxa" w:w="264"/>
                  <w:vMerge/>
                  <w:tcBorders>
                    <w:top w:val="single" w:color="000000" w:sz="4"/>
                    <w:left w:val="none" w:color="000000" w:sz="4"/>
                    <w:bottom w:val="none" w:color="000000" w:sz="4"/>
                    <w:right w:val="single" w:color="000000" w:sz="4"/>
                  </w:tcBorders>
                </w:tcPr>
                <w:p/>
              </w:tc>
              <w:tc>
                <w:tcPr>
                  <w:tcW w:type="dxa" w:w="268"/>
                  <w:vMerge/>
                  <w:tcBorders>
                    <w:top w:val="single" w:color="000000" w:sz="4"/>
                    <w:left w:val="none" w:color="000000" w:sz="4"/>
                    <w:bottom w:val="non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灞桥区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长安区</w:t>
                  </w:r>
                </w:p>
              </w:tc>
              <w:tc>
                <w:tcPr>
                  <w:tcW w:type="dxa" w:w="2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2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2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26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高新区</w:t>
                  </w:r>
                </w:p>
              </w:tc>
              <w:tc>
                <w:tcPr>
                  <w:tcW w:type="dxa" w:w="2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2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2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26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26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西咸新区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周至县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727</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b/>
              </w:rPr>
              <w:t>第二标段畜禽屠宰质量安全市级风险</w:t>
            </w:r>
          </w:p>
          <w:p>
            <w:pPr>
              <w:pStyle w:val="null3"/>
              <w:jc w:val="center"/>
            </w:pPr>
            <w:r>
              <w:rPr>
                <w:rFonts w:ascii="仿宋_GB2312" w:hAnsi="仿宋_GB2312" w:cs="仿宋_GB2312" w:eastAsia="仿宋_GB2312"/>
                <w:sz w:val="24"/>
                <w:b/>
              </w:rPr>
              <w:t>监测任务表</w:t>
            </w:r>
          </w:p>
          <w:p>
            <w:pPr>
              <w:pStyle w:val="null3"/>
              <w:jc w:val="center"/>
            </w:pP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212"/>
              <w:gridCol w:w="544"/>
              <w:gridCol w:w="285"/>
              <w:gridCol w:w="250"/>
              <w:gridCol w:w="252"/>
              <w:gridCol w:w="243"/>
              <w:gridCol w:w="273"/>
              <w:gridCol w:w="455"/>
            </w:tblGrid>
            <w:tr>
              <w:tc>
                <w:tcPr>
                  <w:tcW w:type="dxa" w:w="2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w:t>
                  </w:r>
                  <w:r>
                    <w:rPr>
                      <w:rFonts w:ascii="仿宋_GB2312" w:hAnsi="仿宋_GB2312" w:cs="仿宋_GB2312" w:eastAsia="仿宋_GB2312"/>
                      <w:sz w:val="24"/>
                      <w:color w:val="000000"/>
                    </w:rPr>
                    <w:t>(市)</w:t>
                  </w:r>
                </w:p>
              </w:tc>
              <w:tc>
                <w:tcPr>
                  <w:tcW w:type="dxa" w:w="175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样品数量（份）</w:t>
                  </w:r>
                </w:p>
              </w:tc>
            </w:tr>
            <w:tr>
              <w:tc>
                <w:tcPr>
                  <w:tcW w:type="dxa" w:w="212"/>
                  <w:vMerge/>
                  <w:tcBorders>
                    <w:top w:val="single" w:color="000000" w:sz="4"/>
                    <w:left w:val="single" w:color="000000" w:sz="4"/>
                    <w:bottom w:val="single" w:color="000000" w:sz="4"/>
                    <w:right w:val="single" w:color="000000" w:sz="4"/>
                  </w:tcBorders>
                </w:tcPr>
                <w:p/>
              </w:tc>
              <w:tc>
                <w:tcPr>
                  <w:tcW w:type="dxa" w:w="544"/>
                  <w:vMerge/>
                  <w:tcBorders>
                    <w:top w:val="singl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猪肝</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牛肝</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牛肉</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合计（份）</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阎良区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高陵区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灞桥区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临潼区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鄠邑区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高新区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西咸新区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蓝田县</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周至县</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7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bl>
          <w:p>
            <w:pPr>
              <w:pStyle w:val="null3"/>
              <w:jc w:val="center"/>
            </w:pPr>
            <w:r>
              <w:rPr>
                <w:rFonts w:ascii="仿宋_GB2312" w:hAnsi="仿宋_GB2312" w:cs="仿宋_GB2312" w:eastAsia="仿宋_GB2312"/>
                <w:sz w:val="21"/>
              </w:rPr>
              <w:t xml:space="preserve"> </w:t>
            </w:r>
          </w:p>
          <w:p>
            <w:pPr>
              <w:pStyle w:val="null3"/>
            </w:pPr>
            <w:r>
              <w:rPr>
                <w:rFonts w:ascii="仿宋_GB2312" w:hAnsi="仿宋_GB2312" w:cs="仿宋_GB2312" w:eastAsia="仿宋_GB2312"/>
                <w:sz w:val="24"/>
                <w:b/>
              </w:rPr>
              <w:t>附件</w:t>
            </w:r>
            <w:r>
              <w:rPr>
                <w:rFonts w:ascii="仿宋_GB2312" w:hAnsi="仿宋_GB2312" w:cs="仿宋_GB2312" w:eastAsia="仿宋_GB2312"/>
                <w:sz w:val="24"/>
                <w:b/>
              </w:rPr>
              <w:t>2</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4"/>
                <w:b/>
              </w:rPr>
              <w:t>畜禽产品例行监测参数和检测方法</w:t>
            </w:r>
          </w:p>
          <w:tbl>
            <w:tblPr>
              <w:tblBorders>
                <w:top w:val="none" w:color="000000" w:sz="4"/>
                <w:left w:val="none" w:color="000000" w:sz="4"/>
                <w:bottom w:val="none" w:color="000000" w:sz="4"/>
                <w:right w:val="none" w:color="000000" w:sz="4"/>
                <w:insideH w:val="none"/>
                <w:insideV w:val="none"/>
              </w:tblBorders>
            </w:tblPr>
            <w:tblGrid>
              <w:gridCol w:w="1196"/>
              <w:gridCol w:w="443"/>
              <w:gridCol w:w="915"/>
            </w:tblGrid>
            <w:tr>
              <w:tc>
                <w:tcPr>
                  <w:tcW w:type="dxa" w:w="1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样品种类</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禁用药物</w:t>
                  </w:r>
                  <w:r>
                    <w:rPr>
                      <w:rFonts w:ascii="仿宋_GB2312" w:hAnsi="仿宋_GB2312" w:cs="仿宋_GB2312" w:eastAsia="仿宋_GB2312"/>
                      <w:sz w:val="24"/>
                    </w:rPr>
                    <w:t>β-受体激动剂类（克伦特罗、莱克多巴胺、沙丁胺醇、特布他林、西马特罗、氯丙那林、妥布特罗、齐帕特</w:t>
                  </w:r>
                  <w:r>
                    <w:rPr>
                      <w:rFonts w:ascii="仿宋_GB2312" w:hAnsi="仿宋_GB2312" w:cs="仿宋_GB2312" w:eastAsia="仿宋_GB2312"/>
                      <w:sz w:val="24"/>
                    </w:rPr>
                    <w:t>罗</w:t>
                  </w:r>
                  <w:r>
                    <w:rPr>
                      <w:rFonts w:ascii="仿宋_GB2312" w:hAnsi="仿宋_GB2312" w:cs="仿宋_GB2312" w:eastAsia="仿宋_GB2312"/>
                      <w:sz w:val="24"/>
                    </w:rPr>
                    <w:t>）</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猪肉、猪肝</w:t>
                  </w:r>
                </w:p>
                <w:p>
                  <w:pPr>
                    <w:pStyle w:val="null3"/>
                    <w:jc w:val="center"/>
                  </w:pPr>
                  <w:r>
                    <w:rPr>
                      <w:rFonts w:ascii="仿宋_GB2312" w:hAnsi="仿宋_GB2312" w:cs="仿宋_GB2312" w:eastAsia="仿宋_GB2312"/>
                      <w:sz w:val="24"/>
                    </w:rPr>
                    <w:t>牛肉、羊肉</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按农业部</w:t>
                  </w:r>
                  <w:r>
                    <w:rPr>
                      <w:rFonts w:ascii="仿宋_GB2312" w:hAnsi="仿宋_GB2312" w:cs="仿宋_GB2312" w:eastAsia="仿宋_GB2312"/>
                      <w:sz w:val="24"/>
                    </w:rPr>
                    <w:t>1025号公告-18-2008</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31658.22进行检测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磺胺类（磺胺间甲氧嘧啶、磺胺二甲嘧啶、磺胺甲噁唑、磺胺</w:t>
                  </w:r>
                  <w:r>
                    <w:rPr>
                      <w:rFonts w:ascii="仿宋_GB2312" w:hAnsi="仿宋_GB2312" w:cs="仿宋_GB2312" w:eastAsia="仿宋_GB2312"/>
                      <w:sz w:val="24"/>
                    </w:rPr>
                    <w:t>(间)二甲氧嘧啶、磺胺喹噁啉、磺胺氯哒嗪）</w:t>
                  </w:r>
                </w:p>
              </w:tc>
              <w:tc>
                <w:tcPr>
                  <w:tcW w:type="dxa" w:w="443"/>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20759</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21316</w:t>
                  </w:r>
                </w:p>
                <w:p>
                  <w:pPr>
                    <w:pStyle w:val="null3"/>
                    <w:jc w:val="both"/>
                  </w:pPr>
                  <w:r>
                    <w:rPr>
                      <w:rFonts w:ascii="仿宋_GB2312" w:hAnsi="仿宋_GB2312" w:cs="仿宋_GB2312" w:eastAsia="仿宋_GB2312"/>
                      <w:sz w:val="24"/>
                    </w:rPr>
                    <w:t>或农业部</w:t>
                  </w:r>
                  <w:r>
                    <w:rPr>
                      <w:rFonts w:ascii="仿宋_GB2312" w:hAnsi="仿宋_GB2312" w:cs="仿宋_GB2312" w:eastAsia="仿宋_GB2312"/>
                      <w:sz w:val="24"/>
                    </w:rPr>
                    <w:t>1025号公告-23-2008</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SN/T 5140</w:t>
                  </w:r>
                </w:p>
                <w:p>
                  <w:pPr>
                    <w:pStyle w:val="null3"/>
                    <w:jc w:val="both"/>
                  </w:pPr>
                  <w:r>
                    <w:rPr>
                      <w:rFonts w:ascii="仿宋_GB2312" w:hAnsi="仿宋_GB2312" w:cs="仿宋_GB2312" w:eastAsia="仿宋_GB2312"/>
                      <w:sz w:val="24"/>
                    </w:rPr>
                    <w:t>或农质发〔</w:t>
                  </w:r>
                  <w:r>
                    <w:rPr>
                      <w:rFonts w:ascii="仿宋_GB2312" w:hAnsi="仿宋_GB2312" w:cs="仿宋_GB2312" w:eastAsia="仿宋_GB2312"/>
                      <w:sz w:val="24"/>
                    </w:rPr>
                    <w:t>2014〕5号文件附录进行检测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四环素类（金霉素、土霉素、四环素、多西环素）</w:t>
                  </w:r>
                </w:p>
              </w:tc>
              <w:tc>
                <w:tcPr>
                  <w:tcW w:type="dxa" w:w="443"/>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21317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31658.6进行检测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糖皮质激素类（地塞米松、倍他米松）</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按农业部</w:t>
                  </w:r>
                  <w:r>
                    <w:rPr>
                      <w:rFonts w:ascii="仿宋_GB2312" w:hAnsi="仿宋_GB2312" w:cs="仿宋_GB2312" w:eastAsia="仿宋_GB2312"/>
                      <w:sz w:val="24"/>
                    </w:rPr>
                    <w:t>1031号公告-2-2008进行检测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氟喹诺酮类（恩诺沙星、环丙沙星）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猪肉、牛肉、羊肉</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31658.17进行检测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食品动物中停止使用药物</w:t>
                  </w:r>
                  <w:r>
                    <w:rPr>
                      <w:rFonts w:ascii="仿宋_GB2312" w:hAnsi="仿宋_GB2312" w:cs="仿宋_GB2312" w:eastAsia="仿宋_GB2312"/>
                      <w:sz w:val="24"/>
                    </w:rPr>
                    <w:t>氟喹诺酮类（氧氟沙星、培氟沙星、诺氟沙星、洛美沙星）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21316</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21312</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20366</w:t>
                  </w:r>
                </w:p>
                <w:p>
                  <w:pPr>
                    <w:pStyle w:val="null3"/>
                    <w:jc w:val="both"/>
                  </w:pPr>
                  <w:r>
                    <w:rPr>
                      <w:rFonts w:ascii="仿宋_GB2312" w:hAnsi="仿宋_GB2312" w:cs="仿宋_GB2312" w:eastAsia="仿宋_GB2312"/>
                      <w:sz w:val="24"/>
                    </w:rPr>
                    <w:t>或农业农村部指定方法进行检测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氟喹诺酮类（恩诺沙星、环丙沙星、沙拉沙星、达氟沙星）</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抗菌增效剂（甲氧苄啶）</w:t>
                  </w:r>
                </w:p>
              </w:tc>
              <w:tc>
                <w:tcPr>
                  <w:tcW w:type="dxa" w:w="44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产蛋期不得使用药物</w:t>
                  </w:r>
                  <w:r>
                    <w:rPr>
                      <w:rFonts w:ascii="仿宋_GB2312" w:hAnsi="仿宋_GB2312" w:cs="仿宋_GB2312" w:eastAsia="仿宋_GB2312"/>
                      <w:sz w:val="24"/>
                    </w:rPr>
                    <w:t>氟喹诺酮类（恩诺沙星、环丙沙星、沙拉沙星、达氟沙星）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食品动物中停止使用药物</w:t>
                  </w:r>
                  <w:r>
                    <w:rPr>
                      <w:rFonts w:ascii="仿宋_GB2312" w:hAnsi="仿宋_GB2312" w:cs="仿宋_GB2312" w:eastAsia="仿宋_GB2312"/>
                      <w:sz w:val="24"/>
                    </w:rPr>
                    <w:t>金刚烷胺</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31660.5或农业农村部指定方法进行检测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禁用药物</w:t>
                  </w:r>
                  <w:r>
                    <w:rPr>
                      <w:rFonts w:ascii="仿宋_GB2312" w:hAnsi="仿宋_GB2312" w:cs="仿宋_GB2312" w:eastAsia="仿宋_GB2312"/>
                      <w:sz w:val="24"/>
                    </w:rPr>
                    <w:t>酰胺醇类（氯霉素）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31658.20或农业农村部指定方法进行检测</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常规药物</w:t>
                  </w:r>
                  <w:r>
                    <w:rPr>
                      <w:rFonts w:ascii="仿宋_GB2312" w:hAnsi="仿宋_GB2312" w:cs="仿宋_GB2312" w:eastAsia="仿宋_GB2312"/>
                      <w:sz w:val="24"/>
                    </w:rPr>
                    <w:t>酰胺醇类（氟苯尼考、氟苯尼考胺和甲砜霉素）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产蛋期不得使用药物</w:t>
                  </w:r>
                  <w:r>
                    <w:rPr>
                      <w:rFonts w:ascii="仿宋_GB2312" w:hAnsi="仿宋_GB2312" w:cs="仿宋_GB2312" w:eastAsia="仿宋_GB2312"/>
                      <w:sz w:val="24"/>
                    </w:rPr>
                    <w:t>酰胺醇类（氟苯尼考、氟苯尼考胺、甲砜霉素）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915"/>
                  <w:vMerge/>
                  <w:tcBorders>
                    <w:top w:val="none" w:color="000000" w:sz="4"/>
                    <w:left w:val="single" w:color="000000" w:sz="4"/>
                    <w:bottom w:val="single" w:color="000000" w:sz="4"/>
                    <w:right w:val="single" w:color="000000" w:sz="4"/>
                  </w:tcBorders>
                </w:tcP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产蛋期不得使用药物</w:t>
                  </w:r>
                  <w:r>
                    <w:rPr>
                      <w:rFonts w:ascii="仿宋_GB2312" w:hAnsi="仿宋_GB2312" w:cs="仿宋_GB2312" w:eastAsia="仿宋_GB2312"/>
                      <w:sz w:val="24"/>
                    </w:rPr>
                    <w:t>四环素类（多西环素）</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w:t>
                  </w:r>
                  <w:r>
                    <w:rPr>
                      <w:rFonts w:ascii="仿宋_GB2312" w:hAnsi="仿宋_GB2312" w:cs="仿宋_GB2312" w:eastAsia="仿宋_GB2312"/>
                      <w:sz w:val="24"/>
                    </w:rPr>
                    <w:t>GB 31658.6</w:t>
                  </w:r>
                </w:p>
                <w:p>
                  <w:pPr>
                    <w:pStyle w:val="null3"/>
                    <w:jc w:val="left"/>
                  </w:pPr>
                  <w:r>
                    <w:rPr>
                      <w:rFonts w:ascii="仿宋_GB2312" w:hAnsi="仿宋_GB2312" w:cs="仿宋_GB2312" w:eastAsia="仿宋_GB2312"/>
                      <w:sz w:val="24"/>
                    </w:rPr>
                    <w:t>或</w:t>
                  </w:r>
                  <w:r>
                    <w:rPr>
                      <w:rFonts w:ascii="仿宋_GB2312" w:hAnsi="仿宋_GB2312" w:cs="仿宋_GB2312" w:eastAsia="仿宋_GB2312"/>
                      <w:sz w:val="24"/>
                    </w:rPr>
                    <w:t>GB 31659.2进行检测</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3</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4"/>
                <w:b/>
              </w:rPr>
              <w:t>2026年畜禽屠宰质量安全风险监测检测项目</w:t>
            </w:r>
          </w:p>
          <w:tbl>
            <w:tblPr>
              <w:tblBorders>
                <w:top w:val="none" w:color="000000" w:sz="4"/>
                <w:left w:val="none" w:color="000000" w:sz="4"/>
                <w:bottom w:val="none" w:color="000000" w:sz="4"/>
                <w:right w:val="none" w:color="000000" w:sz="4"/>
                <w:insideH w:val="none"/>
                <w:insideV w:val="none"/>
              </w:tblBorders>
            </w:tblPr>
            <w:tblGrid>
              <w:gridCol w:w="851"/>
              <w:gridCol w:w="470"/>
              <w:gridCol w:w="123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样品类型</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检测内容</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水分</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2号或4号肉）</w:t>
                  </w:r>
                </w:p>
              </w:tc>
              <w:tc>
                <w:tcPr>
                  <w:tcW w:type="dxa" w:w="1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水分含量</w:t>
                  </w:r>
                </w:p>
              </w:tc>
            </w:tr>
            <w:tr>
              <w:tc>
                <w:tcPr>
                  <w:tcW w:type="dxa" w:w="851"/>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p>
                  <w:pPr>
                    <w:pStyle w:val="null3"/>
                    <w:jc w:val="center"/>
                  </w:pPr>
                  <w:r>
                    <w:rPr>
                      <w:rFonts w:ascii="仿宋_GB2312" w:hAnsi="仿宋_GB2312" w:cs="仿宋_GB2312" w:eastAsia="仿宋_GB2312"/>
                      <w:sz w:val="24"/>
                    </w:rPr>
                    <w:t>（黄瓜条或外脊）</w:t>
                  </w:r>
                </w:p>
              </w:tc>
              <w:tc>
                <w:tcPr>
                  <w:tcW w:type="dxa" w:w="1232"/>
                  <w:vMerge/>
                  <w:tcBorders>
                    <w:top w:val="none" w:color="000000" w:sz="4"/>
                    <w:left w:val="none" w:color="000000" w:sz="4"/>
                    <w:bottom w:val="single" w:color="000000" w:sz="4"/>
                    <w:right w:val="single" w:color="000000" w:sz="4"/>
                  </w:tcBorders>
                </w:tcPr>
                <w:p/>
              </w:tc>
            </w:tr>
            <w:tr>
              <w:tc>
                <w:tcPr>
                  <w:tcW w:type="dxa" w:w="851"/>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羊肉</w:t>
                  </w:r>
                </w:p>
                <w:p>
                  <w:pPr>
                    <w:pStyle w:val="null3"/>
                    <w:jc w:val="center"/>
                  </w:pPr>
                  <w:r>
                    <w:rPr>
                      <w:rFonts w:ascii="仿宋_GB2312" w:hAnsi="仿宋_GB2312" w:cs="仿宋_GB2312" w:eastAsia="仿宋_GB2312"/>
                      <w:sz w:val="24"/>
                    </w:rPr>
                    <w:t>（后腿或里脊）</w:t>
                  </w:r>
                </w:p>
              </w:tc>
              <w:tc>
                <w:tcPr>
                  <w:tcW w:type="dxa" w:w="1232"/>
                  <w:vMerge/>
                  <w:tcBorders>
                    <w:top w:val="none" w:color="000000" w:sz="4"/>
                    <w:left w:val="none" w:color="000000" w:sz="4"/>
                    <w:bottom w:val="single" w:color="000000" w:sz="4"/>
                    <w:right w:val="single" w:color="000000" w:sz="4"/>
                  </w:tcBorders>
                </w:tcP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违法添加物和药物残留</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猪肝</w:t>
                  </w:r>
                </w:p>
              </w:tc>
              <w:tc>
                <w:tcPr>
                  <w:tcW w:type="dxa" w:w="1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β-受体激动剂（克伦特罗、莱克多巴胺、沙丁胺醇、特布他林、西马特罗、氯丙那林和妥布特罗）</w:t>
                  </w:r>
                </w:p>
                <w:p>
                  <w:pPr>
                    <w:pStyle w:val="null3"/>
                    <w:jc w:val="center"/>
                  </w:pPr>
                  <w:r>
                    <w:rPr>
                      <w:rFonts w:ascii="仿宋_GB2312" w:hAnsi="仿宋_GB2312" w:cs="仿宋_GB2312" w:eastAsia="仿宋_GB2312"/>
                      <w:sz w:val="24"/>
                    </w:rPr>
                    <w:t>糖皮质激素（泼尼松、泼尼松龙、地塞米松、倍他米松、倍氯米松和氢化可的松）</w:t>
                  </w:r>
                </w:p>
              </w:tc>
            </w:tr>
            <w:tr>
              <w:tc>
                <w:tcPr>
                  <w:tcW w:type="dxa" w:w="851"/>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牛肝</w:t>
                  </w:r>
                </w:p>
              </w:tc>
              <w:tc>
                <w:tcPr>
                  <w:tcW w:type="dxa" w:w="1232"/>
                  <w:vMerge/>
                  <w:tcBorders>
                    <w:top w:val="none" w:color="000000" w:sz="4"/>
                    <w:left w:val="none" w:color="000000" w:sz="4"/>
                    <w:bottom w:val="single" w:color="000000" w:sz="4"/>
                    <w:right w:val="single" w:color="000000" w:sz="4"/>
                  </w:tcBorders>
                </w:tcPr>
                <w:p/>
              </w:tc>
            </w:tr>
            <w:tr>
              <w:tc>
                <w:tcPr>
                  <w:tcW w:type="dxa" w:w="851"/>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羊肝</w:t>
                  </w:r>
                </w:p>
              </w:tc>
              <w:tc>
                <w:tcPr>
                  <w:tcW w:type="dxa" w:w="1232"/>
                  <w:vMerge/>
                  <w:tcBorders>
                    <w:top w:val="none" w:color="000000" w:sz="4"/>
                    <w:left w:val="none" w:color="000000" w:sz="4"/>
                    <w:bottom w:val="single" w:color="000000" w:sz="4"/>
                    <w:right w:val="single" w:color="000000" w:sz="4"/>
                  </w:tcBorders>
                </w:tc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兽药</w:t>
                  </w:r>
                  <w:r>
                    <w:rPr>
                      <w:rFonts w:ascii="仿宋_GB2312" w:hAnsi="仿宋_GB2312" w:cs="仿宋_GB2312" w:eastAsia="仿宋_GB2312"/>
                      <w:sz w:val="24"/>
                    </w:rPr>
                    <w:t>残留</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对禽肉进行</w:t>
                  </w:r>
                  <w:r>
                    <w:rPr>
                      <w:rFonts w:ascii="仿宋_GB2312" w:hAnsi="仿宋_GB2312" w:cs="仿宋_GB2312" w:eastAsia="仿宋_GB2312"/>
                      <w:sz w:val="24"/>
                    </w:rPr>
                    <w:t>4种酰胺醇类(氯霉素、甲砜霉素、氟苯尼考、氟苯尼考胺)及8种氟喹诺酮类(恩诺沙星、环丙沙星、沙拉沙星、达氟沙星、氧氟沙星、培氟沙星、诺氟沙星、洛美沙星)药物残留监测。</w:t>
                  </w:r>
                </w:p>
              </w:tc>
            </w:tr>
          </w:tbl>
          <w:p>
            <w:pPr>
              <w:pStyle w:val="null3"/>
            </w:pPr>
            <w:r>
              <w:rPr>
                <w:rFonts w:ascii="仿宋_GB2312" w:hAnsi="仿宋_GB2312" w:cs="仿宋_GB2312" w:eastAsia="仿宋_GB2312"/>
                <w:sz w:val="24"/>
                <w:b/>
                <w:color w:val="000000"/>
              </w:rPr>
              <w:t>附件</w:t>
            </w:r>
            <w:r>
              <w:rPr>
                <w:rFonts w:ascii="仿宋_GB2312" w:hAnsi="仿宋_GB2312" w:cs="仿宋_GB2312" w:eastAsia="仿宋_GB2312"/>
                <w:sz w:val="24"/>
                <w:b/>
                <w:color w:val="000000"/>
              </w:rPr>
              <w:t>4：</w:t>
            </w:r>
          </w:p>
          <w:p>
            <w:pPr>
              <w:pStyle w:val="null3"/>
              <w:jc w:val="center"/>
            </w:pPr>
            <w:r>
              <w:rPr>
                <w:rFonts w:ascii="仿宋_GB2312" w:hAnsi="仿宋_GB2312" w:cs="仿宋_GB2312" w:eastAsia="仿宋_GB2312"/>
                <w:sz w:val="24"/>
                <w:b/>
                <w:color w:val="000000"/>
              </w:rPr>
              <w:t>2026年畜禽屠宰质量安全风险监测结果汇总表</w:t>
            </w:r>
          </w:p>
          <w:p>
            <w:pPr>
              <w:pStyle w:val="null3"/>
              <w:jc w:val="both"/>
            </w:pPr>
            <w:r>
              <w:rPr>
                <w:rFonts w:ascii="仿宋_GB2312" w:hAnsi="仿宋_GB2312" w:cs="仿宋_GB2312" w:eastAsia="仿宋_GB2312"/>
                <w:sz w:val="24"/>
                <w:color w:val="000000"/>
              </w:rPr>
              <w:t>单位：（盖章）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联系人及电话：</w:t>
            </w: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78"/>
              <w:gridCol w:w="78"/>
              <w:gridCol w:w="114"/>
              <w:gridCol w:w="119"/>
              <w:gridCol w:w="115"/>
              <w:gridCol w:w="106"/>
              <w:gridCol w:w="79"/>
              <w:gridCol w:w="89"/>
              <w:gridCol w:w="92"/>
              <w:gridCol w:w="81"/>
              <w:gridCol w:w="81"/>
              <w:gridCol w:w="81"/>
              <w:gridCol w:w="81"/>
              <w:gridCol w:w="81"/>
              <w:gridCol w:w="81"/>
              <w:gridCol w:w="81"/>
              <w:gridCol w:w="124"/>
              <w:gridCol w:w="80"/>
              <w:gridCol w:w="85"/>
              <w:gridCol w:w="90"/>
              <w:gridCol w:w="82"/>
              <w:gridCol w:w="87"/>
              <w:gridCol w:w="83"/>
              <w:gridCol w:w="133"/>
              <w:gridCol w:w="115"/>
              <w:gridCol w:w="115"/>
              <w:gridCol w:w="121"/>
            </w:tblGrid>
            <w:tr>
              <w:tc>
                <w:tcPr>
                  <w:tcW w:type="dxa" w:w="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省份</w:t>
                  </w:r>
                </w:p>
              </w:tc>
              <w:tc>
                <w:tcPr>
                  <w:tcW w:type="dxa" w:w="1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w:t>
                  </w:r>
                  <w:r>
                    <w:rPr>
                      <w:rFonts w:ascii="仿宋_GB2312" w:hAnsi="仿宋_GB2312" w:cs="仿宋_GB2312" w:eastAsia="仿宋_GB2312"/>
                      <w:sz w:val="24"/>
                      <w:color w:val="000000"/>
                    </w:rPr>
                    <w:t>(市)</w:t>
                  </w:r>
                </w:p>
              </w:tc>
              <w:tc>
                <w:tcPr>
                  <w:tcW w:type="dxa" w:w="1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被抽样企业名称</w:t>
                  </w:r>
                </w:p>
              </w:tc>
              <w:tc>
                <w:tcPr>
                  <w:tcW w:type="dxa" w:w="1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屠宰种类</w:t>
                  </w:r>
                </w:p>
              </w:tc>
              <w:tc>
                <w:tcPr>
                  <w:tcW w:type="dxa" w:w="1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样品名称</w:t>
                  </w:r>
                </w:p>
              </w:tc>
              <w:tc>
                <w:tcPr>
                  <w:tcW w:type="dxa" w:w="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样品编号</w:t>
                  </w:r>
                </w:p>
              </w:tc>
              <w:tc>
                <w:tcPr>
                  <w:tcW w:type="dxa" w:w="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样品产地</w:t>
                  </w:r>
                </w:p>
              </w:tc>
              <w:tc>
                <w:tcPr>
                  <w:tcW w:type="dxa" w:w="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检疫证号</w:t>
                  </w:r>
                </w:p>
              </w:tc>
              <w:tc>
                <w:tcPr>
                  <w:tcW w:type="dxa" w:w="1446"/>
                  <w:gridSpan w:val="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违法添加物和药物残留检测结果（</w:t>
                  </w:r>
                  <w:r>
                    <w:rPr>
                      <w:rFonts w:ascii="仿宋_GB2312" w:hAnsi="仿宋_GB2312" w:cs="仿宋_GB2312" w:eastAsia="仿宋_GB2312"/>
                      <w:sz w:val="24"/>
                      <w:color w:val="000000"/>
                    </w:rPr>
                    <w:t>μg/Kg）</w:t>
                  </w:r>
                </w:p>
              </w:tc>
              <w:tc>
                <w:tcPr>
                  <w:tcW w:type="dxa" w:w="2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水分检测结果（</w:t>
                  </w:r>
                  <w:r>
                    <w:rPr>
                      <w:rFonts w:ascii="仿宋_GB2312" w:hAnsi="仿宋_GB2312" w:cs="仿宋_GB2312" w:eastAsia="仿宋_GB2312"/>
                      <w:sz w:val="24"/>
                      <w:color w:val="000000"/>
                    </w:rPr>
                    <w:t>%）</w:t>
                  </w:r>
                </w:p>
              </w:tc>
            </w:tr>
            <w:tr>
              <w:tc>
                <w:tcPr>
                  <w:tcW w:type="dxa" w:w="78"/>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14"/>
                  <w:vMerge/>
                  <w:tcBorders>
                    <w:top w:val="single" w:color="000000" w:sz="4"/>
                    <w:left w:val="none" w:color="000000" w:sz="4"/>
                    <w:bottom w:val="single" w:color="000000" w:sz="4"/>
                    <w:right w:val="single" w:color="000000" w:sz="4"/>
                  </w:tcBorders>
                </w:tcPr>
                <w:p/>
              </w:tc>
              <w:tc>
                <w:tcPr>
                  <w:tcW w:type="dxa" w:w="119"/>
                  <w:vMerge/>
                  <w:tcBorders>
                    <w:top w:val="single" w:color="000000" w:sz="4"/>
                    <w:left w:val="none" w:color="000000" w:sz="4"/>
                    <w:bottom w:val="single" w:color="000000" w:sz="4"/>
                    <w:right w:val="single" w:color="000000" w:sz="4"/>
                  </w:tcBorders>
                </w:tcPr>
                <w:p/>
              </w:tc>
              <w:tc>
                <w:tcPr>
                  <w:tcW w:type="dxa" w:w="115"/>
                  <w:vMerge/>
                  <w:tcBorders>
                    <w:top w:val="single" w:color="000000" w:sz="4"/>
                    <w:left w:val="none" w:color="000000" w:sz="4"/>
                    <w:bottom w:val="single" w:color="000000" w:sz="4"/>
                    <w:right w:val="single" w:color="000000" w:sz="4"/>
                  </w:tcBorders>
                </w:tcPr>
                <w:p/>
              </w:tc>
              <w:tc>
                <w:tcPr>
                  <w:tcW w:type="dxa" w:w="106"/>
                  <w:vMerge/>
                  <w:tcBorders>
                    <w:top w:val="single" w:color="000000" w:sz="4"/>
                    <w:left w:val="none" w:color="000000" w:sz="4"/>
                    <w:bottom w:val="single" w:color="000000" w:sz="4"/>
                    <w:right w:val="single" w:color="000000" w:sz="4"/>
                  </w:tcBorders>
                </w:tcPr>
                <w:p/>
              </w:tc>
              <w:tc>
                <w:tcPr>
                  <w:tcW w:type="dxa" w:w="79"/>
                  <w:vMerge/>
                  <w:tcBorders>
                    <w:top w:val="single" w:color="000000" w:sz="4"/>
                    <w:left w:val="none" w:color="000000" w:sz="4"/>
                    <w:bottom w:val="single" w:color="000000" w:sz="4"/>
                    <w:right w:val="single" w:color="000000" w:sz="4"/>
                  </w:tcBorders>
                </w:tcPr>
                <w:p/>
              </w:tc>
              <w:tc>
                <w:tcPr>
                  <w:tcW w:type="dxa" w:w="89"/>
                  <w:vMerge/>
                  <w:tcBorders>
                    <w:top w:val="single" w:color="000000" w:sz="4"/>
                    <w:left w:val="none" w:color="000000" w:sz="4"/>
                    <w:bottom w:val="single" w:color="000000" w:sz="4"/>
                    <w:right w:val="single" w:color="000000" w:sz="4"/>
                  </w:tcBorders>
                </w:tcPr>
                <w:p/>
              </w:tc>
              <w:tc>
                <w:tcPr>
                  <w:tcW w:type="dxa" w:w="92"/>
                  <w:vMerge/>
                  <w:tcBorders>
                    <w:top w:val="single" w:color="000000" w:sz="4"/>
                    <w:left w:val="none" w:color="000000" w:sz="4"/>
                    <w:bottom w:val="single" w:color="000000" w:sz="4"/>
                    <w:right w:val="single" w:color="000000" w:sz="4"/>
                  </w:tcBorders>
                </w:tcPr>
                <w:p/>
              </w:tc>
            </w:tr>
            <w:tr>
              <w:tc>
                <w:tcPr>
                  <w:tcW w:type="dxa" w:w="78"/>
                  <w:vMerge/>
                  <w:tcBorders>
                    <w:top w:val="single" w:color="000000" w:sz="4"/>
                    <w:left w:val="single" w:color="000000" w:sz="4"/>
                    <w:bottom w:val="single" w:color="000000" w:sz="4"/>
                    <w:right w:val="single" w:color="000000" w:sz="4"/>
                  </w:tcBorders>
                </w:tcPr>
                <w:p/>
              </w:tc>
              <w:tc>
                <w:tcPr>
                  <w:tcW w:type="dxa" w:w="78"/>
                  <w:vMerge/>
                  <w:tcBorders>
                    <w:top w:val="single" w:color="000000" w:sz="4"/>
                    <w:left w:val="none" w:color="000000" w:sz="4"/>
                    <w:bottom w:val="single" w:color="000000" w:sz="4"/>
                    <w:right w:val="single" w:color="000000" w:sz="4"/>
                  </w:tcBorders>
                </w:tcPr>
                <w:p/>
              </w:tc>
              <w:tc>
                <w:tcPr>
                  <w:tcW w:type="dxa" w:w="114"/>
                  <w:vMerge/>
                  <w:tcBorders>
                    <w:top w:val="single" w:color="000000" w:sz="4"/>
                    <w:left w:val="none" w:color="000000" w:sz="4"/>
                    <w:bottom w:val="single" w:color="000000" w:sz="4"/>
                    <w:right w:val="single" w:color="000000" w:sz="4"/>
                  </w:tcBorders>
                </w:tcPr>
                <w:p/>
              </w:tc>
              <w:tc>
                <w:tcPr>
                  <w:tcW w:type="dxa" w:w="119"/>
                  <w:vMerge/>
                  <w:tcBorders>
                    <w:top w:val="single" w:color="000000" w:sz="4"/>
                    <w:left w:val="none" w:color="000000" w:sz="4"/>
                    <w:bottom w:val="single" w:color="000000" w:sz="4"/>
                    <w:right w:val="single" w:color="000000" w:sz="4"/>
                  </w:tcBorders>
                </w:tcPr>
                <w:p/>
              </w:tc>
              <w:tc>
                <w:tcPr>
                  <w:tcW w:type="dxa" w:w="115"/>
                  <w:vMerge/>
                  <w:tcBorders>
                    <w:top w:val="single" w:color="000000" w:sz="4"/>
                    <w:left w:val="none" w:color="000000" w:sz="4"/>
                    <w:bottom w:val="single" w:color="000000" w:sz="4"/>
                    <w:right w:val="single" w:color="000000" w:sz="4"/>
                  </w:tcBorders>
                </w:tcPr>
                <w:p/>
              </w:tc>
              <w:tc>
                <w:tcPr>
                  <w:tcW w:type="dxa" w:w="106"/>
                  <w:vMerge/>
                  <w:tcBorders>
                    <w:top w:val="single" w:color="000000" w:sz="4"/>
                    <w:left w:val="none" w:color="000000" w:sz="4"/>
                    <w:bottom w:val="single" w:color="000000" w:sz="4"/>
                    <w:right w:val="single" w:color="000000" w:sz="4"/>
                  </w:tcBorders>
                </w:tcPr>
                <w:p/>
              </w:tc>
              <w:tc>
                <w:tcPr>
                  <w:tcW w:type="dxa" w:w="79"/>
                  <w:vMerge/>
                  <w:tcBorders>
                    <w:top w:val="single" w:color="000000" w:sz="4"/>
                    <w:left w:val="none" w:color="000000" w:sz="4"/>
                    <w:bottom w:val="single" w:color="000000" w:sz="4"/>
                    <w:right w:val="single" w:color="000000" w:sz="4"/>
                  </w:tcBorders>
                </w:tcPr>
                <w:p/>
              </w:tc>
              <w:tc>
                <w:tcPr>
                  <w:tcW w:type="dxa" w:w="89"/>
                  <w:vMerge/>
                  <w:tcBorders>
                    <w:top w:val="single" w:color="000000" w:sz="4"/>
                    <w:left w:val="none" w:color="000000" w:sz="4"/>
                    <w:bottom w:val="single" w:color="000000" w:sz="4"/>
                    <w:right w:val="single" w:color="000000" w:sz="4"/>
                  </w:tcBorders>
                </w:tcPr>
                <w:p/>
              </w:tc>
              <w:tc>
                <w:tcPr>
                  <w:tcW w:type="dxa" w:w="92"/>
                  <w:vMerge/>
                  <w:tcBorders>
                    <w:top w:val="single" w:color="000000" w:sz="4"/>
                    <w:left w:val="none" w:color="000000" w:sz="4"/>
                    <w:bottom w:val="single" w:color="000000" w:sz="4"/>
                    <w:right w:val="single" w:color="000000" w:sz="4"/>
                  </w:tcBorders>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克伦特罗</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莱克多巴胺</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沙丁胺醇</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特布他林</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西马特罗</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氯丙那林</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妥布特罗</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β-受体激动剂结果判定</w:t>
                  </w:r>
                </w:p>
              </w:tc>
              <w:tc>
                <w:tcPr>
                  <w:tcW w:type="dxa" w:w="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地塞米松</w:t>
                  </w:r>
                </w:p>
              </w:tc>
              <w:tc>
                <w:tcPr>
                  <w:tcW w:type="dxa" w:w="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倍他米松</w:t>
                  </w:r>
                </w:p>
              </w:tc>
              <w:tc>
                <w:tcPr>
                  <w:tcW w:type="dxa" w:w="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泼尼松</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泼尼松龙</w:t>
                  </w:r>
                </w:p>
              </w:tc>
              <w:tc>
                <w:tcPr>
                  <w:tcW w:type="dxa" w:w="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倍氯米松</w:t>
                  </w:r>
                </w:p>
              </w:tc>
              <w:tc>
                <w:tcPr>
                  <w:tcW w:type="dxa" w:w="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氢化可的松</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糖皮质激素结果判定</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总体判定</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w:t>
                  </w:r>
                </w:p>
                <w:p>
                  <w:pPr>
                    <w:pStyle w:val="null3"/>
                    <w:jc w:val="center"/>
                  </w:pPr>
                  <w:r>
                    <w:rPr>
                      <w:rFonts w:ascii="仿宋_GB2312" w:hAnsi="仿宋_GB2312" w:cs="仿宋_GB2312" w:eastAsia="仿宋_GB2312"/>
                      <w:sz w:val="24"/>
                      <w:color w:val="000000"/>
                    </w:rPr>
                    <w:t>分</w:t>
                  </w:r>
                </w:p>
                <w:p>
                  <w:pPr>
                    <w:pStyle w:val="null3"/>
                    <w:jc w:val="center"/>
                  </w:pPr>
                  <w:r>
                    <w:rPr>
                      <w:rFonts w:ascii="仿宋_GB2312" w:hAnsi="仿宋_GB2312" w:cs="仿宋_GB2312" w:eastAsia="仿宋_GB2312"/>
                      <w:sz w:val="24"/>
                      <w:color w:val="000000"/>
                    </w:rPr>
                    <w:t>含</w:t>
                  </w:r>
                </w:p>
                <w:p>
                  <w:pPr>
                    <w:pStyle w:val="null3"/>
                    <w:jc w:val="center"/>
                  </w:pPr>
                  <w:r>
                    <w:rPr>
                      <w:rFonts w:ascii="仿宋_GB2312" w:hAnsi="仿宋_GB2312" w:cs="仿宋_GB2312" w:eastAsia="仿宋_GB2312"/>
                      <w:sz w:val="24"/>
                      <w:color w:val="000000"/>
                    </w:rPr>
                    <w:t>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w:t>
                  </w:r>
                </w:p>
                <w:p>
                  <w:pPr>
                    <w:pStyle w:val="null3"/>
                    <w:jc w:val="center"/>
                  </w:pPr>
                  <w:r>
                    <w:rPr>
                      <w:rFonts w:ascii="仿宋_GB2312" w:hAnsi="仿宋_GB2312" w:cs="仿宋_GB2312" w:eastAsia="仿宋_GB2312"/>
                      <w:sz w:val="24"/>
                      <w:color w:val="000000"/>
                    </w:rPr>
                    <w:t>果</w:t>
                  </w:r>
                </w:p>
                <w:p>
                  <w:pPr>
                    <w:pStyle w:val="null3"/>
                    <w:jc w:val="center"/>
                  </w:pPr>
                  <w:r>
                    <w:rPr>
                      <w:rFonts w:ascii="仿宋_GB2312" w:hAnsi="仿宋_GB2312" w:cs="仿宋_GB2312" w:eastAsia="仿宋_GB2312"/>
                      <w:sz w:val="24"/>
                      <w:color w:val="000000"/>
                    </w:rPr>
                    <w:t>判</w:t>
                  </w:r>
                </w:p>
                <w:p>
                  <w:pPr>
                    <w:pStyle w:val="null3"/>
                    <w:jc w:val="center"/>
                  </w:pPr>
                  <w:r>
                    <w:rPr>
                      <w:rFonts w:ascii="仿宋_GB2312" w:hAnsi="仿宋_GB2312" w:cs="仿宋_GB2312" w:eastAsia="仿宋_GB2312"/>
                      <w:sz w:val="24"/>
                      <w:color w:val="000000"/>
                    </w:rPr>
                    <w:t>定</w:t>
                  </w:r>
                </w:p>
              </w:tc>
            </w:tr>
            <w:tr>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color w:val="000000"/>
              </w:rPr>
              <w:t>填报说明：</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上报用EXCEL电子表格由农检中心统一提供；（2）此表为所有检测样品信息汇总表，需详细填写每1份样品信息；（3）“被抽样企业名称”：请严格按照企业营业执照或定点屠宰证上的名称填写；（4）“屠宰种类”：根据本年度该屠宰企业屠宰畜禽种类进行选择。如该企业既宰牛又宰羊，则从下拉菜单中选择“牛羊屠宰场”；（5）“样品名称”：从下拉菜单选择即可，后续应检项目会自动带入默认结果；（6）“样品编号”：请规范填写抽样时的样品编号，不可简单用“01”“02”代替；（7）“样品产地”：请按照动物检疫合格证明上的“启运地点”填写；（8）“检测结果”：填写检出项的检测值后，表格会自动判定结果。未检出的检测项目无需填写任何内容，请勿将表格中默认“0”改为其他内容；（9）如需增加表格行数，选中未作更改的整行单元格，进行复制粘贴或点击单元格右下角十字下拉即可。</w:t>
            </w:r>
          </w:p>
          <w:p>
            <w:pPr>
              <w:pStyle w:val="null3"/>
            </w:pPr>
            <w:r>
              <w:rPr>
                <w:rFonts w:ascii="仿宋_GB2312" w:hAnsi="仿宋_GB2312" w:cs="仿宋_GB2312" w:eastAsia="仿宋_GB2312"/>
                <w:sz w:val="24"/>
                <w:b/>
                <w:color w:val="000000"/>
              </w:rPr>
              <w:t>附件</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p>
          <w:p>
            <w:pPr>
              <w:pStyle w:val="null3"/>
              <w:jc w:val="center"/>
            </w:pPr>
            <w:r>
              <w:rPr>
                <w:rFonts w:ascii="仿宋_GB2312" w:hAnsi="仿宋_GB2312" w:cs="仿宋_GB2312" w:eastAsia="仿宋_GB2312"/>
                <w:sz w:val="24"/>
                <w:b/>
                <w:color w:val="000000"/>
              </w:rPr>
              <w:t>2026年畜禽屠宰质量安全风险监测检测方法及判定依据一览表</w:t>
            </w:r>
          </w:p>
          <w:tbl>
            <w:tblPr>
              <w:tblBorders>
                <w:top w:val="none" w:color="000000" w:sz="4"/>
                <w:left w:val="none" w:color="000000" w:sz="4"/>
                <w:bottom w:val="none" w:color="000000" w:sz="4"/>
                <w:right w:val="none" w:color="000000" w:sz="4"/>
                <w:insideH w:val="none"/>
                <w:insideV w:val="none"/>
              </w:tblBorders>
            </w:tblPr>
            <w:tblGrid>
              <w:gridCol w:w="356"/>
              <w:gridCol w:w="561"/>
              <w:gridCol w:w="427"/>
              <w:gridCol w:w="639"/>
              <w:gridCol w:w="568"/>
            </w:tblGrid>
            <w:tr>
              <w:tc>
                <w:tcPr>
                  <w:tcW w:type="dxa" w:w="91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检测项目</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样品种类</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检测方法</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判定依据</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水分监测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水分含量</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猪肉、牛肉、羊肉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GB 18394–2020</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GB 18394–2020</w:t>
                  </w: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违法添加物和药物残留监测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7种</w:t>
                  </w:r>
                </w:p>
                <w:p>
                  <w:pPr>
                    <w:pStyle w:val="null3"/>
                    <w:jc w:val="center"/>
                  </w:pPr>
                  <w:r>
                    <w:rPr>
                      <w:rFonts w:ascii="仿宋_GB2312" w:hAnsi="仿宋_GB2312" w:cs="仿宋_GB2312" w:eastAsia="仿宋_GB2312"/>
                      <w:sz w:val="24"/>
                      <w:color w:val="000000"/>
                    </w:rPr>
                    <w:t>β-受体激动剂</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猪肝、牛肝、羊肝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GB 31658.22–2022</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农业农村部公告第</w:t>
                  </w:r>
                  <w:r>
                    <w:rPr>
                      <w:rFonts w:ascii="仿宋_GB2312" w:hAnsi="仿宋_GB2312" w:cs="仿宋_GB2312" w:eastAsia="仿宋_GB2312"/>
                      <w:sz w:val="24"/>
                      <w:color w:val="000000"/>
                    </w:rPr>
                    <w:t>250号</w:t>
                  </w:r>
                </w:p>
                <w:p>
                  <w:pPr>
                    <w:pStyle w:val="null3"/>
                    <w:jc w:val="center"/>
                  </w:pPr>
                  <w:r>
                    <w:rPr>
                      <w:rFonts w:ascii="仿宋_GB2312" w:hAnsi="仿宋_GB2312" w:cs="仿宋_GB2312" w:eastAsia="仿宋_GB2312"/>
                      <w:sz w:val="24"/>
                      <w:color w:val="000000"/>
                    </w:rPr>
                    <w:t>和农业部公告</w:t>
                  </w:r>
                  <w:r>
                    <w:rPr>
                      <w:rFonts w:ascii="仿宋_GB2312" w:hAnsi="仿宋_GB2312" w:cs="仿宋_GB2312" w:eastAsia="仿宋_GB2312"/>
                      <w:sz w:val="24"/>
                      <w:color w:val="000000"/>
                    </w:rPr>
                    <w:t>235号</w:t>
                  </w:r>
                </w:p>
              </w:tc>
            </w:tr>
            <w:tr>
              <w:tc>
                <w:tcPr>
                  <w:tcW w:type="dxa" w:w="356"/>
                  <w:vMerge/>
                  <w:tcBorders>
                    <w:top w:val="none" w:color="000000" w:sz="4"/>
                    <w:left w:val="singl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地塞米松、倍他米松</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猪肝、牛肝</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农业部</w:t>
                  </w:r>
                </w:p>
                <w:p>
                  <w:pPr>
                    <w:pStyle w:val="null3"/>
                    <w:jc w:val="center"/>
                  </w:pPr>
                  <w:r>
                    <w:rPr>
                      <w:rFonts w:ascii="仿宋_GB2312" w:hAnsi="仿宋_GB2312" w:cs="仿宋_GB2312" w:eastAsia="仿宋_GB2312"/>
                      <w:sz w:val="24"/>
                      <w:color w:val="000000"/>
                    </w:rPr>
                    <w:t>1031号公告–2–2008</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GB 31650–2019</w:t>
                  </w:r>
                </w:p>
              </w:tc>
            </w:tr>
            <w:tr>
              <w:tc>
                <w:tcPr>
                  <w:tcW w:type="dxa" w:w="356"/>
                  <w:vMerge/>
                  <w:tcBorders>
                    <w:top w:val="none" w:color="000000" w:sz="4"/>
                    <w:left w:val="singl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地塞米松、倍他米松</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羊肝</w:t>
                  </w:r>
                </w:p>
              </w:tc>
              <w:tc>
                <w:tcPr>
                  <w:tcW w:type="dxa" w:w="639"/>
                  <w:vMerge/>
                  <w:tcBorders>
                    <w:top w:val="none" w:color="000000" w:sz="4"/>
                    <w:left w:val="non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2μg/kg</w:t>
                  </w:r>
                </w:p>
              </w:tc>
            </w:tr>
            <w:tr>
              <w:tc>
                <w:tcPr>
                  <w:tcW w:type="dxa" w:w="356"/>
                  <w:vMerge/>
                  <w:tcBorders>
                    <w:top w:val="none" w:color="000000" w:sz="4"/>
                    <w:left w:val="singl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泼尼松、泼尼松龙、倍氯米松和氢化可的松</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猪肝、牛肝、羊肝</w:t>
                  </w:r>
                </w:p>
              </w:tc>
              <w:tc>
                <w:tcPr>
                  <w:tcW w:type="dxa" w:w="639"/>
                  <w:vMerge/>
                  <w:tcBorders>
                    <w:top w:val="none" w:color="000000" w:sz="4"/>
                    <w:left w:val="non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bl>
          <w:p>
            <w:pPr>
              <w:pStyle w:val="null3"/>
              <w:jc w:val="both"/>
            </w:pPr>
            <w:r>
              <w:rPr>
                <w:rFonts w:ascii="仿宋_GB2312" w:hAnsi="仿宋_GB2312" w:cs="仿宋_GB2312" w:eastAsia="仿宋_GB2312"/>
                <w:sz w:val="24"/>
                <w:color w:val="000000"/>
              </w:rPr>
              <w:t>注：目前我国对羊产品中地塞米松和倍他米松尚未规定最大残留限量，羊肝脏残留限量暂参照欧盟标准执行（</w:t>
            </w:r>
            <w:r>
              <w:rPr>
                <w:rFonts w:ascii="仿宋_GB2312" w:hAnsi="仿宋_GB2312" w:cs="仿宋_GB2312" w:eastAsia="仿宋_GB2312"/>
                <w:sz w:val="24"/>
                <w:color w:val="000000"/>
              </w:rPr>
              <w:t>2μg/kg）；对动物肝脏中泼尼松、泼尼松龙、倍氯米松和氢化可的松等4种药物未规定最大残留限量，仅上报检测数据。</w:t>
            </w:r>
          </w:p>
          <w:p>
            <w:pPr>
              <w:pStyle w:val="null3"/>
            </w:pPr>
            <w:r>
              <w:rPr>
                <w:rFonts w:ascii="仿宋_GB2312" w:hAnsi="仿宋_GB2312" w:cs="仿宋_GB2312" w:eastAsia="仿宋_GB2312"/>
                <w:sz w:val="24"/>
                <w:b/>
                <w:color w:val="000000"/>
              </w:rPr>
              <w:t>附件</w:t>
            </w:r>
            <w:r>
              <w:rPr>
                <w:rFonts w:ascii="仿宋_GB2312" w:hAnsi="仿宋_GB2312" w:cs="仿宋_GB2312" w:eastAsia="仿宋_GB2312"/>
                <w:sz w:val="24"/>
                <w:b/>
                <w:color w:val="000000"/>
              </w:rPr>
              <w:t>6：</w:t>
            </w:r>
          </w:p>
          <w:p>
            <w:pPr>
              <w:pStyle w:val="null3"/>
              <w:jc w:val="center"/>
            </w:pPr>
            <w:r>
              <w:rPr>
                <w:rFonts w:ascii="仿宋_GB2312" w:hAnsi="仿宋_GB2312" w:cs="仿宋_GB2312" w:eastAsia="仿宋_GB2312"/>
                <w:sz w:val="24"/>
                <w:b/>
                <w:color w:val="000000"/>
              </w:rPr>
              <w:t>2026年市级监测承检机构信息表</w:t>
            </w:r>
          </w:p>
          <w:p>
            <w:pPr>
              <w:pStyle w:val="null3"/>
              <w:jc w:val="left"/>
            </w:pPr>
            <w:r>
              <w:rPr>
                <w:rFonts w:ascii="仿宋_GB2312" w:hAnsi="仿宋_GB2312" w:cs="仿宋_GB2312" w:eastAsia="仿宋_GB2312"/>
                <w:sz w:val="24"/>
                <w:color w:val="000000"/>
              </w:rPr>
              <w:t>市级农业农村（畜牧兽医）部门：（盖章）</w:t>
            </w:r>
          </w:p>
          <w:tbl>
            <w:tblPr>
              <w:tblBorders>
                <w:top w:val="none" w:color="000000" w:sz="4"/>
                <w:left w:val="none" w:color="000000" w:sz="4"/>
                <w:bottom w:val="none" w:color="000000" w:sz="4"/>
                <w:right w:val="none" w:color="000000" w:sz="4"/>
                <w:insideH w:val="none"/>
                <w:insideV w:val="none"/>
              </w:tblBorders>
            </w:tblPr>
            <w:tblGrid>
              <w:gridCol w:w="651"/>
              <w:gridCol w:w="779"/>
              <w:gridCol w:w="454"/>
              <w:gridCol w:w="668"/>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承担单位名称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检测资质</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联系人</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联系电话</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¨□CMA</w:t>
                  </w:r>
                </w:p>
                <w:p>
                  <w:pPr>
                    <w:pStyle w:val="null3"/>
                    <w:jc w:val="left"/>
                  </w:pPr>
                  <w:r>
                    <w:rPr>
                      <w:rFonts w:ascii="仿宋_GB2312" w:hAnsi="仿宋_GB2312" w:cs="仿宋_GB2312" w:eastAsia="仿宋_GB2312"/>
                      <w:sz w:val="24"/>
                      <w:color w:val="000000"/>
                    </w:rPr>
                    <w:t>¨□CNAS</w:t>
                  </w:r>
                </w:p>
                <w:p>
                  <w:pPr>
                    <w:pStyle w:val="null3"/>
                    <w:jc w:val="left"/>
                  </w:pPr>
                  <w:r>
                    <w:rPr>
                      <w:rFonts w:ascii="仿宋_GB2312" w:hAnsi="仿宋_GB2312" w:cs="仿宋_GB2312" w:eastAsia="仿宋_GB2312"/>
                      <w:sz w:val="24"/>
                      <w:color w:val="000000"/>
                    </w:rPr>
                    <w:t>¨□无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2026年12月20日前，对项目实施进行总结和验收。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2026年12月20日前，对项目实施进行总结和验收。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进度款，完成全部抽检服务并该项目标段验收合格后，达到付款条件起5个工作日内，支付合同总金额的10.0%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进度款，完成全部抽检服务并该项目标段验收合格后，达到付款条件起5个工作日内，支付合同总金额的10.0%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（1）供应商应提供响应文件截止时间前近6个月中任何1个月缴税凭证，时间以税款所属时期为准（银行出具的缴税凭证或税务机关出具的证明的复印件，并加盖本单位公章）。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（3）依法免税的供应商，应提供相应文件证明其依法免税。 3.依法缴纳社会保障资金的相关材料 （1）供应商应提供响应文件截止时间前近6个月中至少1个月的缴纳社会保险的凭据（专用收据或社会保险缴纳清单），并加盖本单位公章。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（1）供应商应提供响应文件截止时间前近6个月中任何1个月缴税凭证，时间以税款所属时期为准（银行出具的缴税凭证或税务机关出具的证明的复印件，并加盖本单位公章）。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（3）依法免税的供应商，应提供相应文件证明其依法免税。 3.依法缴纳社会保障资金的相关材料 （1）供应商应提供响应文件截止时间前近6个月中至少1个月的缴纳社会保险的凭据（专用收据或社会保险缴纳清单），并加盖本单位公章。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磋商全过程，其中法定代表人（或单位负责人）磋商的，应提供法定代表人（或单位负责人）身份证明，并与营业执照上信息一致；授权代表磋商的，应提供法定代表人（或单位负责人）身份证明、授权委托书及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供应商具备合法有效的CMA检验检测机构资质认定证书、CATL农产品质量安全检测机构考核合格证书</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供应商具备合法有效的CMA检验检测机构资质认定证书、CATL农产品质量安全检测机构考核合格证书。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需向采购代理机构获取采购文件，未向采购代理机构获取采购文件的供应商均为无效响应。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磋商全过程，其中法定代表人（或单位负责人）磋商的，应提供法定代表人（或单位负责人）身份证明，并与营业执照上信息一致；授权代表磋商的，应提供法定代表人（或单位负责人）身份证明、授权委托书及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供应商具备合法有效的CMA检验检测机构资质认定证书、CATL农产品质量安全检测机构考核合格证书</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供应商具备合法有效的CMA检验检测机构资质认定证书、CATL农产品质量安全检测机构考核合格证书。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需向采购代理机构获取采购文件，未向采购代理机构获取采购文件的供应商均为无效响应。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2.异常低价审查 2.1评审中出现下列情形之一的，磋商小组应当启动异常低价投标审查程序：（1）响应报价低于采购项目最高限价45%的，即响应报价&lt;采购项目最高限价×45%；（2）磋商小组基于专业判断，认为供应商报价过低，有可能影响产品质量或者不能诚信履约的其他情形。相关法律法规对供应商报价有规定的，从其规定。2.2磋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响应分项报价表.docx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2.异常低价审查 2.1评审中出现下列情形之一的，磋商小组应当启动异常低价投标审查程序：（1）响应报价低于采购项目最高限价45%的，即响应报价&lt;采购项目最高限价×45%；（2）磋商小组基于专业判断，认为供应商报价过低，有可能影响产品质量或者不能诚信履约的其他情形。相关法律法规对供应商报价有规定的，从其规定。2.2磋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响应分项报价表.docx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响应分项报价表.docx 响应函 资格证明文件.docx 监狱企业的证明文件 响应方案.docx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本项目所有服务要求均满足采购文件得10分，有一项不满足扣1分，扣完为止。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根据供应商提供的采购需求分析，包括但不限于①对目标任务、服务要求的理解；②对项目重点难点分析及解决方案。提供的上述2项内容每项3分，共计6分；每有一项未提供扣3分，扣完为止；每有一处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包括但不限于①总体实施方案；②检测方法与技术路线；③样品管理方案；④检验结果异议处理方案、复检及结果上报工作方案；⑤检验原始资料及检验结果资料管理及保存方案；⑥应急预案。提供的上述6项内容每项3分，共计18分；每有一项未提供扣3分，扣完为止；每有一处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项目进度计划、质量保障措施</w:t>
            </w:r>
          </w:p>
        </w:tc>
        <w:tc>
          <w:tcPr>
            <w:tcW w:type="dxa" w:w="2492"/>
          </w:tcPr>
          <w:p>
            <w:pPr>
              <w:pStyle w:val="null3"/>
            </w:pPr>
            <w:r>
              <w:rPr>
                <w:rFonts w:ascii="仿宋_GB2312" w:hAnsi="仿宋_GB2312" w:cs="仿宋_GB2312" w:eastAsia="仿宋_GB2312"/>
              </w:rPr>
              <w:t>根据供应商提供的项目进度计划、质量保障措施方案，包括但不限于①项目进度计划安排；②项目进度保障措施；③质量控制与风险防控措施；④检验数据、检验样品保密方案。提供的上述4项内容每项4分，共计16分；每有一项未提供扣4分，扣完为止；每有一处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实验场所</w:t>
            </w:r>
          </w:p>
        </w:tc>
        <w:tc>
          <w:tcPr>
            <w:tcW w:type="dxa" w:w="2492"/>
          </w:tcPr>
          <w:p>
            <w:pPr>
              <w:pStyle w:val="null3"/>
            </w:pPr>
            <w:r>
              <w:rPr>
                <w:rFonts w:ascii="仿宋_GB2312" w:hAnsi="仿宋_GB2312" w:cs="仿宋_GB2312" w:eastAsia="仿宋_GB2312"/>
              </w:rPr>
              <w:t>供应商应具备开展本项目的实验场所,包含但不限于针对本项目的固定实验室、实验室区域划分（包含微生物检验区、理化检验区、冷冻（冷藏）备份样品储存区、常温备份样品储存区）等。 （1）实验场所为自有房屋的须提供房屋产权证书；如为租赁房屋的须提供有效期内的租赁合同。 （2）提供实验室各区域照片。 满足以上要求得5分，其他不得分。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拟投入检测设备</w:t>
            </w:r>
          </w:p>
        </w:tc>
        <w:tc>
          <w:tcPr>
            <w:tcW w:type="dxa" w:w="2492"/>
          </w:tcPr>
          <w:p>
            <w:pPr>
              <w:pStyle w:val="null3"/>
            </w:pPr>
            <w:r>
              <w:rPr>
                <w:rFonts w:ascii="仿宋_GB2312" w:hAnsi="仿宋_GB2312" w:cs="仿宋_GB2312" w:eastAsia="仿宋_GB2312"/>
              </w:rPr>
              <w:t>供应商提供针对本项目的拟投入检测设备，每提供1台（套）对应设备且满足检测需求的并提供相应证明资料得2分，最高6分。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供应商应具备运输车辆，车辆为自有车辆的，须提供车辆产权证、车辆行驶证、车辆照片的复印件；车辆为租赁车辆的，须提供租赁合同、车辆照片的复印件；可移动冷藏、冷冻设施设备提供相应证明资料。 （1）每提供一辆冷链车辆或可移动冷藏、冷冻设施设备的，得1分，满分2分； （2）每提供一辆正常运输车辆的，得1分，满分2分；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1、项目负责人具备高级职称证书计3分，具备中级职称证书计1分； 2、项目组成员（项目负责人除外）具备高级职称证书每提供一个计2分，具备中级职称证书，每提供一个得1分，具备初级职称证书，每提供一个得0.5分，本项最多得10分。 3、承诺项目实施期间不随意更换项目负责人及项目组成员，如确需更换须经采购人同意。提供承诺得2分，不提供不得分。 注：提供相关证明材料（职称证书以及近6个月内（不含投标当月）任意一个月社保缴纳证明）复印件并加盖公章，未提供以上人员相关证明材料的，不得分。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供应商提供自2023年1月1日起至响应截止时间止（以合同签订时间为准）类似项目的业绩。提供一个有效业绩得2分，满分10分。 评审依据：以加盖公章的业绩合同复印件为准，合同至少需包含合同首页、关键页、签章页。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满足采购文件要求且有效响应文件的最后报价的最低报价为评审基准价，其价格分为满分。其他供应商的价格分统一按照下列公式计算：磋商报价得分=（评标基准价/最后报价）×10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本项目所有服务要求均满足采购文件得10分，有一项不满足扣1分，扣完为止。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根据供应商提供的采购需求分析，包括但不限于①对目标任务、服务要求的理解；②对项目重点难点分析及解决方案。提供的上述2项内容每项3分，共计6分；每有一项未提供扣3分，扣完为止；每有一处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包括但不限于①总体实施方案；②检测方法与技术路线；③样品管理方案；④检验结果异议处理方案、复检及结果上报工作方案；⑤检验原始资料及检验结果资料管理及保存方案；⑥应急预案。提供的上述6项内容每项3分，共计18分；每有一项未提供扣3分，扣完为止；每有一处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项目进度计划、质量保障措施</w:t>
            </w:r>
          </w:p>
        </w:tc>
        <w:tc>
          <w:tcPr>
            <w:tcW w:type="dxa" w:w="2492"/>
          </w:tcPr>
          <w:p>
            <w:pPr>
              <w:pStyle w:val="null3"/>
            </w:pPr>
            <w:r>
              <w:rPr>
                <w:rFonts w:ascii="仿宋_GB2312" w:hAnsi="仿宋_GB2312" w:cs="仿宋_GB2312" w:eastAsia="仿宋_GB2312"/>
              </w:rPr>
              <w:t>根据供应商提供的项目进度计划、质量保障措施方案，包括但不限于①项目进度计划安排；②项目进度保障措施；③质量控制与风险防控措施；④检验数据、检验样品保密方案。提供的上述4项内容每项4分，共计16分；每有一项未提供扣4分，扣完为止；每有一处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实验场所</w:t>
            </w:r>
          </w:p>
        </w:tc>
        <w:tc>
          <w:tcPr>
            <w:tcW w:type="dxa" w:w="2492"/>
          </w:tcPr>
          <w:p>
            <w:pPr>
              <w:pStyle w:val="null3"/>
            </w:pPr>
            <w:r>
              <w:rPr>
                <w:rFonts w:ascii="仿宋_GB2312" w:hAnsi="仿宋_GB2312" w:cs="仿宋_GB2312" w:eastAsia="仿宋_GB2312"/>
              </w:rPr>
              <w:t>供应商应具备开展本项目的实验场所,包含但不限于针对本项目的固定实验室、实验室区域划分（包含微生物检验区、理化检验区、冷冻（冷藏）备份样品储存区、常温备份样品储存区）等。 （1）实验场所为自有房屋的须提供房屋产权证书；如为租赁房屋的须提供有效期内的租赁合同。 （2）提供实验室各区域照片。 满足以上要求得5分，其他不得分。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拟投入检测设备</w:t>
            </w:r>
          </w:p>
        </w:tc>
        <w:tc>
          <w:tcPr>
            <w:tcW w:type="dxa" w:w="2492"/>
          </w:tcPr>
          <w:p>
            <w:pPr>
              <w:pStyle w:val="null3"/>
            </w:pPr>
            <w:r>
              <w:rPr>
                <w:rFonts w:ascii="仿宋_GB2312" w:hAnsi="仿宋_GB2312" w:cs="仿宋_GB2312" w:eastAsia="仿宋_GB2312"/>
              </w:rPr>
              <w:t>供应商提供针对本项目的拟投入检测设备，每提供1台（套）对应设备且满足检测需求的并提供相应证明资料得2分，最高6分。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供应商应具备运输车辆，车辆为自有车辆的，须提供车辆产权证、车辆行驶证、车辆照片的复印件；车辆为租赁车辆的，须提供租赁合同、车辆照片的复印件；可移动冷藏、冷冻设施设备提供相应证明资料。 （1）每提供一辆冷链车辆或可移动冷藏、冷冻设施设备的，得1分，满分2分； （2）每提供一辆正常运输车辆的，得1分，满分2分；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1、项目负责人具备高级职称证书计3分，具备中级职称证书计1分； 2、项目组成员（项目负责人除外）具备高级职称证书每提供一个计2分，具备中级职称证书，每提供一个得1分，具备初级职称证书，每提供一个得0.5分，本项最多得10分。 3、承诺项目实施期间不随意更换项目负责人及项目组成员，如确需更换须经采购人同意。提供承诺得2分，不提供不得分。 注：提供相关证明材料（职称证书以及近6个月内（不含投标当月）任意一个月社保缴纳证明）复印件并加盖公章，未提供以上人员相关证明材料的，不得分。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供应商提供自2023年1月1日起至响应截止时间止（以合同签订时间为准）类似项目的业绩。提供一个有效业绩得2分，满分10分。 评审依据：以加盖公章的业绩合同复印件为准，合同至少需包含合同首页、关键页、签章页。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满足采购文件要求且有效响应文件的最后报价的最低报价为评审基准价，其价格分为满分。其他供应商的价格分统一按照下列公式计算：磋商报价得分=（评标基准价/最后报价）×10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