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hint="eastAsia" w:ascii="仿宋" w:hAnsi="仿宋" w:eastAsia="仿宋" w:cs="仿宋"/>
          <w:color w:val="auto"/>
          <w:sz w:val="44"/>
          <w:szCs w:val="44"/>
          <w:highlight w:val="none"/>
          <w:lang w:val="en-US" w:eastAsia="zh-CN"/>
        </w:rPr>
      </w:pPr>
      <w:r>
        <w:rPr>
          <w:rFonts w:hint="eastAsia" w:ascii="仿宋" w:hAnsi="仿宋" w:eastAsia="仿宋" w:cs="仿宋"/>
          <w:color w:val="auto"/>
          <w:sz w:val="44"/>
          <w:szCs w:val="44"/>
          <w:highlight w:val="none"/>
          <w:lang w:val="en-US" w:eastAsia="zh-CN"/>
        </w:rPr>
        <w:t>拟签订合同文本</w:t>
      </w:r>
    </w:p>
    <w:p>
      <w:pPr>
        <w:shd w:val="clear"/>
        <w:jc w:val="center"/>
        <w:rPr>
          <w:rFonts w:hint="default" w:ascii="仿宋" w:hAnsi="仿宋" w:eastAsia="仿宋" w:cs="仿宋"/>
          <w:color w:val="auto"/>
          <w:sz w:val="44"/>
          <w:szCs w:val="44"/>
          <w:highlight w:val="none"/>
          <w:lang w:val="en-US" w:eastAsia="zh-CN"/>
        </w:rPr>
      </w:pP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甲方（采购人）：</w:t>
      </w:r>
      <w:r>
        <w:rPr>
          <w:rFonts w:hint="eastAsia" w:ascii="仿宋" w:hAnsi="仿宋" w:eastAsia="仿宋" w:cs="仿宋"/>
          <w:color w:val="auto"/>
          <w:kern w:val="0"/>
          <w:sz w:val="24"/>
          <w:szCs w:val="24"/>
          <w:highlight w:val="none"/>
          <w:u w:val="single"/>
          <w:lang w:val="en-US" w:eastAsia="zh-CN"/>
        </w:rPr>
        <w:t xml:space="preserve">                                   </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乙方（成交供应商）：</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pPr>
        <w:pStyle w:val="11"/>
        <w:shd w:val="clear"/>
        <w:spacing w:line="360" w:lineRule="auto"/>
        <w:ind w:firstLine="480" w:firstLineChars="200"/>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甲乙双方就市级畜禽产品风险监测（例行监测）事宜， 依据《中华人民共和国民法典》和《中华人民共和国政府采购法》，在平等、自愿、互利的基础上，签订本合同，共同信守。</w:t>
      </w:r>
    </w:p>
    <w:p>
      <w:pPr>
        <w:shd w:val="clear"/>
        <w:spacing w:before="0" w:after="0" w:line="360" w:lineRule="auto"/>
        <w:ind w:firstLine="481" w:firstLineChars="200"/>
        <w:jc w:val="both"/>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一、服务内容：</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标段：共抽检监测</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批次。</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2、采集区县：</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pStyle w:val="9"/>
        <w:shd w:val="clear"/>
        <w:spacing w:before="0" w:after="0"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3、检测项目及品种批次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before="157" w:beforeLines="50" w:after="0" w:line="360" w:lineRule="auto"/>
        <w:jc w:val="both"/>
        <w:textAlignment w:val="auto"/>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rPr>
        <w:t>二、服务地点：</w:t>
      </w:r>
      <w:r>
        <w:rPr>
          <w:rFonts w:hint="eastAsia" w:ascii="仿宋" w:hAnsi="仿宋" w:eastAsia="仿宋" w:cs="仿宋"/>
          <w:color w:val="auto"/>
          <w:kern w:val="0"/>
          <w:sz w:val="24"/>
          <w:szCs w:val="24"/>
          <w:highlight w:val="none"/>
        </w:rPr>
        <w:t>甲方指定地点。</w:t>
      </w:r>
    </w:p>
    <w:p>
      <w:pPr>
        <w:shd w:val="clear"/>
        <w:spacing w:before="0" w:after="0" w:line="360" w:lineRule="auto"/>
        <w:jc w:val="both"/>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rPr>
        <w:t>三、</w:t>
      </w:r>
      <w:r>
        <w:rPr>
          <w:rFonts w:hint="eastAsia" w:ascii="仿宋" w:hAnsi="仿宋" w:eastAsia="仿宋" w:cs="仿宋"/>
          <w:b/>
          <w:bCs/>
          <w:color w:val="auto"/>
          <w:sz w:val="24"/>
          <w:szCs w:val="24"/>
          <w:highlight w:val="none"/>
        </w:rPr>
        <w:t>服务期限：</w:t>
      </w:r>
      <w:r>
        <w:rPr>
          <w:rFonts w:hint="eastAsia" w:ascii="仿宋" w:hAnsi="仿宋" w:eastAsia="仿宋" w:cs="仿宋"/>
          <w:color w:val="auto"/>
          <w:kern w:val="0"/>
          <w:sz w:val="24"/>
          <w:szCs w:val="24"/>
          <w:highlight w:val="none"/>
          <w:lang w:eastAsia="zh-CN"/>
        </w:rPr>
        <w:t>2026年12月20日前，对项目实施进行总结和验收</w:t>
      </w:r>
      <w:r>
        <w:rPr>
          <w:rFonts w:hint="eastAsia" w:ascii="仿宋" w:hAnsi="仿宋" w:eastAsia="仿宋" w:cs="仿宋"/>
          <w:color w:val="auto"/>
          <w:kern w:val="0"/>
          <w:sz w:val="24"/>
          <w:szCs w:val="24"/>
          <w:highlight w:val="none"/>
        </w:rPr>
        <w:t>。</w:t>
      </w:r>
    </w:p>
    <w:p>
      <w:pPr>
        <w:shd w:val="clear"/>
        <w:spacing w:before="0" w:after="0" w:line="360" w:lineRule="auto"/>
        <w:jc w:val="both"/>
        <w:rPr>
          <w:rFonts w:hint="eastAsia" w:ascii="仿宋" w:hAnsi="仿宋" w:eastAsia="仿宋" w:cs="仿宋"/>
          <w:b/>
          <w:bCs/>
          <w:color w:val="auto"/>
          <w:kern w:val="0"/>
          <w:sz w:val="24"/>
          <w:szCs w:val="24"/>
          <w:highlight w:val="none"/>
        </w:rPr>
      </w:pPr>
      <w:r>
        <w:rPr>
          <w:rFonts w:hint="eastAsia" w:ascii="仿宋" w:hAnsi="仿宋" w:eastAsia="仿宋" w:cs="仿宋"/>
          <w:color w:val="auto"/>
          <w:kern w:val="0"/>
          <w:sz w:val="24"/>
          <w:szCs w:val="24"/>
          <w:highlight w:val="none"/>
        </w:rPr>
        <w:t>四、</w:t>
      </w:r>
      <w:r>
        <w:rPr>
          <w:rFonts w:hint="eastAsia" w:ascii="仿宋" w:hAnsi="仿宋" w:eastAsia="仿宋" w:cs="仿宋"/>
          <w:b/>
          <w:bCs/>
          <w:color w:val="auto"/>
          <w:kern w:val="0"/>
          <w:sz w:val="24"/>
          <w:szCs w:val="24"/>
          <w:highlight w:val="none"/>
        </w:rPr>
        <w:t>合同价款及付款方式：</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1、本合同价款（含税）为（小写）¥</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元；（大写）</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2、在服务期限内，本合同执行期间服务总费用不变，甲方无须另向乙方支付本合同规定之外的其他任何费用，并作为最终结算的唯一依据。</w:t>
      </w:r>
    </w:p>
    <w:p>
      <w:pPr>
        <w:shd w:val="clear"/>
        <w:tabs>
          <w:tab w:val="left" w:pos="840"/>
        </w:tabs>
        <w:kinsoku w:val="0"/>
        <w:spacing w:before="0" w:after="0"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3、付款方式：</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1、 进度款，（1）由甲方负责结算，在付款前乙方必须开具全额增值税发票给甲方（与执行本合同有关的一切税费均由乙方承担）。 （2）项目分三个抽检阶段实施（每阶段的具体实施时间由甲方确定），乙方在每阶段完成并提交检测报告、分析结果及发票后，达到付款条件起5个工作日内，支付合同总金额的30.0%</w:t>
      </w:r>
      <w:r>
        <w:rPr>
          <w:rFonts w:hint="eastAsia" w:ascii="仿宋" w:hAnsi="仿宋" w:eastAsia="仿宋" w:cs="仿宋"/>
          <w:color w:val="auto"/>
          <w:kern w:val="0"/>
          <w:sz w:val="24"/>
          <w:szCs w:val="24"/>
          <w:highlight w:val="none"/>
          <w:lang w:eastAsia="zh-CN"/>
        </w:rPr>
        <w:t>；</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2、 进度款，（1）由甲方负责结算，在付款前乙方必须开具全额增值税发票给甲方（与执行本合同有关的一切税费均由乙方承担）。 （2）项目分三个抽检阶段实施（每阶段的具体实施时间由甲方确定），乙方在每阶段完成并提交检测报告、分析结果及发票后，达到付款条件起5个工作日内，支付合同总金额的30.0%</w:t>
      </w:r>
      <w:r>
        <w:rPr>
          <w:rFonts w:hint="eastAsia" w:ascii="仿宋" w:hAnsi="仿宋" w:eastAsia="仿宋" w:cs="仿宋"/>
          <w:color w:val="auto"/>
          <w:kern w:val="0"/>
          <w:sz w:val="24"/>
          <w:szCs w:val="24"/>
          <w:highlight w:val="none"/>
          <w:lang w:eastAsia="zh-CN"/>
        </w:rPr>
        <w:t>；</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3、 进度款，（1）由甲方负责结算，在付款前乙方必须开具全额增值税发票给甲方（与执行本合同有关的一切税费均由乙方承担）。 （2）项目分三个抽检阶段实施（每阶段的具体实施时间由甲方确定），乙方在每阶段完成并提交检测报告、分析结果及发票后，达到付款条件起5个工作日内，支付合同总金额的30.0%</w:t>
      </w:r>
      <w:r>
        <w:rPr>
          <w:rFonts w:hint="eastAsia" w:ascii="仿宋" w:hAnsi="仿宋" w:eastAsia="仿宋" w:cs="仿宋"/>
          <w:color w:val="auto"/>
          <w:kern w:val="0"/>
          <w:sz w:val="24"/>
          <w:szCs w:val="24"/>
          <w:highlight w:val="none"/>
          <w:lang w:eastAsia="zh-CN"/>
        </w:rPr>
        <w:t>；</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3.4、</w:t>
      </w:r>
      <w:r>
        <w:rPr>
          <w:rFonts w:hint="eastAsia" w:ascii="仿宋" w:hAnsi="仿宋" w:eastAsia="仿宋" w:cs="仿宋"/>
          <w:color w:val="auto"/>
          <w:kern w:val="0"/>
          <w:sz w:val="24"/>
          <w:szCs w:val="24"/>
          <w:highlight w:val="none"/>
        </w:rPr>
        <w:t>进度款，完成全部抽检服务并该项目标段验收合格后，达到付款条件起5个工作日内，支付合同总金额的10.0%</w:t>
      </w:r>
      <w:r>
        <w:rPr>
          <w:rFonts w:hint="eastAsia" w:ascii="仿宋" w:hAnsi="仿宋" w:eastAsia="仿宋" w:cs="仿宋"/>
          <w:color w:val="auto"/>
          <w:kern w:val="0"/>
          <w:sz w:val="24"/>
          <w:szCs w:val="24"/>
          <w:highlight w:val="none"/>
          <w:lang w:eastAsia="zh-CN"/>
        </w:rPr>
        <w:t>。</w:t>
      </w:r>
    </w:p>
    <w:p>
      <w:pPr>
        <w:numPr>
          <w:ilvl w:val="0"/>
          <w:numId w:val="0"/>
        </w:numPr>
        <w:shd w:val="clear"/>
        <w:spacing w:before="0" w:after="0" w:line="240" w:lineRule="auto"/>
        <w:jc w:val="both"/>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五、报告交付：乙方</w:t>
      </w:r>
      <w:r>
        <w:rPr>
          <w:rFonts w:hint="eastAsia" w:ascii="仿宋" w:hAnsi="仿宋" w:eastAsia="仿宋" w:cs="仿宋"/>
          <w:color w:val="auto"/>
          <w:sz w:val="24"/>
          <w:szCs w:val="24"/>
          <w:highlight w:val="none"/>
        </w:rPr>
        <w:t>样品采样后10个工作日内完成检测，并向甲方出具检测报告一式三份。</w:t>
      </w:r>
      <w:bookmarkStart w:id="0" w:name="_GoBack"/>
      <w:bookmarkEnd w:id="0"/>
    </w:p>
    <w:p>
      <w:pPr>
        <w:numPr>
          <w:ilvl w:val="0"/>
          <w:numId w:val="1"/>
        </w:numPr>
        <w:shd w:val="clear"/>
        <w:spacing w:before="0" w:after="0" w:line="360" w:lineRule="auto"/>
        <w:jc w:val="both"/>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采样、运输及质量控制要求</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设备完好率在100%，为确保及时应对突发农产品质量安全事件、保证样品及时送达实验室，乙方应该保证样品6小时内可送达实验室或冷冻保存。乙方应有相应的冷藏运输设备保证样品在采集和运输过程中不变质。检测线工作正常，日检测量100批次以上，设备与工作效率能够达到检测要求。</w:t>
      </w:r>
    </w:p>
    <w:p>
      <w:pPr>
        <w:shd w:val="clear"/>
        <w:adjustRightInd w:val="0"/>
        <w:snapToGrid w:val="0"/>
        <w:spacing w:before="0" w:after="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七、甲方的权利和义务</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1、应如实填写委托单，并注明要求使用的检验方法，还应根据乙方的要求提供必要的单据及相关资料，对所提供的有关业务资料的真实性、合法性负责。</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2、为乙方委派人员的工作提供必要的合作及条件。</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3、监督乙方按期完成阶段性采样检测工作，如因乙方原因致使阶段性工作拖延超过5个工作日，甲方有权解除本合同，剩余业务工作由其他标段中标单位承担，业务费用双方据实结算。</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4、为保证样品检测工作全面落实，甲方可同采样区域负责人，制作盲样；甲方有权在检测作业开展期间，对乙方在线检测工作进行检查核实，乙方应无条件配合。</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5、如对检验报告有特殊要求，甲方应在委托单上“备注”栏内注明。检验报告通常采用中文书写。如需采用其他语种，甲方应在委托单“备注”栏内注明，并用相应语种填写有关内容。</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6、应统筹制定抽样检验计划，为乙方划定抽样检验区域并协调相关关系。</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7、按照本合同约定及时足额支付检测费用。</w:t>
      </w:r>
    </w:p>
    <w:p>
      <w:pPr>
        <w:shd w:val="clear"/>
        <w:adjustRightInd w:val="0"/>
        <w:snapToGrid w:val="0"/>
        <w:spacing w:before="0" w:after="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八、乙方的权利和义务</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1、乙方应当按照甲方的检验计划和划定抽样检验区域</w:t>
      </w:r>
      <w:r>
        <w:rPr>
          <w:rFonts w:hint="eastAsia" w:ascii="仿宋" w:hAnsi="仿宋" w:eastAsia="仿宋" w:cs="仿宋"/>
          <w:color w:val="auto"/>
          <w:sz w:val="24"/>
          <w:szCs w:val="24"/>
          <w:highlight w:val="none"/>
        </w:rPr>
        <w:t>开展工作，未经甲方许可不得私自跨区域抽检，并对抽样检验数据、检验样品保密，不得将抽样检验计划告知被抽样单位，不得对外泄露有关抽样检验情况和结果，不得利用检验结果开展未经甲方同意的其他活动。</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必须提供专业的采样服务，抽样工作指定2名以上（含2名）专业技术人员全面负责样品采集技术支持工作，提供现场采样工具等设备，样品采集技术必须经过专门培训，熟悉和掌握样品采集方法和相关技术要求。如采样程序不规范，经甲方指导后仍未改正，拖延作业进程的，甲方有权解除合同。</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不得将检验任务外包或分包给其他检测机构检验。乙方承担甲方监督抽检任务期间，不得接受被抽检单位同一批号的同类产品的委托检验，不得接受被抽样人和相关单位的宴请、礼品，以及可能影响检验结果公正性的相关活动。</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4、乙方未按规定时间出具报告或转交甲方报告的，甲方有权不支付相应报告检验费用。</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5、乙方应当保证抽样检验效率，降低废样率。出现废样情况时，应在3日内告知甲方废样信息及原因，废样不支付检验费用。</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甲方对检验结果有异议的，应在一个月内凭检验证书原件向检验方要求复检，乙方应于十日内安排复检。复检结果维持原检验结果的，甲方须按规定向检验方支付复检费。复检结果确认原检验结果有误的，乙方不再收取复检费。</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7、按照本合同约定及时完成各项工作任务。</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8、国家法律、法规所规定由乙方承担的其它责任。</w:t>
      </w:r>
    </w:p>
    <w:p>
      <w:pPr>
        <w:shd w:val="clear"/>
        <w:adjustRightInd w:val="0"/>
        <w:snapToGrid w:val="0"/>
        <w:spacing w:before="0" w:after="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九、违约责任</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1、乙方履约延误：</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1-1、乙方出具虚假、错误检验数据和结论，一经发现，立即取消合作资格,并要求返还该次检验已支付的服务检测费用。</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1-2、如因乙方未全面履行合同义务或者发生违约，甲方有权终止合同，并报请政府采购监督管理机关进行相应的行政处罚，乙方应当赔偿给甲方造成的直接经济损失。</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1-4因乙方责任而造成延期检测的，每超过一天按乙方应按合同总价款的5‰向甲方支付违约金，直至交货或提供服务结束为止，所有因延期而产生的费用由乙方承担。</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2、甲方收集相关证据资料，出具书面文书终止合同，对乙方违约行为进行追究，同时按政府采购法的有关规定进行相应的处罚。</w:t>
      </w:r>
    </w:p>
    <w:p>
      <w:pPr>
        <w:shd w:val="clear"/>
        <w:adjustRightInd w:val="0"/>
        <w:snapToGrid w:val="0"/>
        <w:spacing w:before="0" w:after="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十、不可抗力事件处理</w:t>
      </w:r>
    </w:p>
    <w:p>
      <w:pPr>
        <w:shd w:val="clear"/>
        <w:adjustRightInd w:val="0"/>
        <w:snapToGrid w:val="0"/>
        <w:spacing w:before="0" w:after="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pPr>
        <w:shd w:val="clear"/>
        <w:adjustRightInd w:val="0"/>
        <w:snapToGrid w:val="0"/>
        <w:spacing w:before="0" w:after="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pPr>
        <w:shd w:val="clear"/>
        <w:spacing w:before="0" w:after="0" w:line="360" w:lineRule="auto"/>
        <w:jc w:val="both"/>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十一、争议解决方法：</w:t>
      </w:r>
    </w:p>
    <w:p>
      <w:pPr>
        <w:shd w:val="clear"/>
        <w:spacing w:before="0" w:after="0" w:line="360" w:lineRule="auto"/>
        <w:ind w:firstLine="480" w:firstLineChars="200"/>
        <w:jc w:val="both"/>
        <w:rPr>
          <w:rFonts w:hint="eastAsia" w:ascii="仿宋" w:hAnsi="仿宋" w:eastAsia="仿宋" w:cs="仿宋"/>
          <w:b/>
          <w:bCs/>
          <w:color w:val="auto"/>
          <w:kern w:val="0"/>
          <w:sz w:val="24"/>
          <w:szCs w:val="24"/>
          <w:highlight w:val="none"/>
        </w:rPr>
      </w:pPr>
      <w:r>
        <w:rPr>
          <w:rFonts w:hint="eastAsia" w:ascii="仿宋" w:hAnsi="仿宋" w:eastAsia="仿宋" w:cs="仿宋"/>
          <w:color w:val="auto"/>
          <w:kern w:val="0"/>
          <w:sz w:val="24"/>
          <w:szCs w:val="24"/>
          <w:highlight w:val="none"/>
        </w:rPr>
        <w:t>合同执行中发生争议的，当事人双方应协商解决，协商达不成一致时，可向甲方所在地人民法院提请诉讼。</w:t>
      </w:r>
    </w:p>
    <w:p>
      <w:pPr>
        <w:shd w:val="clear"/>
        <w:spacing w:before="0" w:after="0" w:line="360" w:lineRule="auto"/>
        <w:jc w:val="both"/>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十二、合同生效：</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（一）本合同须经甲、乙双方的法定代表人/授权代表在合同书上签字并加盖本单位公章后正式生效。</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（二）合同生效后，甲、乙双方须严格执行本合同条款的规定，全面履行合同，违者按《中华人民共和国民法典》的有关规定承担相应责任。</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（三）本合同一式</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份，具有同等法律效力，双方各执</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份，监管部门备案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份、招标代理机构存档</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（四）本合同如有未尽事宜，甲、乙双方协商解决。</w:t>
      </w:r>
    </w:p>
    <w:p>
      <w:pPr>
        <w:shd w:val="clear"/>
        <w:spacing w:before="0" w:after="0" w:line="360" w:lineRule="auto"/>
        <w:ind w:firstLine="480" w:firstLineChars="200"/>
        <w:jc w:val="both"/>
        <w:rPr>
          <w:rFonts w:hint="eastAsia" w:ascii="仿宋" w:hAnsi="仿宋" w:eastAsia="仿宋" w:cs="仿宋"/>
          <w:color w:val="auto"/>
          <w:kern w:val="0"/>
          <w:sz w:val="24"/>
          <w:szCs w:val="24"/>
          <w:highlight w:val="none"/>
        </w:rPr>
      </w:pPr>
    </w:p>
    <w:tbl>
      <w:tblPr>
        <w:tblStyle w:val="13"/>
        <w:tblW w:w="10159" w:type="dxa"/>
        <w:jc w:val="center"/>
        <w:tblLayout w:type="fixed"/>
        <w:tblCellMar>
          <w:top w:w="0" w:type="dxa"/>
          <w:left w:w="108" w:type="dxa"/>
          <w:bottom w:w="0" w:type="dxa"/>
          <w:right w:w="108" w:type="dxa"/>
        </w:tblCellMar>
      </w:tblPr>
      <w:tblGrid>
        <w:gridCol w:w="5079"/>
        <w:gridCol w:w="5080"/>
      </w:tblGrid>
      <w:tr>
        <w:tblPrEx>
          <w:tblCellMar>
            <w:top w:w="0" w:type="dxa"/>
            <w:left w:w="108" w:type="dxa"/>
            <w:bottom w:w="0" w:type="dxa"/>
            <w:right w:w="108" w:type="dxa"/>
          </w:tblCellMar>
        </w:tblPrEx>
        <w:trPr>
          <w:trHeight w:val="504"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甲  方：</w:t>
            </w:r>
            <w:r>
              <w:rPr>
                <w:rFonts w:hint="eastAsia" w:ascii="仿宋" w:hAnsi="仿宋" w:eastAsia="仿宋" w:cs="仿宋"/>
                <w:color w:val="auto"/>
                <w:sz w:val="24"/>
                <w:szCs w:val="24"/>
                <w:highlight w:val="none"/>
                <w:lang w:val="en-US" w:eastAsia="zh-CN" w:bidi="ar"/>
              </w:rPr>
              <w:t xml:space="preserve"> </w:t>
            </w: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乙  方：</w:t>
            </w:r>
            <w:r>
              <w:rPr>
                <w:rFonts w:hint="eastAsia" w:ascii="仿宋" w:hAnsi="仿宋" w:eastAsia="仿宋" w:cs="仿宋"/>
                <w:color w:val="auto"/>
                <w:sz w:val="24"/>
                <w:szCs w:val="24"/>
                <w:highlight w:val="none"/>
                <w:lang w:val="en-US" w:eastAsia="zh-CN" w:bidi="ar"/>
              </w:rPr>
              <w:t xml:space="preserve"> </w:t>
            </w:r>
          </w:p>
        </w:tc>
      </w:tr>
      <w:tr>
        <w:tblPrEx>
          <w:tblCellMar>
            <w:top w:w="0" w:type="dxa"/>
            <w:left w:w="108" w:type="dxa"/>
            <w:bottom w:w="0" w:type="dxa"/>
            <w:right w:w="108" w:type="dxa"/>
          </w:tblCellMar>
        </w:tblPrEx>
        <w:trPr>
          <w:trHeight w:val="468"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（盖章）</w:t>
            </w: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（盖章）</w:t>
            </w:r>
          </w:p>
        </w:tc>
      </w:tr>
      <w:tr>
        <w:tblPrEx>
          <w:tblCellMar>
            <w:top w:w="0" w:type="dxa"/>
            <w:left w:w="108" w:type="dxa"/>
            <w:bottom w:w="0" w:type="dxa"/>
            <w:right w:w="108" w:type="dxa"/>
          </w:tblCellMar>
        </w:tblPrEx>
        <w:trPr>
          <w:trHeight w:val="887"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单位地址：</w:t>
            </w:r>
            <w:r>
              <w:rPr>
                <w:rFonts w:hint="eastAsia" w:ascii="仿宋" w:hAnsi="仿宋" w:eastAsia="仿宋" w:cs="仿宋"/>
                <w:color w:val="auto"/>
                <w:sz w:val="24"/>
                <w:szCs w:val="24"/>
                <w:highlight w:val="none"/>
                <w:lang w:val="en-US" w:eastAsia="zh-CN" w:bidi="ar"/>
              </w:rPr>
              <w:t xml:space="preserve"> </w:t>
            </w: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单位地址：</w:t>
            </w:r>
            <w:r>
              <w:rPr>
                <w:rFonts w:hint="eastAsia" w:ascii="仿宋" w:hAnsi="仿宋" w:eastAsia="仿宋" w:cs="仿宋"/>
                <w:color w:val="auto"/>
                <w:sz w:val="24"/>
                <w:szCs w:val="24"/>
                <w:highlight w:val="none"/>
                <w:lang w:val="en-US" w:eastAsia="zh-CN" w:bidi="ar"/>
              </w:rPr>
              <w:t xml:space="preserve"> </w:t>
            </w:r>
          </w:p>
        </w:tc>
      </w:tr>
      <w:tr>
        <w:tblPrEx>
          <w:tblCellMar>
            <w:top w:w="0" w:type="dxa"/>
            <w:left w:w="108" w:type="dxa"/>
            <w:bottom w:w="0" w:type="dxa"/>
            <w:right w:w="108" w:type="dxa"/>
          </w:tblCellMar>
        </w:tblPrEx>
        <w:trPr>
          <w:trHeight w:val="521"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法定代表人： </w:t>
            </w: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法定代表人/被授权代表(签字/盖章）:</w:t>
            </w:r>
          </w:p>
        </w:tc>
      </w:tr>
      <w:tr>
        <w:tblPrEx>
          <w:tblCellMar>
            <w:top w:w="0" w:type="dxa"/>
            <w:left w:w="108" w:type="dxa"/>
            <w:bottom w:w="0" w:type="dxa"/>
            <w:right w:w="108" w:type="dxa"/>
          </w:tblCellMar>
        </w:tblPrEx>
        <w:trPr>
          <w:trHeight w:val="794"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项目负责人：</w:t>
            </w: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电话：</w:t>
            </w: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电话：</w:t>
            </w:r>
            <w:r>
              <w:rPr>
                <w:rFonts w:hint="eastAsia" w:ascii="仿宋" w:hAnsi="仿宋" w:eastAsia="仿宋" w:cs="仿宋"/>
                <w:color w:val="auto"/>
                <w:sz w:val="24"/>
                <w:szCs w:val="24"/>
                <w:highlight w:val="none"/>
                <w:lang w:val="en-US" w:eastAsia="zh-CN" w:bidi="ar"/>
              </w:rPr>
              <w:t xml:space="preserve"> </w:t>
            </w:r>
          </w:p>
        </w:tc>
      </w:tr>
      <w:tr>
        <w:tblPrEx>
          <w:tblCellMar>
            <w:top w:w="0" w:type="dxa"/>
            <w:left w:w="108" w:type="dxa"/>
            <w:bottom w:w="0" w:type="dxa"/>
            <w:right w:w="108" w:type="dxa"/>
          </w:tblCellMar>
        </w:tblPrEx>
        <w:trPr>
          <w:trHeight w:val="519"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传真：</w:t>
            </w: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传真：</w:t>
            </w:r>
          </w:p>
        </w:tc>
      </w:tr>
      <w:tr>
        <w:tblPrEx>
          <w:tblCellMar>
            <w:top w:w="0" w:type="dxa"/>
            <w:left w:w="108" w:type="dxa"/>
            <w:bottom w:w="0" w:type="dxa"/>
            <w:right w:w="108" w:type="dxa"/>
          </w:tblCellMar>
        </w:tblPrEx>
        <w:trPr>
          <w:trHeight w:val="516"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开户银行：</w:t>
            </w:r>
            <w:r>
              <w:rPr>
                <w:rFonts w:hint="eastAsia" w:ascii="仿宋" w:hAnsi="仿宋" w:eastAsia="仿宋" w:cs="仿宋"/>
                <w:color w:val="auto"/>
                <w:sz w:val="24"/>
                <w:szCs w:val="24"/>
                <w:highlight w:val="none"/>
                <w:lang w:val="en-US" w:eastAsia="zh-CN" w:bidi="ar"/>
              </w:rPr>
              <w:t xml:space="preserve"> </w:t>
            </w:r>
          </w:p>
        </w:tc>
      </w:tr>
      <w:tr>
        <w:tblPrEx>
          <w:tblCellMar>
            <w:top w:w="0" w:type="dxa"/>
            <w:left w:w="108" w:type="dxa"/>
            <w:bottom w:w="0" w:type="dxa"/>
            <w:right w:w="108" w:type="dxa"/>
          </w:tblCellMar>
        </w:tblPrEx>
        <w:trPr>
          <w:trHeight w:val="455"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账号：</w:t>
            </w:r>
            <w:r>
              <w:rPr>
                <w:rFonts w:hint="eastAsia" w:ascii="仿宋" w:hAnsi="仿宋" w:eastAsia="仿宋" w:cs="仿宋"/>
                <w:color w:val="auto"/>
                <w:sz w:val="24"/>
                <w:szCs w:val="24"/>
                <w:highlight w:val="none"/>
                <w:lang w:val="en-US" w:eastAsia="zh-CN" w:bidi="ar"/>
              </w:rPr>
              <w:t xml:space="preserve"> </w:t>
            </w:r>
          </w:p>
        </w:tc>
      </w:tr>
      <w:tr>
        <w:tblPrEx>
          <w:tblCellMar>
            <w:top w:w="0" w:type="dxa"/>
            <w:left w:w="108" w:type="dxa"/>
            <w:bottom w:w="0" w:type="dxa"/>
            <w:right w:w="108" w:type="dxa"/>
          </w:tblCellMar>
        </w:tblPrEx>
        <w:trPr>
          <w:trHeight w:val="455" w:hRule="atLeast"/>
          <w:jc w:val="center"/>
        </w:trPr>
        <w:tc>
          <w:tcPr>
            <w:tcW w:w="5079"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日期：</w:t>
            </w:r>
            <w:r>
              <w:rPr>
                <w:rFonts w:hint="eastAsia" w:ascii="仿宋" w:hAnsi="仿宋" w:eastAsia="仿宋" w:cs="仿宋"/>
                <w:color w:val="auto"/>
                <w:sz w:val="24"/>
                <w:szCs w:val="24"/>
                <w:highlight w:val="none"/>
                <w:lang w:val="en-US" w:eastAsia="zh-CN" w:bidi="ar"/>
              </w:rPr>
              <w:t xml:space="preserve">    </w:t>
            </w:r>
            <w:r>
              <w:rPr>
                <w:rFonts w:hint="eastAsia" w:ascii="仿宋" w:hAnsi="仿宋" w:eastAsia="仿宋" w:cs="仿宋"/>
                <w:color w:val="auto"/>
                <w:sz w:val="24"/>
                <w:szCs w:val="24"/>
                <w:highlight w:val="none"/>
                <w:lang w:bidi="ar"/>
              </w:rPr>
              <w:t>年  月   日</w:t>
            </w:r>
          </w:p>
        </w:tc>
        <w:tc>
          <w:tcPr>
            <w:tcW w:w="5080" w:type="dxa"/>
            <w:tcBorders>
              <w:top w:val="nil"/>
              <w:left w:val="nil"/>
              <w:bottom w:val="nil"/>
              <w:right w:val="nil"/>
            </w:tcBorders>
            <w:shd w:val="clear" w:color="auto" w:fill="auto"/>
            <w:vAlign w:val="center"/>
          </w:tcPr>
          <w:p>
            <w:pPr>
              <w:keepNext w:val="0"/>
              <w:keepLines w:val="0"/>
              <w:suppressLineNumbers w:val="0"/>
              <w:shd w:val="clear"/>
              <w:autoSpaceDE w:val="0"/>
              <w:autoSpaceDN w:val="0"/>
              <w:adjustRightInd w:val="0"/>
              <w:spacing w:before="0" w:beforeAutospacing="0" w:after="0" w:afterAutospacing="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日期：</w:t>
            </w:r>
            <w:r>
              <w:rPr>
                <w:rFonts w:hint="eastAsia" w:ascii="仿宋" w:hAnsi="仿宋" w:eastAsia="仿宋" w:cs="仿宋"/>
                <w:color w:val="auto"/>
                <w:sz w:val="24"/>
                <w:szCs w:val="24"/>
                <w:highlight w:val="none"/>
                <w:lang w:val="en-US" w:eastAsia="zh-CN" w:bidi="ar"/>
              </w:rPr>
              <w:t xml:space="preserve">    </w:t>
            </w:r>
            <w:r>
              <w:rPr>
                <w:rFonts w:hint="eastAsia" w:ascii="仿宋" w:hAnsi="仿宋" w:eastAsia="仿宋" w:cs="仿宋"/>
                <w:color w:val="auto"/>
                <w:sz w:val="24"/>
                <w:szCs w:val="24"/>
                <w:highlight w:val="none"/>
                <w:lang w:bidi="ar"/>
              </w:rPr>
              <w:t>年  月   日</w:t>
            </w:r>
          </w:p>
        </w:tc>
      </w:tr>
    </w:tbl>
    <w:p>
      <w:pPr>
        <w:shd w:val="clear"/>
        <w:rPr>
          <w:color w:val="auto"/>
          <w:highlight w:val="none"/>
        </w:rPr>
      </w:pPr>
    </w:p>
    <w:sectPr>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altName w:val="DejaVu Sans"/>
    <w:panose1 w:val="020B0604020202020204"/>
    <w:charset w:val="86"/>
    <w:family w:val="swiss"/>
    <w:pitch w:val="default"/>
    <w:sig w:usb0="00000000" w:usb1="00000000" w:usb2="0000007F" w:usb3="00000000" w:csb0="203F01FF" w:csb1="DFFF0000"/>
  </w:font>
  <w:font w:name="Tahoma">
    <w:altName w:val="DejaVu Sans"/>
    <w:panose1 w:val="020B0604030504040204"/>
    <w:charset w:val="00"/>
    <w:family w:val="swiss"/>
    <w:pitch w:val="default"/>
    <w:sig w:usb0="00000000" w:usb1="00000000"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18E734"/>
    <w:multiLevelType w:val="singleLevel"/>
    <w:tmpl w:val="BE18E734"/>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F74828"/>
    <w:rsid w:val="001106B9"/>
    <w:rsid w:val="00115951"/>
    <w:rsid w:val="00146F00"/>
    <w:rsid w:val="001D7ACD"/>
    <w:rsid w:val="00225448"/>
    <w:rsid w:val="00266973"/>
    <w:rsid w:val="00396F0D"/>
    <w:rsid w:val="00397EF1"/>
    <w:rsid w:val="003A0153"/>
    <w:rsid w:val="003A1506"/>
    <w:rsid w:val="003A3137"/>
    <w:rsid w:val="00432023"/>
    <w:rsid w:val="0044105C"/>
    <w:rsid w:val="004A701A"/>
    <w:rsid w:val="004B7464"/>
    <w:rsid w:val="004C03E4"/>
    <w:rsid w:val="005F2793"/>
    <w:rsid w:val="006E45F4"/>
    <w:rsid w:val="00785F83"/>
    <w:rsid w:val="00840219"/>
    <w:rsid w:val="008655ED"/>
    <w:rsid w:val="008911F7"/>
    <w:rsid w:val="008945F6"/>
    <w:rsid w:val="008A7CCE"/>
    <w:rsid w:val="00A1601E"/>
    <w:rsid w:val="00AF6C9D"/>
    <w:rsid w:val="00B84522"/>
    <w:rsid w:val="00D10E50"/>
    <w:rsid w:val="00DA520D"/>
    <w:rsid w:val="00E84E65"/>
    <w:rsid w:val="00F10A9E"/>
    <w:rsid w:val="00F16A01"/>
    <w:rsid w:val="00F359CA"/>
    <w:rsid w:val="00F74828"/>
    <w:rsid w:val="00FA293E"/>
    <w:rsid w:val="00FA5F59"/>
    <w:rsid w:val="00FF1A8B"/>
    <w:rsid w:val="01FB2325"/>
    <w:rsid w:val="04F80D9E"/>
    <w:rsid w:val="09420DB8"/>
    <w:rsid w:val="0D281998"/>
    <w:rsid w:val="0DF9321F"/>
    <w:rsid w:val="11FC7880"/>
    <w:rsid w:val="12FD14DE"/>
    <w:rsid w:val="175F7283"/>
    <w:rsid w:val="1FC814F4"/>
    <w:rsid w:val="21843051"/>
    <w:rsid w:val="22E807CE"/>
    <w:rsid w:val="2378337E"/>
    <w:rsid w:val="2B4B0DD7"/>
    <w:rsid w:val="2FF344DB"/>
    <w:rsid w:val="31A17F44"/>
    <w:rsid w:val="31C3610C"/>
    <w:rsid w:val="37295614"/>
    <w:rsid w:val="3D4A6A5A"/>
    <w:rsid w:val="3EA537E3"/>
    <w:rsid w:val="41037F0F"/>
    <w:rsid w:val="417D58F0"/>
    <w:rsid w:val="41D32AA4"/>
    <w:rsid w:val="44AD06F3"/>
    <w:rsid w:val="5079410E"/>
    <w:rsid w:val="5EA20CD3"/>
    <w:rsid w:val="68437083"/>
    <w:rsid w:val="691F3C22"/>
    <w:rsid w:val="B3F34F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15"/>
    <w:qFormat/>
    <w:uiPriority w:val="0"/>
    <w:pPr>
      <w:keepNext/>
      <w:keepLines/>
      <w:autoSpaceDE w:val="0"/>
      <w:autoSpaceDN w:val="0"/>
      <w:adjustRightInd w:val="0"/>
      <w:spacing w:after="120" w:line="300" w:lineRule="auto"/>
      <w:outlineLvl w:val="0"/>
    </w:pPr>
    <w:rPr>
      <w:rFonts w:ascii="宋体" w:hAnsi="Times New Roman"/>
      <w:bCs w:val="0"/>
      <w:kern w:val="44"/>
      <w:szCs w:val="20"/>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6">
    <w:name w:val="heading 6"/>
    <w:basedOn w:val="1"/>
    <w:next w:val="1"/>
    <w:link w:val="16"/>
    <w:unhideWhenUsed/>
    <w:qFormat/>
    <w:uiPriority w:val="0"/>
    <w:pPr>
      <w:keepNext/>
      <w:keepLines/>
      <w:wordWrap w:val="0"/>
      <w:adjustRightInd w:val="0"/>
      <w:snapToGrid w:val="0"/>
      <w:spacing w:line="360" w:lineRule="auto"/>
      <w:ind w:firstLine="480" w:firstLineChars="200"/>
      <w:jc w:val="center"/>
      <w:outlineLvl w:val="5"/>
    </w:pPr>
    <w:rPr>
      <w:rFonts w:ascii="宋体" w:hAnsi="宋体" w:cs="宋体"/>
      <w:b/>
      <w:sz w:val="28"/>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3">
    <w:name w:val="Title"/>
    <w:basedOn w:val="4"/>
    <w:next w:val="1"/>
    <w:qFormat/>
    <w:uiPriority w:val="0"/>
    <w:pPr>
      <w:spacing w:before="240" w:after="60"/>
      <w:jc w:val="center"/>
      <w:outlineLvl w:val="0"/>
    </w:pPr>
    <w:rPr>
      <w:rFonts w:ascii="Cambria" w:hAnsi="Cambria"/>
      <w:b/>
      <w:bCs/>
      <w:sz w:val="32"/>
      <w:szCs w:val="32"/>
    </w:rPr>
  </w:style>
  <w:style w:type="paragraph" w:styleId="4">
    <w:name w:val="List 2"/>
    <w:basedOn w:val="1"/>
    <w:qFormat/>
    <w:uiPriority w:val="0"/>
    <w:pPr>
      <w:ind w:left="100" w:leftChars="200" w:hanging="200" w:hangingChars="200"/>
      <w:contextualSpacing/>
    </w:p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8">
    <w:name w:val="annotation text"/>
    <w:basedOn w:val="1"/>
    <w:qFormat/>
    <w:uiPriority w:val="0"/>
    <w:pPr>
      <w:jc w:val="left"/>
    </w:pPr>
  </w:style>
  <w:style w:type="paragraph" w:styleId="9">
    <w:name w:val="Body Text"/>
    <w:basedOn w:val="1"/>
    <w:next w:val="1"/>
    <w:link w:val="17"/>
    <w:qFormat/>
    <w:uiPriority w:val="0"/>
    <w:pPr>
      <w:tabs>
        <w:tab w:val="left" w:pos="567"/>
      </w:tabs>
      <w:spacing w:before="120" w:line="22" w:lineRule="atLeast"/>
    </w:pPr>
    <w:rPr>
      <w:rFonts w:ascii="宋体" w:hAnsi="宋体"/>
      <w:sz w:val="24"/>
    </w:rPr>
  </w:style>
  <w:style w:type="paragraph" w:styleId="10">
    <w:name w:val="Balloon Text"/>
    <w:basedOn w:val="1"/>
    <w:link w:val="18"/>
    <w:qFormat/>
    <w:uiPriority w:val="0"/>
    <w:rPr>
      <w:sz w:val="18"/>
      <w:szCs w:val="18"/>
    </w:rPr>
  </w:style>
  <w:style w:type="paragraph" w:styleId="11">
    <w:name w:val="footer"/>
    <w:basedOn w:val="1"/>
    <w:next w:val="9"/>
    <w:link w:val="19"/>
    <w:qFormat/>
    <w:uiPriority w:val="99"/>
    <w:pPr>
      <w:tabs>
        <w:tab w:val="center" w:pos="4153"/>
        <w:tab w:val="right" w:pos="8306"/>
      </w:tabs>
      <w:snapToGrid w:val="0"/>
      <w:jc w:val="left"/>
    </w:pPr>
    <w:rPr>
      <w:sz w:val="18"/>
      <w:szCs w:val="18"/>
    </w:rPr>
  </w:style>
  <w:style w:type="paragraph" w:styleId="12">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character" w:customStyle="1" w:styleId="15">
    <w:name w:val="标题 1 Char"/>
    <w:link w:val="2"/>
    <w:qFormat/>
    <w:uiPriority w:val="0"/>
    <w:rPr>
      <w:rFonts w:ascii="宋体" w:hAnsi="Times New Roman"/>
      <w:kern w:val="44"/>
      <w:szCs w:val="20"/>
    </w:rPr>
  </w:style>
  <w:style w:type="character" w:customStyle="1" w:styleId="16">
    <w:name w:val="标题 6 Char"/>
    <w:basedOn w:val="14"/>
    <w:link w:val="6"/>
    <w:semiHidden/>
    <w:qFormat/>
    <w:uiPriority w:val="0"/>
    <w:rPr>
      <w:rFonts w:ascii="宋体" w:hAnsi="宋体" w:eastAsia="宋体" w:cs="宋体"/>
      <w:b/>
      <w:kern w:val="2"/>
      <w:sz w:val="28"/>
      <w:szCs w:val="24"/>
    </w:rPr>
  </w:style>
  <w:style w:type="character" w:customStyle="1" w:styleId="17">
    <w:name w:val="正文文本 Char"/>
    <w:basedOn w:val="14"/>
    <w:link w:val="9"/>
    <w:qFormat/>
    <w:uiPriority w:val="0"/>
    <w:rPr>
      <w:rFonts w:ascii="宋体" w:hAnsi="宋体" w:eastAsia="宋体" w:cs="Times New Roman"/>
      <w:kern w:val="2"/>
      <w:sz w:val="24"/>
      <w:szCs w:val="24"/>
    </w:rPr>
  </w:style>
  <w:style w:type="character" w:customStyle="1" w:styleId="18">
    <w:name w:val="批注框文本 Char"/>
    <w:basedOn w:val="14"/>
    <w:link w:val="10"/>
    <w:qFormat/>
    <w:uiPriority w:val="0"/>
    <w:rPr>
      <w:rFonts w:ascii="Times New Roman" w:hAnsi="Times New Roman" w:eastAsia="宋体" w:cs="Times New Roman"/>
      <w:kern w:val="2"/>
      <w:sz w:val="18"/>
      <w:szCs w:val="18"/>
    </w:rPr>
  </w:style>
  <w:style w:type="character" w:customStyle="1" w:styleId="19">
    <w:name w:val="页脚 Char"/>
    <w:basedOn w:val="14"/>
    <w:link w:val="11"/>
    <w:qFormat/>
    <w:uiPriority w:val="99"/>
    <w:rPr>
      <w:rFonts w:ascii="Times New Roman" w:hAnsi="Times New Roman" w:eastAsia="宋体" w:cs="Times New Roman"/>
      <w:kern w:val="2"/>
      <w:sz w:val="18"/>
      <w:szCs w:val="18"/>
    </w:rPr>
  </w:style>
  <w:style w:type="character" w:customStyle="1" w:styleId="20">
    <w:name w:val="页眉 Char"/>
    <w:basedOn w:val="14"/>
    <w:link w:val="12"/>
    <w:qFormat/>
    <w:uiPriority w:val="0"/>
    <w:rPr>
      <w:rFonts w:ascii="Times New Roman" w:hAnsi="Times New Roman" w:eastAsia="宋体" w:cs="Times New Roman"/>
      <w:kern w:val="2"/>
      <w:sz w:val="18"/>
      <w:szCs w:val="18"/>
    </w:rPr>
  </w:style>
  <w:style w:type="paragraph" w:customStyle="1" w:styleId="2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2010</Words>
  <Characters>2032</Characters>
  <Lines>123</Lines>
  <Paragraphs>34</Paragraphs>
  <TotalTime>0</TotalTime>
  <ScaleCrop>false</ScaleCrop>
  <LinksUpToDate>false</LinksUpToDate>
  <CharactersWithSpaces>2109</CharactersWithSpaces>
  <Application>WPS Office_11.8.2.12388_F1E327BC-269C-435d-A152-05C5408002CA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2024-08-22T01:32:00Z</dcterms:created>
  <dc:creator>HP</dc:creator>
  <cp:lastModifiedBy>SNYJYS</cp:lastModifiedBy>
  <dcterms:modified xsi:type="dcterms:W3CDTF">2026-08-17T12:07:06Z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2052-11.8.2.12388</vt:lpwstr>
  </property>
  <property fmtid="{D5CDD505-2E9C-101B-9397-08002B2CF9AE}" pid="3" name="ICV">
    <vt:lpwstr>62D7380B48C14B7C952FD6ED8A75F347_13</vt:lpwstr>
  </property>
  <property fmtid="{D5CDD505-2E9C-101B-9397-08002B2CF9AE}" pid="4" name="KSOTemplateDocerSaveRecord">
    <vt:lpwstr>eyJoZGlkIjoiYmI0OWJlNDk2Nzg4MDJiOTY5NjcwNTAyYWU4NjM0OGYiLCJ1c2VySWQiOiIzNzA0MjM3MzgifQ==</vt:lpwstr>
  </property>
</Properties>
</file>