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仿宋" w:hAnsi="仿宋" w:eastAsia="仿宋" w:cs="仿宋"/>
          <w:color w:val="000000" w:themeColor="text1"/>
          <w:sz w:val="32"/>
          <w:szCs w:val="32"/>
          <w:highlight w:val="none"/>
          <w:lang w:eastAsia="zh-CN"/>
        </w:rPr>
      </w:pPr>
      <w:r>
        <w:rPr>
          <w:rFonts w:hint="eastAsia" w:ascii="仿宋" w:hAnsi="仿宋" w:eastAsia="仿宋" w:cs="仿宋"/>
          <w:color w:val="000000" w:themeColor="text1"/>
          <w:sz w:val="32"/>
          <w:szCs w:val="32"/>
          <w:highlight w:val="none"/>
          <w:lang w:eastAsia="zh-CN"/>
        </w:rPr>
        <w:t>购</w:t>
      </w:r>
      <w:r>
        <w:rPr>
          <w:rFonts w:hint="eastAsia" w:ascii="仿宋" w:hAnsi="仿宋" w:eastAsia="仿宋" w:cs="仿宋"/>
          <w:color w:val="000000" w:themeColor="text1"/>
          <w:sz w:val="32"/>
          <w:szCs w:val="32"/>
          <w:highlight w:val="none"/>
          <w:lang w:val="en-US" w:eastAsia="zh-CN"/>
        </w:rPr>
        <w:t xml:space="preserve"> </w:t>
      </w:r>
      <w:r>
        <w:rPr>
          <w:rFonts w:hint="eastAsia" w:ascii="仿宋" w:hAnsi="仿宋" w:eastAsia="仿宋" w:cs="仿宋"/>
          <w:color w:val="000000" w:themeColor="text1"/>
          <w:sz w:val="32"/>
          <w:szCs w:val="32"/>
          <w:highlight w:val="none"/>
          <w:lang w:eastAsia="zh-CN"/>
        </w:rPr>
        <w:t>置</w:t>
      </w:r>
      <w:r>
        <w:rPr>
          <w:rFonts w:hint="eastAsia" w:ascii="仿宋" w:hAnsi="仿宋" w:eastAsia="仿宋" w:cs="仿宋"/>
          <w:color w:val="000000" w:themeColor="text1"/>
          <w:sz w:val="32"/>
          <w:szCs w:val="32"/>
          <w:highlight w:val="none"/>
          <w:lang w:val="en-US" w:eastAsia="zh-CN"/>
        </w:rPr>
        <w:t xml:space="preserve"> </w:t>
      </w:r>
      <w:r>
        <w:rPr>
          <w:rFonts w:hint="eastAsia" w:ascii="仿宋" w:hAnsi="仿宋" w:eastAsia="仿宋" w:cs="仿宋"/>
          <w:color w:val="000000" w:themeColor="text1"/>
          <w:sz w:val="32"/>
          <w:szCs w:val="32"/>
          <w:highlight w:val="none"/>
          <w:lang w:eastAsia="zh-CN"/>
        </w:rPr>
        <w:t>合</w:t>
      </w:r>
      <w:r>
        <w:rPr>
          <w:rFonts w:hint="eastAsia" w:ascii="仿宋" w:hAnsi="仿宋" w:eastAsia="仿宋" w:cs="仿宋"/>
          <w:color w:val="000000" w:themeColor="text1"/>
          <w:sz w:val="32"/>
          <w:szCs w:val="32"/>
          <w:highlight w:val="none"/>
          <w:lang w:val="en-US" w:eastAsia="zh-CN"/>
        </w:rPr>
        <w:t xml:space="preserve"> </w:t>
      </w:r>
      <w:r>
        <w:rPr>
          <w:rFonts w:hint="eastAsia" w:ascii="仿宋" w:hAnsi="仿宋" w:eastAsia="仿宋" w:cs="仿宋"/>
          <w:color w:val="000000" w:themeColor="text1"/>
          <w:sz w:val="32"/>
          <w:szCs w:val="32"/>
          <w:highlight w:val="none"/>
          <w:lang w:eastAsia="zh-CN"/>
        </w:rPr>
        <w:t>同</w:t>
      </w:r>
    </w:p>
    <w:p w14:paraId="2693362F">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 xml:space="preserve">陕西职业技术学院（甲方）与 </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乙方）就甲方购置的</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u w:val="single"/>
          <w:lang w:val="en-US" w:eastAsia="zh-CN"/>
        </w:rPr>
        <w:t xml:space="preserve">         </w:t>
      </w:r>
      <w:r>
        <w:rPr>
          <w:rFonts w:hint="eastAsia" w:ascii="仿宋" w:hAnsi="仿宋" w:eastAsia="仿宋" w:cs="仿宋"/>
          <w:color w:val="000000" w:themeColor="text1"/>
          <w:sz w:val="24"/>
          <w:szCs w:val="24"/>
          <w:highlight w:val="none"/>
          <w:lang w:eastAsia="zh-CN"/>
        </w:rPr>
        <w:t>设备，经双方协商达成如下合同条款：</w:t>
      </w:r>
    </w:p>
    <w:p w14:paraId="200C5050">
      <w:pPr>
        <w:spacing w:beforeLines="50" w:afterLines="50" w:line="360" w:lineRule="exact"/>
        <w:ind w:firstLine="482" w:firstLineChars="200"/>
        <w:rPr>
          <w:rFonts w:hint="eastAsia" w:ascii="仿宋" w:hAnsi="仿宋" w:eastAsia="仿宋" w:cs="仿宋"/>
          <w:b/>
          <w:bCs/>
          <w:color w:val="000000" w:themeColor="text1"/>
          <w:sz w:val="24"/>
          <w:szCs w:val="24"/>
          <w:highlight w:val="none"/>
          <w:lang w:eastAsia="zh-CN"/>
        </w:rPr>
      </w:pPr>
      <w:r>
        <w:rPr>
          <w:rFonts w:hint="eastAsia" w:ascii="仿宋" w:hAnsi="仿宋" w:eastAsia="仿宋" w:cs="仿宋"/>
          <w:b/>
          <w:bCs/>
          <w:color w:val="000000" w:themeColor="text1"/>
          <w:sz w:val="24"/>
          <w:szCs w:val="24"/>
          <w:highlight w:val="none"/>
          <w:lang w:eastAsia="zh-CN"/>
        </w:rPr>
        <w:t>1.合同内容</w:t>
      </w:r>
    </w:p>
    <w:p w14:paraId="4263F04E">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在甲方组织的关于</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1.1 设备购置清单（币种：人民币）</w:t>
      </w:r>
    </w:p>
    <w:tbl>
      <w:tblPr>
        <w:tblStyle w:val="13"/>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hint="eastAsia" w:ascii="仿宋" w:hAnsi="仿宋" w:eastAsia="仿宋" w:cs="仿宋"/>
                <w:b/>
                <w:bCs/>
                <w:color w:val="000000" w:themeColor="text1"/>
                <w:sz w:val="22"/>
                <w:szCs w:val="22"/>
                <w:highlight w:val="none"/>
              </w:rPr>
            </w:pPr>
            <w:r>
              <w:rPr>
                <w:rFonts w:hint="eastAsia" w:ascii="仿宋" w:hAnsi="仿宋" w:eastAsia="仿宋" w:cs="仿宋"/>
                <w:b/>
                <w:bCs/>
                <w:color w:val="000000" w:themeColor="text1"/>
                <w:sz w:val="22"/>
                <w:szCs w:val="22"/>
                <w:highlight w:val="none"/>
              </w:rPr>
              <w:t>序号</w:t>
            </w:r>
          </w:p>
        </w:tc>
        <w:tc>
          <w:tcPr>
            <w:tcW w:w="1458" w:type="dxa"/>
            <w:vAlign w:val="center"/>
          </w:tcPr>
          <w:p w14:paraId="49B036E0">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设备名称</w:t>
            </w:r>
          </w:p>
        </w:tc>
        <w:tc>
          <w:tcPr>
            <w:tcW w:w="1776" w:type="dxa"/>
            <w:vAlign w:val="center"/>
          </w:tcPr>
          <w:p w14:paraId="265D5CFC">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品牌、规格、型号</w:t>
            </w:r>
          </w:p>
        </w:tc>
        <w:tc>
          <w:tcPr>
            <w:tcW w:w="925" w:type="dxa"/>
            <w:vAlign w:val="center"/>
          </w:tcPr>
          <w:p w14:paraId="5308B591">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数量</w:t>
            </w:r>
          </w:p>
          <w:p w14:paraId="0752FDA2">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(台、套)</w:t>
            </w:r>
          </w:p>
        </w:tc>
        <w:tc>
          <w:tcPr>
            <w:tcW w:w="1130" w:type="dxa"/>
            <w:vAlign w:val="center"/>
          </w:tcPr>
          <w:p w14:paraId="5AE179CB">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单价</w:t>
            </w:r>
          </w:p>
          <w:p w14:paraId="313385B6">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(万元)</w:t>
            </w:r>
          </w:p>
        </w:tc>
        <w:tc>
          <w:tcPr>
            <w:tcW w:w="1090" w:type="dxa"/>
            <w:vAlign w:val="center"/>
          </w:tcPr>
          <w:p w14:paraId="2488134C">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合计</w:t>
            </w:r>
          </w:p>
          <w:p w14:paraId="446C6D23">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(万元)</w:t>
            </w:r>
          </w:p>
        </w:tc>
        <w:tc>
          <w:tcPr>
            <w:tcW w:w="1420" w:type="dxa"/>
            <w:vAlign w:val="center"/>
          </w:tcPr>
          <w:p w14:paraId="52F467D5">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生产商</w:t>
            </w:r>
          </w:p>
        </w:tc>
        <w:tc>
          <w:tcPr>
            <w:tcW w:w="617" w:type="dxa"/>
            <w:vAlign w:val="center"/>
          </w:tcPr>
          <w:p w14:paraId="5A3A7B84">
            <w:pPr>
              <w:jc w:val="center"/>
              <w:rPr>
                <w:rFonts w:hint="eastAsia" w:ascii="仿宋" w:hAnsi="仿宋" w:eastAsia="仿宋" w:cs="仿宋"/>
                <w:b/>
                <w:bCs/>
                <w:color w:val="000000" w:themeColor="text1"/>
                <w:spacing w:val="-20"/>
                <w:sz w:val="22"/>
                <w:szCs w:val="22"/>
                <w:highlight w:val="none"/>
              </w:rPr>
            </w:pPr>
            <w:r>
              <w:rPr>
                <w:rFonts w:hint="eastAsia" w:ascii="仿宋" w:hAnsi="仿宋" w:eastAsia="仿宋" w:cs="仿宋"/>
                <w:b/>
                <w:bCs/>
                <w:color w:val="000000" w:themeColor="text1"/>
                <w:spacing w:val="-20"/>
                <w:sz w:val="22"/>
                <w:szCs w:val="22"/>
                <w:highlight w:val="none"/>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hint="eastAsia" w:ascii="仿宋" w:hAnsi="仿宋" w:eastAsia="仿宋" w:cs="仿宋"/>
                <w:color w:val="000000" w:themeColor="text1"/>
                <w:sz w:val="22"/>
                <w:szCs w:val="22"/>
                <w:highlight w:val="none"/>
              </w:rPr>
            </w:pPr>
            <w:r>
              <w:rPr>
                <w:rFonts w:hint="eastAsia" w:ascii="仿宋" w:hAnsi="仿宋" w:eastAsia="仿宋" w:cs="仿宋"/>
                <w:color w:val="000000" w:themeColor="text1"/>
                <w:sz w:val="22"/>
                <w:szCs w:val="22"/>
                <w:highlight w:val="none"/>
              </w:rPr>
              <w:t>1</w:t>
            </w:r>
          </w:p>
        </w:tc>
        <w:tc>
          <w:tcPr>
            <w:tcW w:w="1458" w:type="dxa"/>
            <w:vAlign w:val="center"/>
          </w:tcPr>
          <w:p w14:paraId="6C6A5745">
            <w:pPr>
              <w:jc w:val="center"/>
              <w:rPr>
                <w:rFonts w:hint="eastAsia" w:ascii="仿宋" w:hAnsi="仿宋" w:eastAsia="仿宋" w:cs="仿宋"/>
                <w:color w:val="000000" w:themeColor="text1"/>
                <w:sz w:val="22"/>
                <w:szCs w:val="22"/>
                <w:highlight w:val="none"/>
              </w:rPr>
            </w:pPr>
          </w:p>
        </w:tc>
        <w:tc>
          <w:tcPr>
            <w:tcW w:w="1776" w:type="dxa"/>
            <w:vAlign w:val="center"/>
          </w:tcPr>
          <w:p w14:paraId="31FF3235">
            <w:pPr>
              <w:jc w:val="center"/>
              <w:rPr>
                <w:rFonts w:hint="eastAsia" w:ascii="仿宋" w:hAnsi="仿宋" w:eastAsia="仿宋" w:cs="仿宋"/>
                <w:color w:val="000000" w:themeColor="text1"/>
                <w:sz w:val="22"/>
                <w:szCs w:val="22"/>
                <w:highlight w:val="none"/>
              </w:rPr>
            </w:pPr>
          </w:p>
        </w:tc>
        <w:tc>
          <w:tcPr>
            <w:tcW w:w="925" w:type="dxa"/>
            <w:vAlign w:val="center"/>
          </w:tcPr>
          <w:p w14:paraId="69BF5A6D">
            <w:pPr>
              <w:jc w:val="center"/>
              <w:rPr>
                <w:rFonts w:hint="eastAsia" w:ascii="仿宋" w:hAnsi="仿宋" w:eastAsia="仿宋" w:cs="仿宋"/>
                <w:color w:val="000000" w:themeColor="text1"/>
                <w:sz w:val="22"/>
                <w:szCs w:val="22"/>
                <w:highlight w:val="none"/>
              </w:rPr>
            </w:pPr>
          </w:p>
        </w:tc>
        <w:tc>
          <w:tcPr>
            <w:tcW w:w="1130" w:type="dxa"/>
            <w:vAlign w:val="center"/>
          </w:tcPr>
          <w:p w14:paraId="64572D3D">
            <w:pPr>
              <w:jc w:val="center"/>
              <w:rPr>
                <w:rFonts w:hint="eastAsia" w:ascii="仿宋" w:hAnsi="仿宋" w:eastAsia="仿宋" w:cs="仿宋"/>
                <w:color w:val="000000" w:themeColor="text1"/>
                <w:sz w:val="22"/>
                <w:szCs w:val="22"/>
                <w:highlight w:val="none"/>
              </w:rPr>
            </w:pPr>
          </w:p>
        </w:tc>
        <w:tc>
          <w:tcPr>
            <w:tcW w:w="1090" w:type="dxa"/>
            <w:vAlign w:val="center"/>
          </w:tcPr>
          <w:p w14:paraId="616F4F5C">
            <w:pPr>
              <w:jc w:val="center"/>
              <w:rPr>
                <w:rFonts w:hint="eastAsia" w:ascii="仿宋" w:hAnsi="仿宋" w:eastAsia="仿宋" w:cs="仿宋"/>
                <w:color w:val="000000" w:themeColor="text1"/>
                <w:sz w:val="22"/>
                <w:szCs w:val="22"/>
                <w:highlight w:val="none"/>
              </w:rPr>
            </w:pPr>
          </w:p>
        </w:tc>
        <w:tc>
          <w:tcPr>
            <w:tcW w:w="1420" w:type="dxa"/>
            <w:vAlign w:val="center"/>
          </w:tcPr>
          <w:p w14:paraId="29461040">
            <w:pPr>
              <w:jc w:val="center"/>
              <w:rPr>
                <w:rFonts w:hint="eastAsia" w:ascii="仿宋" w:hAnsi="仿宋" w:eastAsia="仿宋" w:cs="仿宋"/>
                <w:color w:val="000000" w:themeColor="text1"/>
                <w:sz w:val="22"/>
                <w:szCs w:val="22"/>
                <w:highlight w:val="none"/>
              </w:rPr>
            </w:pPr>
          </w:p>
        </w:tc>
        <w:tc>
          <w:tcPr>
            <w:tcW w:w="617" w:type="dxa"/>
            <w:vAlign w:val="center"/>
          </w:tcPr>
          <w:p w14:paraId="7000CE8A">
            <w:pPr>
              <w:jc w:val="center"/>
              <w:rPr>
                <w:rFonts w:hint="eastAsia" w:ascii="仿宋" w:hAnsi="仿宋" w:eastAsia="仿宋" w:cs="仿宋"/>
                <w:color w:val="000000" w:themeColor="text1"/>
                <w:sz w:val="22"/>
                <w:szCs w:val="22"/>
                <w:highlight w:val="none"/>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hint="eastAsia" w:ascii="仿宋" w:hAnsi="仿宋" w:eastAsia="仿宋" w:cs="仿宋"/>
                <w:color w:val="000000" w:themeColor="text1"/>
                <w:sz w:val="22"/>
                <w:szCs w:val="22"/>
                <w:highlight w:val="none"/>
                <w:lang w:eastAsia="zh-CN"/>
              </w:rPr>
            </w:pPr>
            <w:r>
              <w:rPr>
                <w:rFonts w:hint="eastAsia" w:ascii="仿宋" w:hAnsi="仿宋" w:eastAsia="仿宋" w:cs="仿宋"/>
                <w:color w:val="000000" w:themeColor="text1"/>
                <w:sz w:val="22"/>
                <w:szCs w:val="22"/>
                <w:highlight w:val="none"/>
                <w:lang w:eastAsia="zh-CN"/>
              </w:rPr>
              <w:t>2</w:t>
            </w:r>
          </w:p>
        </w:tc>
        <w:tc>
          <w:tcPr>
            <w:tcW w:w="1458" w:type="dxa"/>
            <w:vAlign w:val="center"/>
          </w:tcPr>
          <w:p w14:paraId="15C2E6C3">
            <w:pPr>
              <w:jc w:val="center"/>
              <w:rPr>
                <w:rFonts w:hint="eastAsia" w:ascii="仿宋" w:hAnsi="仿宋" w:eastAsia="仿宋" w:cs="仿宋"/>
                <w:color w:val="000000" w:themeColor="text1"/>
                <w:sz w:val="22"/>
                <w:szCs w:val="22"/>
                <w:highlight w:val="none"/>
              </w:rPr>
            </w:pPr>
          </w:p>
        </w:tc>
        <w:tc>
          <w:tcPr>
            <w:tcW w:w="1776" w:type="dxa"/>
            <w:vAlign w:val="center"/>
          </w:tcPr>
          <w:p w14:paraId="6F2C4196">
            <w:pPr>
              <w:jc w:val="center"/>
              <w:rPr>
                <w:rFonts w:hint="eastAsia" w:ascii="仿宋" w:hAnsi="仿宋" w:eastAsia="仿宋" w:cs="仿宋"/>
                <w:color w:val="000000" w:themeColor="text1"/>
                <w:sz w:val="22"/>
                <w:szCs w:val="22"/>
                <w:highlight w:val="none"/>
              </w:rPr>
            </w:pPr>
          </w:p>
        </w:tc>
        <w:tc>
          <w:tcPr>
            <w:tcW w:w="925" w:type="dxa"/>
            <w:vAlign w:val="center"/>
          </w:tcPr>
          <w:p w14:paraId="5A0BCB89">
            <w:pPr>
              <w:jc w:val="center"/>
              <w:rPr>
                <w:rFonts w:hint="eastAsia" w:ascii="仿宋" w:hAnsi="仿宋" w:eastAsia="仿宋" w:cs="仿宋"/>
                <w:color w:val="000000" w:themeColor="text1"/>
                <w:sz w:val="22"/>
                <w:szCs w:val="22"/>
                <w:highlight w:val="none"/>
              </w:rPr>
            </w:pPr>
          </w:p>
        </w:tc>
        <w:tc>
          <w:tcPr>
            <w:tcW w:w="1130" w:type="dxa"/>
            <w:vAlign w:val="center"/>
          </w:tcPr>
          <w:p w14:paraId="2BB72B99">
            <w:pPr>
              <w:jc w:val="center"/>
              <w:rPr>
                <w:rFonts w:hint="eastAsia" w:ascii="仿宋" w:hAnsi="仿宋" w:eastAsia="仿宋" w:cs="仿宋"/>
                <w:color w:val="000000" w:themeColor="text1"/>
                <w:sz w:val="22"/>
                <w:szCs w:val="22"/>
                <w:highlight w:val="none"/>
              </w:rPr>
            </w:pPr>
          </w:p>
        </w:tc>
        <w:tc>
          <w:tcPr>
            <w:tcW w:w="1090" w:type="dxa"/>
            <w:vAlign w:val="center"/>
          </w:tcPr>
          <w:p w14:paraId="73FF240B">
            <w:pPr>
              <w:jc w:val="center"/>
              <w:rPr>
                <w:rFonts w:hint="eastAsia" w:ascii="仿宋" w:hAnsi="仿宋" w:eastAsia="仿宋" w:cs="仿宋"/>
                <w:color w:val="000000" w:themeColor="text1"/>
                <w:sz w:val="22"/>
                <w:szCs w:val="22"/>
                <w:highlight w:val="none"/>
              </w:rPr>
            </w:pPr>
          </w:p>
        </w:tc>
        <w:tc>
          <w:tcPr>
            <w:tcW w:w="1420" w:type="dxa"/>
            <w:vAlign w:val="center"/>
          </w:tcPr>
          <w:p w14:paraId="73F8E07B">
            <w:pPr>
              <w:jc w:val="center"/>
              <w:rPr>
                <w:rFonts w:hint="eastAsia" w:ascii="仿宋" w:hAnsi="仿宋" w:eastAsia="仿宋" w:cs="仿宋"/>
                <w:color w:val="000000" w:themeColor="text1"/>
                <w:sz w:val="22"/>
                <w:szCs w:val="22"/>
                <w:highlight w:val="none"/>
              </w:rPr>
            </w:pPr>
          </w:p>
        </w:tc>
        <w:tc>
          <w:tcPr>
            <w:tcW w:w="617" w:type="dxa"/>
            <w:vAlign w:val="center"/>
          </w:tcPr>
          <w:p w14:paraId="5A6E64D7">
            <w:pPr>
              <w:jc w:val="center"/>
              <w:rPr>
                <w:rFonts w:hint="eastAsia" w:ascii="仿宋" w:hAnsi="仿宋" w:eastAsia="仿宋" w:cs="仿宋"/>
                <w:color w:val="000000" w:themeColor="text1"/>
                <w:sz w:val="22"/>
                <w:szCs w:val="22"/>
                <w:highlight w:val="none"/>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hint="eastAsia" w:ascii="仿宋" w:hAnsi="仿宋" w:eastAsia="仿宋" w:cs="仿宋"/>
                <w:color w:val="000000" w:themeColor="text1"/>
                <w:sz w:val="22"/>
                <w:szCs w:val="22"/>
                <w:highlight w:val="none"/>
                <w:lang w:eastAsia="zh-CN"/>
              </w:rPr>
            </w:pPr>
            <w:r>
              <w:rPr>
                <w:rFonts w:hint="eastAsia" w:ascii="仿宋" w:hAnsi="仿宋" w:eastAsia="仿宋" w:cs="仿宋"/>
                <w:color w:val="000000" w:themeColor="text1"/>
                <w:sz w:val="22"/>
                <w:szCs w:val="22"/>
                <w:highlight w:val="none"/>
                <w:lang w:eastAsia="zh-CN"/>
              </w:rPr>
              <w:t>...</w:t>
            </w:r>
          </w:p>
        </w:tc>
        <w:tc>
          <w:tcPr>
            <w:tcW w:w="1458" w:type="dxa"/>
            <w:vAlign w:val="center"/>
          </w:tcPr>
          <w:p w14:paraId="3F905766">
            <w:pPr>
              <w:jc w:val="center"/>
              <w:rPr>
                <w:rFonts w:hint="eastAsia" w:ascii="仿宋" w:hAnsi="仿宋" w:eastAsia="仿宋" w:cs="仿宋"/>
                <w:color w:val="000000" w:themeColor="text1"/>
                <w:sz w:val="22"/>
                <w:szCs w:val="22"/>
                <w:highlight w:val="none"/>
              </w:rPr>
            </w:pPr>
          </w:p>
        </w:tc>
        <w:tc>
          <w:tcPr>
            <w:tcW w:w="1776" w:type="dxa"/>
            <w:vAlign w:val="center"/>
          </w:tcPr>
          <w:p w14:paraId="447E9961">
            <w:pPr>
              <w:jc w:val="center"/>
              <w:rPr>
                <w:rFonts w:hint="eastAsia" w:ascii="仿宋" w:hAnsi="仿宋" w:eastAsia="仿宋" w:cs="仿宋"/>
                <w:color w:val="000000" w:themeColor="text1"/>
                <w:sz w:val="22"/>
                <w:szCs w:val="22"/>
                <w:highlight w:val="none"/>
              </w:rPr>
            </w:pPr>
          </w:p>
        </w:tc>
        <w:tc>
          <w:tcPr>
            <w:tcW w:w="925" w:type="dxa"/>
            <w:vAlign w:val="center"/>
          </w:tcPr>
          <w:p w14:paraId="596A99E3">
            <w:pPr>
              <w:jc w:val="center"/>
              <w:rPr>
                <w:rFonts w:hint="eastAsia" w:ascii="仿宋" w:hAnsi="仿宋" w:eastAsia="仿宋" w:cs="仿宋"/>
                <w:color w:val="000000" w:themeColor="text1"/>
                <w:sz w:val="22"/>
                <w:szCs w:val="22"/>
                <w:highlight w:val="none"/>
              </w:rPr>
            </w:pPr>
          </w:p>
        </w:tc>
        <w:tc>
          <w:tcPr>
            <w:tcW w:w="1130" w:type="dxa"/>
            <w:vAlign w:val="center"/>
          </w:tcPr>
          <w:p w14:paraId="0A89900E">
            <w:pPr>
              <w:jc w:val="center"/>
              <w:rPr>
                <w:rFonts w:hint="eastAsia" w:ascii="仿宋" w:hAnsi="仿宋" w:eastAsia="仿宋" w:cs="仿宋"/>
                <w:color w:val="000000" w:themeColor="text1"/>
                <w:sz w:val="22"/>
                <w:szCs w:val="22"/>
                <w:highlight w:val="none"/>
              </w:rPr>
            </w:pPr>
          </w:p>
        </w:tc>
        <w:tc>
          <w:tcPr>
            <w:tcW w:w="1090" w:type="dxa"/>
            <w:vAlign w:val="center"/>
          </w:tcPr>
          <w:p w14:paraId="7CE88457">
            <w:pPr>
              <w:jc w:val="center"/>
              <w:rPr>
                <w:rFonts w:hint="eastAsia" w:ascii="仿宋" w:hAnsi="仿宋" w:eastAsia="仿宋" w:cs="仿宋"/>
                <w:color w:val="000000" w:themeColor="text1"/>
                <w:sz w:val="22"/>
                <w:szCs w:val="22"/>
                <w:highlight w:val="none"/>
              </w:rPr>
            </w:pPr>
          </w:p>
        </w:tc>
        <w:tc>
          <w:tcPr>
            <w:tcW w:w="1420" w:type="dxa"/>
            <w:vAlign w:val="center"/>
          </w:tcPr>
          <w:p w14:paraId="073E6C96">
            <w:pPr>
              <w:jc w:val="center"/>
              <w:rPr>
                <w:rFonts w:hint="eastAsia" w:ascii="仿宋" w:hAnsi="仿宋" w:eastAsia="仿宋" w:cs="仿宋"/>
                <w:color w:val="000000" w:themeColor="text1"/>
                <w:sz w:val="22"/>
                <w:szCs w:val="22"/>
                <w:highlight w:val="none"/>
              </w:rPr>
            </w:pPr>
          </w:p>
        </w:tc>
        <w:tc>
          <w:tcPr>
            <w:tcW w:w="617" w:type="dxa"/>
            <w:vAlign w:val="center"/>
          </w:tcPr>
          <w:p w14:paraId="3C5FB26D">
            <w:pPr>
              <w:jc w:val="center"/>
              <w:rPr>
                <w:rFonts w:hint="eastAsia" w:ascii="仿宋" w:hAnsi="仿宋" w:eastAsia="仿宋" w:cs="仿宋"/>
                <w:color w:val="000000" w:themeColor="text1"/>
                <w:sz w:val="22"/>
                <w:szCs w:val="22"/>
                <w:highlight w:val="none"/>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hint="eastAsia" w:ascii="仿宋" w:hAnsi="仿宋" w:eastAsia="仿宋" w:cs="仿宋"/>
                <w:color w:val="000000" w:themeColor="text1"/>
                <w:sz w:val="22"/>
                <w:szCs w:val="22"/>
                <w:highlight w:val="none"/>
              </w:rPr>
            </w:pPr>
          </w:p>
          <w:p w14:paraId="03776583">
            <w:pPr>
              <w:rPr>
                <w:rFonts w:hint="eastAsia" w:ascii="仿宋" w:hAnsi="仿宋" w:eastAsia="仿宋" w:cs="仿宋"/>
                <w:color w:val="000000" w:themeColor="text1"/>
                <w:sz w:val="22"/>
                <w:szCs w:val="22"/>
                <w:highlight w:val="none"/>
              </w:rPr>
            </w:pPr>
            <w:r>
              <w:rPr>
                <w:rFonts w:hint="eastAsia" w:ascii="仿宋" w:hAnsi="仿宋" w:eastAsia="仿宋" w:cs="仿宋"/>
                <w:color w:val="000000" w:themeColor="text1"/>
                <w:sz w:val="22"/>
                <w:szCs w:val="22"/>
                <w:highlight w:val="none"/>
              </w:rPr>
              <w:t>合计(元)</w:t>
            </w:r>
          </w:p>
        </w:tc>
        <w:tc>
          <w:tcPr>
            <w:tcW w:w="5182" w:type="dxa"/>
            <w:gridSpan w:val="5"/>
            <w:vAlign w:val="center"/>
          </w:tcPr>
          <w:p w14:paraId="70476E38">
            <w:pPr>
              <w:jc w:val="both"/>
              <w:rPr>
                <w:rFonts w:hint="eastAsia" w:ascii="仿宋" w:hAnsi="仿宋" w:eastAsia="仿宋" w:cs="仿宋"/>
                <w:color w:val="000000" w:themeColor="text1"/>
                <w:sz w:val="22"/>
                <w:szCs w:val="22"/>
                <w:highlight w:val="none"/>
              </w:rPr>
            </w:pPr>
            <w:r>
              <w:rPr>
                <w:rFonts w:hint="eastAsia" w:ascii="仿宋" w:hAnsi="仿宋" w:eastAsia="仿宋" w:cs="仿宋"/>
                <w:color w:val="000000" w:themeColor="text1"/>
                <w:sz w:val="22"/>
                <w:szCs w:val="22"/>
                <w:highlight w:val="none"/>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hint="eastAsia" w:ascii="仿宋" w:hAnsi="仿宋" w:eastAsia="仿宋" w:cs="仿宋"/>
                <w:color w:val="000000" w:themeColor="text1"/>
                <w:sz w:val="22"/>
                <w:szCs w:val="22"/>
                <w:highlight w:val="none"/>
              </w:rPr>
            </w:pPr>
          </w:p>
        </w:tc>
        <w:tc>
          <w:tcPr>
            <w:tcW w:w="5182" w:type="dxa"/>
            <w:gridSpan w:val="5"/>
            <w:vAlign w:val="center"/>
          </w:tcPr>
          <w:p w14:paraId="577C060A">
            <w:pPr>
              <w:jc w:val="both"/>
              <w:rPr>
                <w:rFonts w:hint="eastAsia" w:ascii="仿宋" w:hAnsi="仿宋" w:eastAsia="仿宋" w:cs="仿宋"/>
                <w:color w:val="000000" w:themeColor="text1"/>
                <w:sz w:val="22"/>
                <w:szCs w:val="22"/>
                <w:highlight w:val="none"/>
              </w:rPr>
            </w:pPr>
            <w:r>
              <w:rPr>
                <w:rFonts w:hint="eastAsia" w:ascii="仿宋" w:hAnsi="仿宋" w:eastAsia="仿宋" w:cs="仿宋"/>
                <w:color w:val="000000" w:themeColor="text1"/>
                <w:sz w:val="22"/>
                <w:szCs w:val="22"/>
                <w:highlight w:val="none"/>
              </w:rPr>
              <w:t>小写：</w:t>
            </w:r>
            <w:r>
              <w:rPr>
                <w:rFonts w:hint="eastAsia" w:ascii="仿宋" w:hAnsi="仿宋" w:eastAsia="仿宋" w:cs="仿宋"/>
                <w:color w:val="000000" w:themeColor="text1"/>
                <w:sz w:val="22"/>
                <w:szCs w:val="22"/>
                <w:highlight w:val="none"/>
                <w:u w:val="single"/>
                <w:lang w:eastAsia="zh-CN"/>
              </w:rPr>
              <w:t xml:space="preserve">           </w:t>
            </w:r>
            <w:r>
              <w:rPr>
                <w:rFonts w:hint="eastAsia" w:ascii="仿宋" w:hAnsi="仿宋" w:eastAsia="仿宋" w:cs="仿宋"/>
                <w:color w:val="000000" w:themeColor="text1"/>
                <w:sz w:val="22"/>
                <w:szCs w:val="22"/>
                <w:highlight w:val="none"/>
              </w:rPr>
              <w:t>元</w:t>
            </w:r>
          </w:p>
        </w:tc>
      </w:tr>
    </w:tbl>
    <w:p w14:paraId="76A364BC">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000000" w:themeColor="text1"/>
          <w:sz w:val="24"/>
          <w:szCs w:val="24"/>
          <w:highlight w:val="none"/>
          <w:lang w:eastAsia="zh-CN"/>
        </w:rPr>
        <w:t>其中，</w:t>
      </w:r>
      <w:r>
        <w:rPr>
          <w:rFonts w:hint="eastAsia" w:ascii="仿宋" w:hAnsi="仿宋" w:eastAsia="仿宋" w:cs="仿宋"/>
          <w:color w:val="000000" w:themeColor="text1"/>
          <w:sz w:val="24"/>
          <w:szCs w:val="24"/>
          <w:highlight w:val="none"/>
          <w:lang w:val="en-US" w:eastAsia="zh-CN"/>
        </w:rPr>
        <w:t>不含税金</w:t>
      </w:r>
      <w:r>
        <w:rPr>
          <w:rFonts w:hint="eastAsia" w:ascii="仿宋" w:hAnsi="仿宋" w:eastAsia="仿宋" w:cs="仿宋"/>
          <w:color w:val="auto"/>
          <w:sz w:val="24"/>
          <w:szCs w:val="24"/>
          <w:highlight w:val="none"/>
          <w:lang w:val="en-US" w:eastAsia="zh-CN"/>
        </w:rPr>
        <w:t>额____元，增值税税额____元，适用税率____%。</w:t>
      </w:r>
    </w:p>
    <w:p w14:paraId="19B98EC7">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1.3 合同总额为一次性包死价格，不受市场价格的变化和影响，在合同不发生变更时作为付款结算的依据。</w:t>
      </w:r>
    </w:p>
    <w:p w14:paraId="2F14C2B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 设备的技术参数要求</w:t>
      </w:r>
    </w:p>
    <w:p w14:paraId="3358190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 xml:space="preserve">1.4.2 </w:t>
      </w:r>
      <w:r>
        <w:rPr>
          <w:rFonts w:hint="eastAsia" w:ascii="仿宋" w:hAnsi="仿宋" w:eastAsia="仿宋" w:cs="仿宋"/>
          <w:b w:val="0"/>
          <w:bCs w:val="0"/>
          <w:color w:val="auto"/>
          <w:sz w:val="24"/>
          <w:szCs w:val="24"/>
          <w:highlight w:val="none"/>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 xml:space="preserve"> 乙方应向甲方提供有关标准的中文文本。</w:t>
      </w:r>
    </w:p>
    <w:p w14:paraId="34A83B4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2.包装运输要求</w:t>
      </w:r>
    </w:p>
    <w:p w14:paraId="716116B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3.交货时间及交货地点</w:t>
      </w:r>
    </w:p>
    <w:p w14:paraId="382761D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3.2 合同签订后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4.产品质量保证</w:t>
      </w:r>
    </w:p>
    <w:p w14:paraId="34BE4FF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692BE13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4.6 产品质量保证期为甲方硬件设备最终验收合格后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年，软件系统最终验收合格后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14:paraId="2944DD9F">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5.技术服务承诺</w:t>
      </w:r>
    </w:p>
    <w:p w14:paraId="5F664BD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5.1 乙方应严格按照供货时间，及时给甲方供货。</w:t>
      </w:r>
    </w:p>
    <w:p w14:paraId="0F10B6E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5.4 售后服务：质保期内，乙方对甲方提出的服务响应不得超过</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小时，并在</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小时内</w:t>
      </w:r>
      <w:r>
        <w:rPr>
          <w:rFonts w:hint="eastAsia" w:ascii="仿宋" w:hAnsi="仿宋" w:eastAsia="仿宋" w:cs="仿宋"/>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。质保期内乙方应每季度上门巡检不少于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5.5 具体服务详见乙方投标文件中乙方的承诺书。</w:t>
      </w:r>
    </w:p>
    <w:p w14:paraId="3E9C126D">
      <w:pPr>
        <w:spacing w:beforeLines="50" w:afterLines="50" w:line="360" w:lineRule="exact"/>
        <w:ind w:firstLine="482" w:firstLineChars="200"/>
        <w:rPr>
          <w:rFonts w:hint="eastAsia" w:ascii="仿宋" w:hAnsi="仿宋" w:eastAsia="仿宋" w:cs="仿宋"/>
          <w:b/>
          <w:bCs/>
          <w:color w:val="000000" w:themeColor="text1"/>
          <w:sz w:val="24"/>
          <w:szCs w:val="24"/>
          <w:highlight w:val="none"/>
          <w:lang w:eastAsia="zh-CN"/>
        </w:rPr>
      </w:pPr>
      <w:r>
        <w:rPr>
          <w:rFonts w:hint="eastAsia" w:ascii="仿宋" w:hAnsi="仿宋" w:eastAsia="仿宋" w:cs="仿宋"/>
          <w:b/>
          <w:bCs/>
          <w:color w:val="000000" w:themeColor="text1"/>
          <w:sz w:val="24"/>
          <w:szCs w:val="24"/>
          <w:highlight w:val="none"/>
          <w:lang w:eastAsia="zh-CN"/>
        </w:rPr>
        <w:t>6.验收方法及标准</w:t>
      </w:r>
    </w:p>
    <w:p w14:paraId="19560E67">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6.1 开箱验收</w:t>
      </w:r>
    </w:p>
    <w:p w14:paraId="008622B0">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6.1.1 产品运抵现场后，双方应及时开箱验收，并制作验收记录，以确认与本合同约定的数量、型号等是否一致。</w:t>
      </w:r>
    </w:p>
    <w:p w14:paraId="63DF2FEB">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6.2 检验验收</w:t>
      </w:r>
    </w:p>
    <w:p w14:paraId="1D2A2256">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6.2.4 检验测试出现全部或部分未达到本合同所约定的技术指标，甲方有权选择下列任一处理方式：</w:t>
      </w:r>
    </w:p>
    <w:p w14:paraId="304370C8">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a.重新测试直至合格为止；</w:t>
      </w:r>
    </w:p>
    <w:p w14:paraId="5FB3893E">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6.3 使用过程检验</w:t>
      </w:r>
    </w:p>
    <w:p w14:paraId="5DCBD6E7">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6.3.2 如果合同双方对乙方提供的上述试验结果报告的解释有分歧，双方须于出现分歧后</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天内给对方声明，以陈述己方的观点。声明须附有关证据。分歧应通过协商解决。</w:t>
      </w:r>
    </w:p>
    <w:p w14:paraId="20C8E911">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6.4 所有验收合格，但不能免除乙方应该承担的质保责任。</w:t>
      </w:r>
    </w:p>
    <w:p w14:paraId="4917AEA2">
      <w:pPr>
        <w:spacing w:beforeLines="50" w:afterLines="50" w:line="360" w:lineRule="exact"/>
        <w:ind w:firstLine="482" w:firstLineChars="200"/>
        <w:rPr>
          <w:rFonts w:hint="eastAsia" w:ascii="仿宋" w:hAnsi="仿宋" w:eastAsia="仿宋" w:cs="仿宋"/>
          <w:b/>
          <w:bCs/>
          <w:color w:val="000000" w:themeColor="text1"/>
          <w:sz w:val="24"/>
          <w:szCs w:val="24"/>
          <w:highlight w:val="none"/>
          <w:lang w:eastAsia="zh-CN"/>
        </w:rPr>
      </w:pPr>
      <w:r>
        <w:rPr>
          <w:rFonts w:hint="eastAsia" w:ascii="仿宋" w:hAnsi="仿宋" w:eastAsia="仿宋" w:cs="仿宋"/>
          <w:b/>
          <w:bCs/>
          <w:color w:val="000000" w:themeColor="text1"/>
          <w:sz w:val="24"/>
          <w:szCs w:val="24"/>
          <w:highlight w:val="none"/>
          <w:lang w:eastAsia="zh-CN"/>
        </w:rPr>
        <w:t>7.合同款项支付方式</w:t>
      </w:r>
    </w:p>
    <w:p w14:paraId="3647C63C">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7.1 履约保证金</w:t>
      </w:r>
    </w:p>
    <w:p w14:paraId="54EB77F3">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7.1.1 乙方应在收到中标(成交)通知书后、合同签订前</w:t>
      </w:r>
      <w:r>
        <w:rPr>
          <w:rFonts w:hint="eastAsia" w:ascii="仿宋" w:hAnsi="仿宋" w:eastAsia="仿宋" w:cs="仿宋"/>
          <w:color w:val="000000" w:themeColor="text1"/>
          <w:sz w:val="24"/>
          <w:szCs w:val="24"/>
          <w:highlight w:val="none"/>
          <w:u w:val="single"/>
          <w:lang w:eastAsia="zh-CN"/>
        </w:rPr>
        <w:t xml:space="preserve"> 5 </w:t>
      </w:r>
      <w:r>
        <w:rPr>
          <w:rFonts w:hint="eastAsia" w:ascii="仿宋" w:hAnsi="仿宋" w:eastAsia="仿宋" w:cs="仿宋"/>
          <w:color w:val="000000" w:themeColor="text1"/>
          <w:sz w:val="24"/>
          <w:szCs w:val="24"/>
          <w:highlight w:val="none"/>
          <w:lang w:eastAsia="zh-CN"/>
        </w:rPr>
        <w:t>个工作日内，向甲方提交合同总价</w:t>
      </w:r>
      <w:r>
        <w:rPr>
          <w:rFonts w:hint="eastAsia" w:ascii="仿宋" w:hAnsi="仿宋" w:eastAsia="仿宋" w:cs="仿宋"/>
          <w:color w:val="000000" w:themeColor="text1"/>
          <w:sz w:val="24"/>
          <w:szCs w:val="24"/>
          <w:highlight w:val="none"/>
          <w:u w:val="single"/>
          <w:lang w:eastAsia="zh-CN"/>
        </w:rPr>
        <w:t xml:space="preserve"> 5  </w:t>
      </w:r>
      <w:r>
        <w:rPr>
          <w:rFonts w:hint="eastAsia" w:ascii="仿宋" w:hAnsi="仿宋" w:eastAsia="仿宋" w:cs="仿宋"/>
          <w:color w:val="000000" w:themeColor="text1"/>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7.2 合同款支付</w:t>
      </w:r>
    </w:p>
    <w:p w14:paraId="43431D94">
      <w:pPr>
        <w:spacing w:line="380" w:lineRule="exact"/>
        <w:ind w:firstLine="480" w:firstLineChars="200"/>
        <w:rPr>
          <w:rFonts w:hint="eastAsia" w:ascii="仿宋" w:hAnsi="仿宋" w:eastAsia="仿宋" w:cs="仿宋"/>
          <w:color w:val="FF0000"/>
          <w:sz w:val="24"/>
          <w:szCs w:val="24"/>
          <w:highlight w:val="none"/>
          <w:lang w:eastAsia="zh-CN"/>
        </w:rPr>
      </w:pPr>
      <w:r>
        <w:rPr>
          <w:rFonts w:hint="eastAsia" w:ascii="仿宋" w:hAnsi="仿宋" w:eastAsia="仿宋" w:cs="仿宋"/>
          <w:color w:val="000000" w:themeColor="text1"/>
          <w:sz w:val="24"/>
          <w:szCs w:val="24"/>
          <w:highlight w:val="none"/>
          <w:lang w:eastAsia="zh-CN"/>
        </w:rPr>
        <w:t>签订合同后，设备到达指定地点、安装调试完成并验收合格后，并完成甲方所有内部付款审批程序，满足付款条件起10个工作日内支付合同总价的100%</w:t>
      </w:r>
      <w:r>
        <w:rPr>
          <w:rFonts w:hint="eastAsia" w:ascii="仿宋" w:hAnsi="仿宋" w:eastAsia="仿宋" w:cs="仿宋"/>
          <w:color w:val="auto"/>
          <w:sz w:val="24"/>
          <w:szCs w:val="24"/>
          <w:highlight w:val="none"/>
          <w:lang w:eastAsia="zh-CN"/>
        </w:rPr>
        <w:t>。</w:t>
      </w:r>
    </w:p>
    <w:p w14:paraId="2B62932C">
      <w:pPr>
        <w:spacing w:line="380" w:lineRule="exact"/>
        <w:ind w:firstLine="480" w:firstLineChars="200"/>
        <w:rPr>
          <w:rFonts w:hint="eastAsia" w:ascii="仿宋" w:hAnsi="仿宋" w:eastAsia="仿宋" w:cs="仿宋"/>
          <w:strike/>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7.3 甲方向乙方付款前，乙方必须先提供等额的增值税专用发票，在乙方提供后，方可办理付款手续（税票及其相关资料办理具体问题与学校财务部门咨询或协商</w:t>
      </w:r>
      <w:r>
        <w:rPr>
          <w:rFonts w:hint="eastAsia" w:ascii="仿宋" w:hAnsi="仿宋" w:eastAsia="仿宋" w:cs="仿宋"/>
          <w:color w:val="auto"/>
          <w:sz w:val="24"/>
          <w:szCs w:val="24"/>
          <w:highlight w:val="none"/>
          <w:lang w:eastAsia="zh-CN"/>
        </w:rPr>
        <w:t>，乙方开具发票时，须在发票中逐项列明所供设备的名称、规格型号、数量及单价，不得合并开具</w:t>
      </w:r>
      <w:r>
        <w:rPr>
          <w:rFonts w:hint="eastAsia" w:ascii="仿宋" w:hAnsi="仿宋" w:eastAsia="仿宋" w:cs="仿宋"/>
          <w:color w:val="000000" w:themeColor="text1"/>
          <w:sz w:val="24"/>
          <w:szCs w:val="24"/>
          <w:highlight w:val="none"/>
          <w:lang w:eastAsia="zh-CN"/>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仿宋" w:hAnsi="仿宋" w:eastAsia="仿宋" w:cs="仿宋"/>
          <w:b/>
          <w:bCs/>
          <w:color w:val="000000" w:themeColor="text1"/>
          <w:sz w:val="24"/>
          <w:szCs w:val="24"/>
          <w:highlight w:val="none"/>
          <w:lang w:eastAsia="zh-CN"/>
        </w:rPr>
      </w:pPr>
      <w:r>
        <w:rPr>
          <w:rFonts w:hint="eastAsia" w:ascii="仿宋" w:hAnsi="仿宋" w:eastAsia="仿宋" w:cs="仿宋"/>
          <w:b/>
          <w:bCs/>
          <w:color w:val="000000" w:themeColor="text1"/>
          <w:sz w:val="24"/>
          <w:szCs w:val="24"/>
          <w:highlight w:val="none"/>
          <w:lang w:eastAsia="zh-CN"/>
        </w:rPr>
        <w:t>8.安全生产和文明施工</w:t>
      </w:r>
    </w:p>
    <w:p w14:paraId="4AF450B5">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8.1 现场安全文明施工由乙方编制专项详细方案并严格执行。</w:t>
      </w:r>
    </w:p>
    <w:p w14:paraId="0068F2AD">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8.3 在设备安装施工全过程中，乙方应服从甲方的各项管理，并对乙方施工人员进行安全管理。</w:t>
      </w:r>
    </w:p>
    <w:p w14:paraId="792470F9">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8.4 确保现场建筑物及相关设施设备完好无损，如施工过程中出现损坏，乙方负责修复赔偿。</w:t>
      </w:r>
    </w:p>
    <w:p w14:paraId="45E6485B">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8.5 乙方应对安装施工人员相关岗位上岗资格进行审查，并对相关后果负责。</w:t>
      </w:r>
    </w:p>
    <w:p w14:paraId="3E276B08">
      <w:pPr>
        <w:spacing w:beforeLines="50" w:afterLines="50" w:line="360" w:lineRule="exact"/>
        <w:ind w:firstLine="482" w:firstLineChars="200"/>
        <w:rPr>
          <w:rFonts w:hint="eastAsia" w:ascii="仿宋" w:hAnsi="仿宋" w:eastAsia="仿宋" w:cs="仿宋"/>
          <w:b/>
          <w:bCs/>
          <w:color w:val="000000" w:themeColor="text1"/>
          <w:sz w:val="24"/>
          <w:szCs w:val="24"/>
          <w:highlight w:val="none"/>
          <w:lang w:eastAsia="zh-CN"/>
        </w:rPr>
      </w:pPr>
      <w:r>
        <w:rPr>
          <w:rFonts w:hint="eastAsia" w:ascii="仿宋" w:hAnsi="仿宋" w:eastAsia="仿宋" w:cs="仿宋"/>
          <w:b/>
          <w:bCs/>
          <w:color w:val="000000" w:themeColor="text1"/>
          <w:sz w:val="24"/>
          <w:szCs w:val="24"/>
          <w:highlight w:val="none"/>
          <w:lang w:eastAsia="zh-CN"/>
        </w:rPr>
        <w:t>9.索赔</w:t>
      </w:r>
    </w:p>
    <w:p w14:paraId="3216E5CF">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9.2 在验收合格前，乙方对甲方提出的索赔负有责任，乙方应按照甲方同意的下列一种或多种方式解决索赔事宜：</w:t>
      </w:r>
    </w:p>
    <w:p w14:paraId="187434D9">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9.3 乙方收到甲方发出的索赔通知之日起</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u w:val="single"/>
          <w:lang w:val="en-US" w:eastAsia="zh-CN"/>
        </w:rPr>
        <w:t>5</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hint="eastAsia" w:ascii="仿宋" w:hAnsi="仿宋" w:eastAsia="仿宋" w:cs="仿宋"/>
          <w:b/>
          <w:bCs/>
          <w:color w:val="000000" w:themeColor="text1"/>
          <w:sz w:val="24"/>
          <w:szCs w:val="24"/>
          <w:highlight w:val="none"/>
          <w:lang w:eastAsia="zh-CN"/>
        </w:rPr>
      </w:pPr>
      <w:r>
        <w:rPr>
          <w:rFonts w:hint="eastAsia" w:ascii="仿宋" w:hAnsi="仿宋" w:eastAsia="仿宋" w:cs="仿宋"/>
          <w:b/>
          <w:bCs/>
          <w:color w:val="000000" w:themeColor="text1"/>
          <w:sz w:val="24"/>
          <w:szCs w:val="24"/>
          <w:highlight w:val="none"/>
          <w:lang w:eastAsia="zh-CN"/>
        </w:rPr>
        <w:t>10.违约责任</w:t>
      </w:r>
    </w:p>
    <w:p w14:paraId="39E0D81B">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u w:val="single"/>
          <w:lang w:val="en-US" w:eastAsia="zh-CN"/>
        </w:rPr>
        <w:t>10</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%的违约金及其他损失。</w:t>
      </w:r>
    </w:p>
    <w:p w14:paraId="7175D321">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10.4 在合同规定的供货期内乙方未全部交货，除应如数补齐外，还应承担合同总款的</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u w:val="single"/>
          <w:lang w:val="en-US" w:eastAsia="zh-CN"/>
        </w:rPr>
        <w:t>10</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%违约金。</w:t>
      </w:r>
    </w:p>
    <w:p w14:paraId="6E88CEF2">
      <w:pPr>
        <w:spacing w:line="380" w:lineRule="exact"/>
        <w:ind w:firstLine="480" w:firstLineChars="200"/>
        <w:jc w:val="both"/>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10.5 乙方对货物不按招标文件要求，擅自更换，除恢复原招标产品外，应承担更换部分价款</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u w:val="single"/>
          <w:lang w:val="en-US" w:eastAsia="zh-CN"/>
        </w:rPr>
        <w:t>10</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%的违约金；乙方如对产品材质、随机配品以次充好，除全部按要求恢复外，应承担此部分价款</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u w:val="single"/>
          <w:lang w:val="en-US" w:eastAsia="zh-CN"/>
        </w:rPr>
        <w:t>10</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%的违约金。</w:t>
      </w:r>
    </w:p>
    <w:p w14:paraId="0D7A375B">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10.6 除不可抗力因素外，乙方没有按照合同规定的时间交货，甲方可要求乙方支付违约金，违约金每日按合同总价款的</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u w:val="single"/>
          <w:lang w:val="en-US" w:eastAsia="zh-CN"/>
        </w:rPr>
        <w:t>5</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‰计收。</w:t>
      </w:r>
    </w:p>
    <w:p w14:paraId="17EA37EF">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val="en-US" w:eastAsia="zh-CN"/>
        </w:rPr>
        <w:t>10.7 乙方</w:t>
      </w:r>
      <w:r>
        <w:rPr>
          <w:rFonts w:hint="eastAsia" w:ascii="仿宋" w:hAnsi="仿宋" w:eastAsia="仿宋" w:cs="仿宋"/>
          <w:color w:val="000000" w:themeColor="text1"/>
          <w:sz w:val="24"/>
          <w:szCs w:val="24"/>
          <w:highlight w:val="none"/>
          <w:lang w:eastAsia="zh-CN"/>
        </w:rPr>
        <w:t>对所供产品出现的问题推诿、拖延，</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u w:val="single"/>
          <w:lang w:val="en-US" w:eastAsia="zh-CN"/>
        </w:rPr>
        <w:t>24</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小时未作出服务响应和提供服务，甲方可要求乙方支付违约金，违约金每日按合同总价款的</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0.5</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lang w:eastAsia="zh-CN"/>
        </w:rPr>
        <w:t>‰计收。否则，甲方有权拒绝乙方以后参加学校竞标。</w:t>
      </w:r>
    </w:p>
    <w:p w14:paraId="36748A00">
      <w:pPr>
        <w:spacing w:beforeLines="50" w:afterLines="50" w:line="360" w:lineRule="exact"/>
        <w:ind w:firstLine="482" w:firstLineChars="200"/>
        <w:rPr>
          <w:rFonts w:hint="eastAsia" w:ascii="仿宋" w:hAnsi="仿宋" w:eastAsia="仿宋" w:cs="仿宋"/>
          <w:b/>
          <w:bCs/>
          <w:color w:val="000000" w:themeColor="text1"/>
          <w:sz w:val="24"/>
          <w:szCs w:val="24"/>
          <w:highlight w:val="none"/>
          <w:lang w:eastAsia="zh-CN"/>
        </w:rPr>
      </w:pPr>
      <w:r>
        <w:rPr>
          <w:rFonts w:hint="eastAsia" w:ascii="仿宋" w:hAnsi="仿宋" w:eastAsia="仿宋" w:cs="仿宋"/>
          <w:b/>
          <w:bCs/>
          <w:color w:val="000000" w:themeColor="text1"/>
          <w:sz w:val="24"/>
          <w:szCs w:val="24"/>
          <w:highlight w:val="none"/>
          <w:lang w:eastAsia="zh-CN"/>
        </w:rPr>
        <w:t>11.合同争议的解决</w:t>
      </w:r>
    </w:p>
    <w:p w14:paraId="272EB465">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11.1 甲乙双方由于本合同的履行而发生任何争议时，双方可先通过协商解决。</w:t>
      </w:r>
    </w:p>
    <w:p w14:paraId="2051361C">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hint="eastAsia" w:ascii="仿宋" w:hAnsi="仿宋" w:eastAsia="仿宋" w:cs="仿宋"/>
          <w:b/>
          <w:color w:val="000000" w:themeColor="text1"/>
          <w:sz w:val="24"/>
          <w:szCs w:val="24"/>
          <w:highlight w:val="none"/>
          <w:lang w:eastAsia="zh-CN"/>
        </w:rPr>
      </w:pPr>
      <w:r>
        <w:rPr>
          <w:rFonts w:hint="eastAsia" w:ascii="仿宋" w:hAnsi="仿宋" w:eastAsia="仿宋" w:cs="仿宋"/>
          <w:b/>
          <w:color w:val="000000" w:themeColor="text1"/>
          <w:sz w:val="24"/>
          <w:szCs w:val="24"/>
          <w:highlight w:val="none"/>
          <w:lang w:eastAsia="zh-CN"/>
        </w:rPr>
        <w:t>12.违约解除合同</w:t>
      </w:r>
    </w:p>
    <w:p w14:paraId="2EC60D7D">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12.1.1 乙方未能在合同规定的限期或甲方同意延长的限期内，提供全部或部分货物的；</w:t>
      </w:r>
    </w:p>
    <w:p w14:paraId="11F0B104">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12.1.2 乙方未能履行合同规定的其他主要义务的；</w:t>
      </w:r>
    </w:p>
    <w:p w14:paraId="2ED23E04">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12.1.3 乙方在本合同履行过程中有欺诈行为的。</w:t>
      </w:r>
    </w:p>
    <w:p w14:paraId="437D2971">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hint="eastAsia" w:ascii="仿宋" w:hAnsi="仿宋" w:eastAsia="仿宋" w:cs="仿宋"/>
          <w:b w:val="0"/>
          <w:bCs w:val="0"/>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13.</w:t>
      </w:r>
      <w:bookmarkStart w:id="0" w:name="_Toc26328"/>
      <w:bookmarkStart w:id="1" w:name="_Toc23280"/>
      <w:bookmarkStart w:id="2" w:name="_Toc495505745"/>
      <w:bookmarkStart w:id="3" w:name="_Toc14186"/>
      <w:r>
        <w:rPr>
          <w:rFonts w:hint="eastAsia" w:ascii="仿宋" w:hAnsi="仿宋" w:eastAsia="仿宋" w:cs="仿宋"/>
          <w:b w:val="0"/>
          <w:bCs w:val="0"/>
          <w:color w:val="000000" w:themeColor="text1"/>
          <w:sz w:val="24"/>
          <w:szCs w:val="24"/>
          <w:highlight w:val="none"/>
          <w:lang w:eastAsia="zh-CN"/>
        </w:rPr>
        <w:t>不可抗力</w:t>
      </w:r>
      <w:bookmarkEnd w:id="0"/>
      <w:bookmarkEnd w:id="1"/>
      <w:bookmarkEnd w:id="2"/>
      <w:bookmarkEnd w:id="3"/>
    </w:p>
    <w:p w14:paraId="0955931E">
      <w:pPr>
        <w:shd w:val="clear" w:color="auto" w:fill="auto"/>
        <w:spacing w:line="380" w:lineRule="exact"/>
        <w:ind w:firstLine="480" w:firstLineChars="200"/>
        <w:rPr>
          <w:rFonts w:hint="eastAsia" w:ascii="仿宋" w:hAnsi="仿宋" w:eastAsia="仿宋" w:cs="仿宋"/>
          <w:color w:val="000000" w:themeColor="text1"/>
          <w:kern w:val="0"/>
          <w:sz w:val="24"/>
          <w:szCs w:val="24"/>
          <w:highlight w:val="none"/>
          <w:lang w:eastAsia="zh-CN"/>
        </w:rPr>
      </w:pPr>
      <w:r>
        <w:rPr>
          <w:rFonts w:hint="eastAsia" w:ascii="仿宋" w:hAnsi="仿宋" w:eastAsia="仿宋" w:cs="仿宋"/>
          <w:color w:val="000000" w:themeColor="text1"/>
          <w:kern w:val="0"/>
          <w:sz w:val="24"/>
          <w:szCs w:val="24"/>
          <w:highlight w:val="none"/>
          <w:lang w:eastAsia="zh-CN"/>
        </w:rPr>
        <w:t>13.1</w:t>
      </w:r>
      <w:r>
        <w:rPr>
          <w:rFonts w:hint="eastAsia" w:ascii="仿宋" w:hAnsi="仿宋" w:eastAsia="仿宋" w:cs="仿宋"/>
          <w:color w:val="000000" w:themeColor="text1"/>
          <w:sz w:val="24"/>
          <w:szCs w:val="24"/>
          <w:highlight w:val="none"/>
          <w:lang w:eastAsia="zh-CN"/>
        </w:rPr>
        <w:t xml:space="preserve"> </w:t>
      </w:r>
      <w:r>
        <w:rPr>
          <w:rFonts w:hint="eastAsia" w:ascii="仿宋" w:hAnsi="仿宋" w:eastAsia="仿宋" w:cs="仿宋"/>
          <w:color w:val="000000" w:themeColor="text1"/>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hint="eastAsia" w:ascii="仿宋" w:hAnsi="仿宋" w:eastAsia="仿宋" w:cs="仿宋"/>
          <w:color w:val="000000" w:themeColor="text1"/>
          <w:kern w:val="0"/>
          <w:sz w:val="24"/>
          <w:szCs w:val="24"/>
          <w:highlight w:val="none"/>
          <w:lang w:eastAsia="zh-CN"/>
        </w:rPr>
      </w:pPr>
      <w:r>
        <w:rPr>
          <w:rFonts w:hint="eastAsia" w:ascii="仿宋" w:hAnsi="仿宋" w:eastAsia="仿宋" w:cs="仿宋"/>
          <w:color w:val="000000" w:themeColor="text1"/>
          <w:kern w:val="0"/>
          <w:sz w:val="24"/>
          <w:szCs w:val="24"/>
          <w:highlight w:val="none"/>
          <w:lang w:eastAsia="zh-CN"/>
        </w:rPr>
        <w:t>13.2</w:t>
      </w:r>
      <w:r>
        <w:rPr>
          <w:rFonts w:hint="eastAsia" w:ascii="仿宋" w:hAnsi="仿宋" w:eastAsia="仿宋" w:cs="仿宋"/>
          <w:color w:val="000000" w:themeColor="text1"/>
          <w:sz w:val="24"/>
          <w:szCs w:val="24"/>
          <w:highlight w:val="none"/>
          <w:lang w:eastAsia="zh-CN"/>
        </w:rPr>
        <w:t xml:space="preserve"> </w:t>
      </w:r>
      <w:r>
        <w:rPr>
          <w:rFonts w:hint="eastAsia" w:ascii="仿宋" w:hAnsi="仿宋" w:eastAsia="仿宋" w:cs="仿宋"/>
          <w:color w:val="000000" w:themeColor="text1"/>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hint="eastAsia" w:ascii="仿宋" w:hAnsi="仿宋" w:eastAsia="仿宋" w:cs="仿宋"/>
          <w:color w:val="000000" w:themeColor="text1"/>
          <w:kern w:val="0"/>
          <w:sz w:val="24"/>
          <w:szCs w:val="24"/>
          <w:highlight w:val="none"/>
          <w:lang w:eastAsia="zh-CN"/>
        </w:rPr>
      </w:pPr>
      <w:r>
        <w:rPr>
          <w:rFonts w:hint="eastAsia" w:ascii="仿宋" w:hAnsi="仿宋" w:eastAsia="仿宋" w:cs="仿宋"/>
          <w:color w:val="000000" w:themeColor="text1"/>
          <w:kern w:val="0"/>
          <w:sz w:val="24"/>
          <w:szCs w:val="24"/>
          <w:highlight w:val="none"/>
          <w:lang w:eastAsia="zh-CN"/>
        </w:rPr>
        <w:t>13.3</w:t>
      </w:r>
      <w:r>
        <w:rPr>
          <w:rFonts w:hint="eastAsia" w:ascii="仿宋" w:hAnsi="仿宋" w:eastAsia="仿宋" w:cs="仿宋"/>
          <w:color w:val="000000" w:themeColor="text1"/>
          <w:sz w:val="24"/>
          <w:szCs w:val="24"/>
          <w:highlight w:val="none"/>
          <w:lang w:eastAsia="zh-CN"/>
        </w:rPr>
        <w:t xml:space="preserve"> </w:t>
      </w:r>
      <w:r>
        <w:rPr>
          <w:rFonts w:hint="eastAsia" w:ascii="仿宋" w:hAnsi="仿宋" w:eastAsia="仿宋" w:cs="仿宋"/>
          <w:color w:val="000000" w:themeColor="text1"/>
          <w:kern w:val="0"/>
          <w:sz w:val="24"/>
          <w:szCs w:val="24"/>
          <w:highlight w:val="none"/>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13.</w:t>
      </w:r>
      <w:r>
        <w:rPr>
          <w:rFonts w:hint="eastAsia" w:ascii="仿宋" w:hAnsi="仿宋" w:eastAsia="仿宋" w:cs="仿宋"/>
          <w:color w:val="000000" w:themeColor="text1"/>
          <w:kern w:val="0"/>
          <w:sz w:val="24"/>
          <w:szCs w:val="24"/>
          <w:highlight w:val="none"/>
          <w:lang w:eastAsia="zh-CN"/>
        </w:rPr>
        <w:t>4</w:t>
      </w:r>
      <w:r>
        <w:rPr>
          <w:rFonts w:hint="eastAsia" w:ascii="仿宋" w:hAnsi="仿宋" w:eastAsia="仿宋" w:cs="仿宋"/>
          <w:color w:val="000000" w:themeColor="text1"/>
          <w:sz w:val="24"/>
          <w:szCs w:val="24"/>
          <w:highlight w:val="none"/>
          <w:lang w:eastAsia="zh-CN"/>
        </w:rPr>
        <w:t xml:space="preserve"> </w:t>
      </w:r>
      <w:r>
        <w:rPr>
          <w:rFonts w:hint="eastAsia" w:ascii="仿宋" w:hAnsi="仿宋" w:eastAsia="仿宋" w:cs="仿宋"/>
          <w:color w:val="000000" w:themeColor="text1"/>
          <w:kern w:val="0"/>
          <w:sz w:val="24"/>
          <w:szCs w:val="24"/>
          <w:highlight w:val="none"/>
          <w:lang w:eastAsia="zh-CN"/>
        </w:rPr>
        <w:t>一方迟延履行后发生不可抗力的，不能免除责任。</w:t>
      </w:r>
    </w:p>
    <w:p w14:paraId="7544AB68">
      <w:pPr>
        <w:spacing w:beforeLines="-2147483648" w:afterLines="-2147483648" w:line="380" w:lineRule="exact"/>
        <w:ind w:firstLine="480" w:firstLineChars="200"/>
        <w:rPr>
          <w:rFonts w:hint="eastAsia" w:ascii="仿宋" w:hAnsi="仿宋" w:eastAsia="仿宋" w:cs="仿宋"/>
          <w:b w:val="0"/>
          <w:bCs w:val="0"/>
          <w:color w:val="000000" w:themeColor="text1"/>
          <w:sz w:val="24"/>
          <w:szCs w:val="24"/>
          <w:highlight w:val="none"/>
          <w:lang w:eastAsia="zh-CN"/>
        </w:rPr>
      </w:pPr>
      <w:r>
        <w:rPr>
          <w:rFonts w:hint="eastAsia" w:ascii="仿宋" w:hAnsi="仿宋" w:eastAsia="仿宋" w:cs="仿宋"/>
          <w:b w:val="0"/>
          <w:bCs w:val="0"/>
          <w:color w:val="000000" w:themeColor="text1"/>
          <w:sz w:val="24"/>
          <w:szCs w:val="24"/>
          <w:highlight w:val="none"/>
          <w:lang w:eastAsia="zh-CN"/>
        </w:rPr>
        <w:t>14.其他事项</w:t>
      </w:r>
    </w:p>
    <w:p w14:paraId="2F63D521">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仿宋" w:hAnsi="仿宋" w:eastAsia="仿宋" w:cs="仿宋"/>
          <w:color w:val="000000" w:themeColor="text1"/>
          <w:sz w:val="24"/>
          <w:szCs w:val="24"/>
          <w:highlight w:val="none"/>
          <w:lang w:val="en-US" w:eastAsia="zh-CN"/>
        </w:rPr>
      </w:pPr>
      <w:r>
        <w:rPr>
          <w:rFonts w:hint="eastAsia" w:ascii="仿宋" w:hAnsi="仿宋" w:eastAsia="仿宋" w:cs="仿宋"/>
          <w:color w:val="000000" w:themeColor="text1"/>
          <w:sz w:val="24"/>
          <w:szCs w:val="24"/>
          <w:highlight w:val="none"/>
          <w:lang w:val="en-US" w:eastAsia="zh-CN"/>
        </w:rPr>
        <w:t>a.合同附件（设备和软件的具体配置及技术参数，</w:t>
      </w:r>
      <w:r>
        <w:rPr>
          <w:rFonts w:hint="eastAsia" w:ascii="仿宋" w:hAnsi="仿宋" w:eastAsia="仿宋" w:cs="仿宋"/>
          <w:color w:val="000000" w:themeColor="text1"/>
          <w:sz w:val="24"/>
          <w:szCs w:val="24"/>
          <w:highlight w:val="none"/>
          <w:lang w:eastAsia="zh-CN"/>
        </w:rPr>
        <w:t>培训内容、标准和安排</w:t>
      </w:r>
      <w:r>
        <w:rPr>
          <w:rFonts w:hint="eastAsia" w:ascii="仿宋" w:hAnsi="仿宋" w:eastAsia="仿宋" w:cs="仿宋"/>
          <w:color w:val="000000" w:themeColor="text1"/>
          <w:sz w:val="24"/>
          <w:szCs w:val="24"/>
          <w:highlight w:val="none"/>
          <w:lang w:val="en-US" w:eastAsia="zh-CN"/>
        </w:rPr>
        <w:t>）；</w:t>
      </w:r>
    </w:p>
    <w:p w14:paraId="1258281C">
      <w:pPr>
        <w:spacing w:line="380" w:lineRule="exact"/>
        <w:ind w:firstLine="480" w:firstLineChars="200"/>
        <w:rPr>
          <w:rFonts w:hint="eastAsia" w:ascii="仿宋" w:hAnsi="仿宋" w:eastAsia="仿宋" w:cs="仿宋"/>
          <w:color w:val="000000" w:themeColor="text1"/>
          <w:sz w:val="24"/>
          <w:szCs w:val="24"/>
          <w:highlight w:val="none"/>
          <w:lang w:val="en-US" w:eastAsia="zh-CN"/>
        </w:rPr>
      </w:pPr>
      <w:r>
        <w:rPr>
          <w:rFonts w:hint="eastAsia" w:ascii="仿宋" w:hAnsi="仿宋" w:eastAsia="仿宋" w:cs="仿宋"/>
          <w:color w:val="000000" w:themeColor="text1"/>
          <w:sz w:val="24"/>
          <w:szCs w:val="24"/>
          <w:highlight w:val="none"/>
          <w:lang w:val="en-US" w:eastAsia="zh-CN"/>
        </w:rPr>
        <w:t>b.招标文件；</w:t>
      </w:r>
    </w:p>
    <w:p w14:paraId="7B8967EE">
      <w:pPr>
        <w:spacing w:line="380" w:lineRule="exact"/>
        <w:ind w:firstLine="480" w:firstLineChars="200"/>
        <w:rPr>
          <w:rFonts w:hint="eastAsia" w:ascii="仿宋" w:hAnsi="仿宋" w:eastAsia="仿宋" w:cs="仿宋"/>
          <w:color w:val="000000" w:themeColor="text1"/>
          <w:sz w:val="24"/>
          <w:szCs w:val="24"/>
          <w:highlight w:val="none"/>
          <w:lang w:val="en-US" w:eastAsia="zh-CN"/>
        </w:rPr>
      </w:pPr>
      <w:r>
        <w:rPr>
          <w:rFonts w:hint="eastAsia" w:ascii="仿宋" w:hAnsi="仿宋" w:eastAsia="仿宋" w:cs="仿宋"/>
          <w:color w:val="000000" w:themeColor="text1"/>
          <w:sz w:val="24"/>
          <w:szCs w:val="24"/>
          <w:highlight w:val="none"/>
          <w:lang w:val="en-US" w:eastAsia="zh-CN"/>
        </w:rPr>
        <w:t>c.投标文件；</w:t>
      </w:r>
    </w:p>
    <w:p w14:paraId="3C02867E">
      <w:pPr>
        <w:spacing w:line="380" w:lineRule="exact"/>
        <w:ind w:firstLine="480" w:firstLineChars="200"/>
        <w:rPr>
          <w:rFonts w:hint="eastAsia" w:ascii="仿宋" w:hAnsi="仿宋" w:eastAsia="仿宋" w:cs="仿宋"/>
          <w:color w:val="000000" w:themeColor="text1"/>
          <w:sz w:val="24"/>
          <w:szCs w:val="24"/>
          <w:highlight w:val="none"/>
          <w:lang w:val="en-US" w:eastAsia="zh-CN"/>
        </w:rPr>
      </w:pPr>
      <w:r>
        <w:rPr>
          <w:rFonts w:hint="eastAsia" w:ascii="仿宋" w:hAnsi="仿宋" w:eastAsia="仿宋" w:cs="仿宋"/>
          <w:color w:val="000000" w:themeColor="text1"/>
          <w:sz w:val="24"/>
          <w:szCs w:val="24"/>
          <w:highlight w:val="none"/>
          <w:lang w:val="en-US" w:eastAsia="zh-CN"/>
        </w:rPr>
        <w:t>d.进出口代理协议；</w:t>
      </w:r>
    </w:p>
    <w:p w14:paraId="4376EB17">
      <w:pPr>
        <w:spacing w:line="380" w:lineRule="exact"/>
        <w:ind w:firstLine="480" w:firstLineChars="200"/>
        <w:rPr>
          <w:rFonts w:hint="eastAsia" w:ascii="仿宋" w:hAnsi="仿宋" w:eastAsia="仿宋" w:cs="仿宋"/>
          <w:color w:val="000000" w:themeColor="text1"/>
          <w:sz w:val="24"/>
          <w:szCs w:val="24"/>
          <w:highlight w:val="none"/>
          <w:lang w:val="en-US" w:eastAsia="zh-CN"/>
        </w:rPr>
      </w:pPr>
      <w:r>
        <w:rPr>
          <w:rFonts w:hint="eastAsia" w:ascii="仿宋" w:hAnsi="仿宋" w:eastAsia="仿宋" w:cs="仿宋"/>
          <w:color w:val="000000" w:themeColor="text1"/>
          <w:sz w:val="24"/>
          <w:szCs w:val="24"/>
          <w:highlight w:val="none"/>
          <w:lang w:val="en-US" w:eastAsia="zh-CN"/>
        </w:rPr>
        <w:t>d.中标通知书。</w:t>
      </w:r>
    </w:p>
    <w:p w14:paraId="1E9B2B3A">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hint="eastAsia" w:ascii="仿宋" w:hAnsi="仿宋" w:eastAsia="仿宋" w:cs="仿宋"/>
          <w:color w:val="000000" w:themeColor="text1"/>
          <w:kern w:val="0"/>
          <w:sz w:val="24"/>
          <w:szCs w:val="24"/>
          <w:highlight w:val="none"/>
          <w:lang w:eastAsia="zh-CN"/>
        </w:rPr>
      </w:pPr>
      <w:bookmarkStart w:id="4" w:name="_Toc1081"/>
      <w:bookmarkStart w:id="5" w:name="_Toc495505746"/>
      <w:bookmarkStart w:id="6" w:name="_Toc11939"/>
      <w:bookmarkStart w:id="7" w:name="_Toc18101"/>
      <w:r>
        <w:rPr>
          <w:rFonts w:hint="eastAsia" w:ascii="仿宋" w:hAnsi="仿宋" w:eastAsia="仿宋" w:cs="仿宋"/>
          <w:b w:val="0"/>
          <w:bCs w:val="0"/>
          <w:color w:val="000000" w:themeColor="text1"/>
          <w:sz w:val="24"/>
          <w:szCs w:val="24"/>
          <w:highlight w:val="none"/>
          <w:lang w:eastAsia="zh-CN"/>
        </w:rPr>
        <w:t>1</w:t>
      </w:r>
      <w:r>
        <w:rPr>
          <w:rFonts w:hint="eastAsia" w:ascii="仿宋" w:hAnsi="仿宋" w:eastAsia="仿宋" w:cs="仿宋"/>
          <w:color w:val="000000" w:themeColor="text1"/>
          <w:sz w:val="24"/>
          <w:szCs w:val="24"/>
          <w:highlight w:val="none"/>
          <w:lang w:eastAsia="zh-CN"/>
        </w:rPr>
        <w:t>4</w:t>
      </w:r>
      <w:r>
        <w:rPr>
          <w:rFonts w:hint="eastAsia" w:ascii="仿宋" w:hAnsi="仿宋" w:eastAsia="仿宋" w:cs="仿宋"/>
          <w:b w:val="0"/>
          <w:bCs w:val="0"/>
          <w:color w:val="000000" w:themeColor="text1"/>
          <w:sz w:val="24"/>
          <w:szCs w:val="24"/>
          <w:highlight w:val="none"/>
          <w:lang w:eastAsia="zh-CN"/>
        </w:rPr>
        <w:t>.4</w:t>
      </w:r>
      <w:bookmarkEnd w:id="4"/>
      <w:bookmarkEnd w:id="5"/>
      <w:bookmarkEnd w:id="6"/>
      <w:bookmarkEnd w:id="7"/>
      <w:r>
        <w:rPr>
          <w:rFonts w:hint="eastAsia" w:ascii="仿宋" w:hAnsi="仿宋" w:eastAsia="仿宋" w:cs="仿宋"/>
          <w:color w:val="000000" w:themeColor="text1"/>
          <w:sz w:val="24"/>
          <w:szCs w:val="24"/>
          <w:highlight w:val="none"/>
          <w:lang w:eastAsia="zh-CN"/>
        </w:rPr>
        <w:t xml:space="preserve">  </w:t>
      </w:r>
      <w:r>
        <w:rPr>
          <w:rFonts w:hint="eastAsia" w:ascii="仿宋" w:hAnsi="仿宋" w:eastAsia="仿宋" w:cs="仿宋"/>
          <w:color w:val="000000" w:themeColor="text1"/>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14:paraId="63D15153">
      <w:pPr>
        <w:spacing w:line="380" w:lineRule="exact"/>
        <w:ind w:firstLine="480" w:firstLineChars="200"/>
        <w:rPr>
          <w:rFonts w:hint="eastAsia" w:ascii="仿宋" w:hAnsi="仿宋" w:eastAsia="仿宋" w:cs="仿宋"/>
          <w:color w:val="000000" w:themeColor="text1"/>
          <w:sz w:val="24"/>
          <w:szCs w:val="24"/>
          <w:highlight w:val="none"/>
          <w:lang w:eastAsia="zh-CN"/>
        </w:rPr>
      </w:pPr>
    </w:p>
    <w:p w14:paraId="23B64909">
      <w:pPr>
        <w:spacing w:beforeLines="50" w:afterLines="50"/>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合同签订地点：陕西职业技术学院</w:t>
      </w:r>
    </w:p>
    <w:p w14:paraId="29BBFC5F">
      <w:pPr>
        <w:spacing w:beforeLines="50" w:afterLines="50"/>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合同签订时间：</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rPr>
        <w:t>年</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rPr>
        <w:t>月</w:t>
      </w:r>
      <w:r>
        <w:rPr>
          <w:rFonts w:hint="eastAsia" w:ascii="仿宋" w:hAnsi="仿宋" w:eastAsia="仿宋" w:cs="仿宋"/>
          <w:color w:val="000000" w:themeColor="text1"/>
          <w:sz w:val="24"/>
          <w:szCs w:val="24"/>
          <w:highlight w:val="none"/>
          <w:u w:val="single"/>
          <w:lang w:eastAsia="zh-CN"/>
        </w:rPr>
        <w:t xml:space="preserve">       </w:t>
      </w:r>
      <w:r>
        <w:rPr>
          <w:rFonts w:hint="eastAsia" w:ascii="仿宋" w:hAnsi="仿宋" w:eastAsia="仿宋" w:cs="仿宋"/>
          <w:color w:val="000000" w:themeColor="text1"/>
          <w:sz w:val="24"/>
          <w:szCs w:val="24"/>
          <w:highlight w:val="none"/>
        </w:rPr>
        <w:t>日</w:t>
      </w:r>
    </w:p>
    <w:tbl>
      <w:tblPr>
        <w:tblStyle w:val="13"/>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甲方(盖章):陕西职业技术学院</w:t>
            </w:r>
          </w:p>
        </w:tc>
        <w:tc>
          <w:tcPr>
            <w:tcW w:w="4485" w:type="dxa"/>
            <w:vAlign w:val="center"/>
          </w:tcPr>
          <w:p w14:paraId="28012D89">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地址：西安市灞桥区狄寨路2028号</w:t>
            </w:r>
          </w:p>
        </w:tc>
        <w:tc>
          <w:tcPr>
            <w:tcW w:w="4485" w:type="dxa"/>
            <w:vAlign w:val="center"/>
          </w:tcPr>
          <w:p w14:paraId="303BBBFF">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法定代表人(签字):</w:t>
            </w:r>
          </w:p>
        </w:tc>
        <w:tc>
          <w:tcPr>
            <w:tcW w:w="4485" w:type="dxa"/>
            <w:vAlign w:val="center"/>
          </w:tcPr>
          <w:p w14:paraId="62C678F8">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委托代理人(签字):</w:t>
            </w:r>
          </w:p>
        </w:tc>
        <w:tc>
          <w:tcPr>
            <w:tcW w:w="4485" w:type="dxa"/>
            <w:vAlign w:val="center"/>
          </w:tcPr>
          <w:p w14:paraId="0DDD38C5">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联系人：</w:t>
            </w:r>
          </w:p>
        </w:tc>
        <w:tc>
          <w:tcPr>
            <w:tcW w:w="4485" w:type="dxa"/>
            <w:vAlign w:val="center"/>
          </w:tcPr>
          <w:p w14:paraId="52866862">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联系电话：</w:t>
            </w:r>
          </w:p>
        </w:tc>
        <w:tc>
          <w:tcPr>
            <w:tcW w:w="4485" w:type="dxa"/>
            <w:vAlign w:val="center"/>
          </w:tcPr>
          <w:p w14:paraId="7C0BF572">
            <w:pPr>
              <w:jc w:val="both"/>
              <w:rPr>
                <w:rFonts w:hint="eastAsia" w:ascii="仿宋" w:hAnsi="仿宋" w:eastAsia="仿宋" w:cs="仿宋"/>
                <w:color w:val="000000" w:themeColor="text1"/>
                <w:sz w:val="24"/>
                <w:szCs w:val="24"/>
                <w:highlight w:val="none"/>
              </w:rPr>
            </w:pPr>
            <w:r>
              <w:rPr>
                <w:rFonts w:hint="eastAsia" w:ascii="仿宋" w:hAnsi="仿宋" w:eastAsia="仿宋" w:cs="仿宋"/>
                <w:color w:val="000000" w:themeColor="text1"/>
                <w:sz w:val="24"/>
                <w:szCs w:val="24"/>
                <w:highlight w:val="none"/>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电子邮箱：</w:t>
            </w:r>
          </w:p>
        </w:tc>
        <w:tc>
          <w:tcPr>
            <w:tcW w:w="4485" w:type="dxa"/>
            <w:vAlign w:val="center"/>
          </w:tcPr>
          <w:p w14:paraId="4525FD96">
            <w:pPr>
              <w:jc w:val="both"/>
              <w:rPr>
                <w:rFonts w:hint="eastAsia" w:ascii="仿宋" w:hAnsi="仿宋" w:eastAsia="仿宋" w:cs="仿宋"/>
                <w:color w:val="000000" w:themeColor="text1"/>
                <w:sz w:val="24"/>
                <w:szCs w:val="24"/>
                <w:highlight w:val="none"/>
                <w:lang w:eastAsia="zh-CN"/>
              </w:rPr>
            </w:pPr>
            <w:r>
              <w:rPr>
                <w:rFonts w:hint="eastAsia" w:ascii="仿宋" w:hAnsi="仿宋" w:eastAsia="仿宋" w:cs="仿宋"/>
                <w:color w:val="000000" w:themeColor="text1"/>
                <w:sz w:val="24"/>
                <w:szCs w:val="24"/>
                <w:highlight w:val="none"/>
                <w:lang w:eastAsia="zh-CN"/>
              </w:rPr>
              <w:t>电子邮箱：</w:t>
            </w:r>
          </w:p>
        </w:tc>
      </w:tr>
    </w:tbl>
    <w:p w14:paraId="11F4D991">
      <w:pPr>
        <w:pStyle w:val="14"/>
        <w:rPr>
          <w:rFonts w:hint="eastAsia"/>
          <w:color w:val="auto"/>
          <w:highlight w:val="none"/>
          <w:lang w:val="en-US" w:eastAsia="zh-Hans"/>
        </w:rPr>
      </w:pPr>
    </w:p>
    <w:p w14:paraId="336827EA">
      <w:pPr>
        <w:rPr>
          <w:rFonts w:hint="eastAsia"/>
        </w:rPr>
      </w:pPr>
      <w:bookmarkStart w:id="8" w:name="_GoBack"/>
      <w:bookmarkEnd w:id="8"/>
    </w:p>
    <w:sectPr>
      <w:footerReference r:id="rId3" w:type="default"/>
      <w:pgSz w:w="11906" w:h="16838"/>
      <w:pgMar w:top="1440" w:right="1440" w:bottom="1440" w:left="144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18048">
    <w:pPr>
      <w:pStyle w:val="6"/>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v:imagedata o:title=""/>
          <o:lock v:ext="edit" aspectratio="f"/>
          <v:textbox inset="0mm,0mm,0mm,0mm" style="mso-fit-shape-to-text:t;">
            <w:txbxContent>
              <w:p w14:paraId="0CCA5CA2">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142EA8"/>
    <w:rsid w:val="00263520"/>
    <w:rsid w:val="002B3606"/>
    <w:rsid w:val="002C2299"/>
    <w:rsid w:val="00364DE4"/>
    <w:rsid w:val="003905EB"/>
    <w:rsid w:val="003A5407"/>
    <w:rsid w:val="00482B40"/>
    <w:rsid w:val="004C08DC"/>
    <w:rsid w:val="004D47E3"/>
    <w:rsid w:val="00557FB6"/>
    <w:rsid w:val="00603266"/>
    <w:rsid w:val="0064619E"/>
    <w:rsid w:val="006E0C10"/>
    <w:rsid w:val="007D4B86"/>
    <w:rsid w:val="008332E1"/>
    <w:rsid w:val="00842182"/>
    <w:rsid w:val="00860A81"/>
    <w:rsid w:val="008903DD"/>
    <w:rsid w:val="008D330C"/>
    <w:rsid w:val="00903678"/>
    <w:rsid w:val="00911137"/>
    <w:rsid w:val="00936F22"/>
    <w:rsid w:val="009817F0"/>
    <w:rsid w:val="00986681"/>
    <w:rsid w:val="00A8471A"/>
    <w:rsid w:val="00AA4B3E"/>
    <w:rsid w:val="00AB501A"/>
    <w:rsid w:val="00B057A4"/>
    <w:rsid w:val="00B95912"/>
    <w:rsid w:val="00BB236D"/>
    <w:rsid w:val="00BF1F87"/>
    <w:rsid w:val="00E24583"/>
    <w:rsid w:val="00E2508E"/>
    <w:rsid w:val="00E4611D"/>
    <w:rsid w:val="00EB18EF"/>
    <w:rsid w:val="00F22D4C"/>
    <w:rsid w:val="00F5358B"/>
    <w:rsid w:val="00FA7C9B"/>
    <w:rsid w:val="00FB1DF6"/>
    <w:rsid w:val="081F4440"/>
    <w:rsid w:val="0A6D2DFC"/>
    <w:rsid w:val="0BB71511"/>
    <w:rsid w:val="17B60A4A"/>
    <w:rsid w:val="1BED6A38"/>
    <w:rsid w:val="1EB66348"/>
    <w:rsid w:val="1F080FF5"/>
    <w:rsid w:val="21F45DDF"/>
    <w:rsid w:val="24BF75D6"/>
    <w:rsid w:val="27741719"/>
    <w:rsid w:val="2D902BB8"/>
    <w:rsid w:val="30002781"/>
    <w:rsid w:val="3A8E12EF"/>
    <w:rsid w:val="3C3710F4"/>
    <w:rsid w:val="40DC0B82"/>
    <w:rsid w:val="43AF03B2"/>
    <w:rsid w:val="44CA47E8"/>
    <w:rsid w:val="480E5284"/>
    <w:rsid w:val="517B4897"/>
    <w:rsid w:val="528125D9"/>
    <w:rsid w:val="538400C8"/>
    <w:rsid w:val="53A90B96"/>
    <w:rsid w:val="56113377"/>
    <w:rsid w:val="5D3477C3"/>
    <w:rsid w:val="5FC4468B"/>
    <w:rsid w:val="624B1296"/>
    <w:rsid w:val="69BB6FFA"/>
    <w:rsid w:val="6EE027D9"/>
    <w:rsid w:val="72DA4C29"/>
    <w:rsid w:val="73F1491F"/>
    <w:rsid w:val="78201ABD"/>
    <w:rsid w:val="78E356DE"/>
    <w:rsid w:val="79F415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2"/>
    <w:basedOn w:val="1"/>
    <w:qFormat/>
    <w:uiPriority w:val="0"/>
    <w:pPr>
      <w:ind w:left="555"/>
    </w:pPr>
    <w:rPr>
      <w:sz w:val="28"/>
      <w:szCs w:val="20"/>
    </w:rPr>
  </w:style>
  <w:style w:type="paragraph" w:styleId="6">
    <w:name w:val="footer"/>
    <w:basedOn w:val="1"/>
    <w:link w:val="11"/>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脚 Char"/>
    <w:basedOn w:val="10"/>
    <w:link w:val="6"/>
    <w:qFormat/>
    <w:uiPriority w:val="0"/>
    <w:rPr>
      <w:kern w:val="2"/>
      <w:sz w:val="18"/>
      <w:szCs w:val="18"/>
    </w:rPr>
  </w:style>
  <w:style w:type="character" w:customStyle="1" w:styleId="12">
    <w:name w:val="页眉 Char"/>
    <w:basedOn w:val="10"/>
    <w:link w:val="7"/>
    <w:qFormat/>
    <w:uiPriority w:val="0"/>
    <w:rPr>
      <w:kern w:val="2"/>
      <w:sz w:val="18"/>
      <w:szCs w:val="18"/>
    </w:rPr>
  </w:style>
  <w:style w:type="table" w:customStyle="1" w:styleId="13">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6157</Words>
  <Characters>6441</Characters>
  <Lines>16</Lines>
  <Paragraphs>4</Paragraphs>
  <TotalTime>0</TotalTime>
  <ScaleCrop>false</ScaleCrop>
  <LinksUpToDate>false</LinksUpToDate>
  <CharactersWithSpaces>6716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2007-04-09T01:20:00Z</dcterms:created>
  <dc:creator>Billgates</dc:creator>
  <cp:lastModifiedBy>李雨</cp:lastModifiedBy>
  <cp:lastPrinted>2004-08-17T04:14:00Z</cp:lastPrinted>
  <dcterms:modified xsi:type="dcterms:W3CDTF">2026-07-21T01:05:16Z</dcterms:modified>
  <dc:title>西北大学购货合同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7A6A72AE94B440F2B166CBB4DBDD3F76_13</vt:lpwstr>
  </property>
  <property fmtid="{D5CDD505-2E9C-101B-9397-08002B2CF9AE}" pid="4" name="KSOTemplateDocerSaveRecord">
    <vt:lpwstr>eyJoZGlkIjoiNDI0YzZjNGVmMzA5N2Y4ZmZlZDQxNGEyYzcyYzQ3YzUiLCJ1c2VySWQiOiIyNTg5NTgwNjkifQ==</vt:lpwstr>
  </property>
</Properties>
</file>