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版本号：YYZB-2026-02120260622001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2026年西安市鄠邑区青年乡创客服务中心建设项目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YYZB-2026-021</w:t>
      </w:r>
      <w:r>
        <w:br/>
      </w:r>
      <w:r>
        <w:br/>
      </w:r>
      <w:r>
        <w:br/>
      </w:r>
    </w:p>
    <w:p>
      <w:pPr>
        <w:pStyle w:val="null3"/>
        <w:jc w:val="center"/>
        <w:outlineLvl w:val="5"/>
      </w:pPr>
      <w:r>
        <w:rPr>
          <w:rFonts w:ascii="仿宋_GB2312" w:hAnsi="仿宋_GB2312" w:cs="仿宋_GB2312" w:eastAsia="仿宋_GB2312"/>
          <w:sz w:val="15"/>
          <w:b/>
        </w:rPr>
        <w:t>西安市鄠邑区农业农村局</w:t>
      </w:r>
    </w:p>
    <w:p>
      <w:pPr>
        <w:pStyle w:val="null3"/>
        <w:jc w:val="center"/>
        <w:outlineLvl w:val="5"/>
      </w:pPr>
      <w:r>
        <w:rPr>
          <w:rFonts w:ascii="仿宋_GB2312" w:hAnsi="仿宋_GB2312" w:cs="仿宋_GB2312" w:eastAsia="仿宋_GB2312"/>
          <w:sz w:val="15"/>
          <w:b/>
        </w:rPr>
        <w:t>耀阳项目管理（陕西）有限公司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耀阳项目管理（陕西）有限公司</w:t>
      </w:r>
      <w:r>
        <w:rPr>
          <w:rFonts w:ascii="仿宋_GB2312" w:hAnsi="仿宋_GB2312" w:cs="仿宋_GB2312" w:eastAsia="仿宋_GB2312"/>
        </w:rPr>
        <w:t>（以下简称“代理机构”）受</w:t>
      </w:r>
      <w:r>
        <w:rPr>
          <w:rFonts w:ascii="仿宋_GB2312" w:hAnsi="仿宋_GB2312" w:cs="仿宋_GB2312" w:eastAsia="仿宋_GB2312"/>
        </w:rPr>
        <w:t>西安市鄠邑区农业农村局</w:t>
      </w:r>
      <w:r>
        <w:rPr>
          <w:rFonts w:ascii="仿宋_GB2312" w:hAnsi="仿宋_GB2312" w:cs="仿宋_GB2312" w:eastAsia="仿宋_GB2312"/>
        </w:rPr>
        <w:t>委托，拟对</w:t>
      </w:r>
      <w:r>
        <w:rPr>
          <w:rFonts w:ascii="仿宋_GB2312" w:hAnsi="仿宋_GB2312" w:cs="仿宋_GB2312" w:eastAsia="仿宋_GB2312"/>
        </w:rPr>
        <w:t>2026年西安市鄠邑区青年乡创客服务中心建设项目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YYZB-2026-021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2026年西安市鄠邑区青年乡创客服务中心建设项目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2026年西安市鄠邑区青年乡创客服务中心建设项目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采购包1（2026年西安市鄠邑区青年乡创客服务中心建设项目）：属于专门面向中小企业采购。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参加投标的，须出具法定代表人身份证明书及身份证复印件。法定代表人授权委托代理人参加投标的，须出具法定代表人授权委托书及委托代理人身份证复印件；</w:t>
      </w:r>
    </w:p>
    <w:p>
      <w:pPr>
        <w:pStyle w:val="null3"/>
      </w:pPr>
      <w:r>
        <w:rPr>
          <w:rFonts w:ascii="仿宋_GB2312" w:hAnsi="仿宋_GB2312" w:cs="仿宋_GB2312" w:eastAsia="仿宋_GB2312"/>
        </w:rPr>
        <w:t>2、营业执照等主体资格证明文件：提供统一社会信用代码的营业执照或其他组织经营的合法凭证或自然人的提供身份证明文件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3、财务状况报告：提供具有财务审计资质单位出具的2025年度财务报告或磋商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4、社保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6、具备履行合同所必须的设备和专业技术能力：提供具有履行本合同所必需的设备和专业技术能力的声明；</w:t>
      </w:r>
    </w:p>
    <w:p>
      <w:pPr>
        <w:pStyle w:val="null3"/>
      </w:pPr>
      <w:r>
        <w:rPr>
          <w:rFonts w:ascii="仿宋_GB2312" w:hAnsi="仿宋_GB2312" w:cs="仿宋_GB2312" w:eastAsia="仿宋_GB2312"/>
        </w:rPr>
        <w:t>7、信用记录：经查，供应商未被列入“信用中国”网站记录的“ 失信被执行人”或“重大税收违法案件当事人”名 单；不处于“中国政府采购网”记录的“政府采购 严重违法失信行为记录名单”中的禁止参加政府 采购活动期间。</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西安市鄠邑区东街７号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13636819776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耀阳项目管理（陕西）有限公司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陕西省西安市雁塔区陕西省西安市高新区高新二路9号创业咖啡街区天使楼9楼1-9-474号房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18966745561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代理服务费收费标准：招标代理服务费：¥20000.00元；大写：贰万元整。</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西安市鄠邑区农业农村局</w:t>
      </w:r>
      <w:r>
        <w:rPr>
          <w:rFonts w:ascii="仿宋_GB2312" w:hAnsi="仿宋_GB2312" w:cs="仿宋_GB2312" w:eastAsia="仿宋_GB2312"/>
        </w:rPr>
        <w:t>和</w:t>
      </w:r>
      <w:r>
        <w:rPr>
          <w:rFonts w:ascii="仿宋_GB2312" w:hAnsi="仿宋_GB2312" w:cs="仿宋_GB2312" w:eastAsia="仿宋_GB2312"/>
        </w:rPr>
        <w:t>耀阳项目管理（陕西）有限公司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耀阳项目管理（陕西）有限公司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西安市鄠邑区农业农村局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耀阳项目管理（陕西）有限公司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按文件要求验收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联系人：孟凡博</w:t>
      </w:r>
    </w:p>
    <w:p>
      <w:pPr>
        <w:pStyle w:val="null3"/>
      </w:pPr>
      <w:r>
        <w:rPr>
          <w:rFonts w:ascii="仿宋_GB2312" w:hAnsi="仿宋_GB2312" w:cs="仿宋_GB2312" w:eastAsia="仿宋_GB2312"/>
        </w:rPr>
        <w:t>联系电话：81325677</w:t>
      </w:r>
    </w:p>
    <w:p>
      <w:pPr>
        <w:pStyle w:val="null3"/>
      </w:pPr>
      <w:r>
        <w:rPr>
          <w:rFonts w:ascii="仿宋_GB2312" w:hAnsi="仿宋_GB2312" w:cs="仿宋_GB2312" w:eastAsia="仿宋_GB2312"/>
        </w:rPr>
        <w:t>地址：科技六路高新时代广场B座1910</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 xml:space="preserve"> 2026年西安市鄠邑区青年乡创客服务中心建设项目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2026年西安市鄠邑区青年乡创客服务中心建设项目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标的名称：2026年西安市鄠邑区青年乡创客服务中心建设项目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3"/>
              <w:gridCol w:w="126"/>
              <w:gridCol w:w="117"/>
              <w:gridCol w:w="1337"/>
              <w:gridCol w:w="749"/>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分值</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项目实施内容</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佐证资料清单</w:t>
                  </w: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空间运营</w:t>
                  </w:r>
                  <w:r>
                    <w:br/>
                  </w:r>
                  <w:r>
                    <w:rPr>
                      <w:rFonts w:ascii="仿宋_GB2312" w:hAnsi="仿宋_GB2312" w:cs="仿宋_GB2312" w:eastAsia="仿宋_GB2312"/>
                      <w:sz w:val="24"/>
                      <w:b/>
                    </w:rPr>
                    <w:t>（</w:t>
                  </w:r>
                  <w:r>
                    <w:rPr>
                      <w:rFonts w:ascii="仿宋_GB2312" w:hAnsi="仿宋_GB2312" w:cs="仿宋_GB2312" w:eastAsia="仿宋_GB2312"/>
                      <w:sz w:val="24"/>
                      <w:b/>
                    </w:rPr>
                    <w:t>8分）</w:t>
                  </w:r>
                </w:p>
              </w:tc>
              <w:tc>
                <w:tcPr>
                  <w:tcW w:type="dxa" w:w="1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8分</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组建不少于</w:t>
                  </w:r>
                  <w:r>
                    <w:rPr>
                      <w:rFonts w:ascii="仿宋_GB2312" w:hAnsi="仿宋_GB2312" w:cs="仿宋_GB2312" w:eastAsia="仿宋_GB2312"/>
                      <w:sz w:val="24"/>
                    </w:rPr>
                    <w:t>6人的专业团队负责中心的决策、管理、日常运行工作，包括1名中心负责人和不少于5名相关方面专员。及时足额支付人员工资补贴，保障运行团队人员稳定。负责及时足额缴纳中心及相关场地的水、电、气、网等运行费用，负责乡创客中心内外部的环境清扫保洁和内外部设施的日常维护维修。</w:t>
                  </w:r>
                </w:p>
              </w:tc>
              <w:tc>
                <w:tcPr>
                  <w:tcW w:type="dxa" w:w="7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1.乡创客服务中心人员结构情况，人员考勤表、人员工资支付明细，专职人员劳动合同、社保缴纳凭证。</w:t>
                  </w:r>
                  <w:r>
                    <w:br/>
                  </w:r>
                  <w:r>
                    <w:rPr>
                      <w:rFonts w:ascii="仿宋_GB2312" w:hAnsi="仿宋_GB2312" w:cs="仿宋_GB2312" w:eastAsia="仿宋_GB2312"/>
                      <w:sz w:val="24"/>
                    </w:rPr>
                    <w:t xml:space="preserve">    </w:t>
                  </w:r>
                  <w:r>
                    <w:rPr>
                      <w:rFonts w:ascii="仿宋_GB2312" w:hAnsi="仿宋_GB2312" w:cs="仿宋_GB2312" w:eastAsia="仿宋_GB2312"/>
                      <w:sz w:val="24"/>
                    </w:rPr>
                    <w:t>2.中心的水、电、气、网等运行费用及日常保洁、维护维修费用清单。</w:t>
                  </w:r>
                </w:p>
              </w:tc>
            </w:tr>
            <w:tr>
              <w:tc>
                <w:tcPr>
                  <w:tcW w:type="dxa" w:w="213"/>
                  <w:vMerge/>
                  <w:tcBorders>
                    <w:top w:val="none" w:color="000000" w:sz="4"/>
                    <w:left w:val="single" w:color="000000" w:sz="4"/>
                    <w:bottom w:val="single" w:color="000000" w:sz="4"/>
                    <w:right w:val="single" w:color="000000" w:sz="4"/>
                  </w:tcBorders>
                </w:tcPr>
                <w:p/>
              </w:tc>
              <w:tc>
                <w:tcPr>
                  <w:tcW w:type="dxa" w:w="126"/>
                  <w:vMerge/>
                  <w:tcBorders>
                    <w:top w:val="none" w:color="000000" w:sz="4"/>
                    <w:left w:val="none" w:color="000000" w:sz="4"/>
                    <w:bottom w:val="single" w:color="000000" w:sz="4"/>
                    <w:right w:val="single" w:color="000000" w:sz="4"/>
                  </w:tcBorders>
                </w:tcPr>
                <w:p/>
              </w:tc>
              <w:tc>
                <w:tcPr>
                  <w:tcW w:type="dxa" w:w="117"/>
                  <w:vMerge/>
                  <w:tcBorders>
                    <w:top w:val="none" w:color="000000" w:sz="4"/>
                    <w:left w:val="non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r>
            <w:tr>
              <w:tc>
                <w:tcPr>
                  <w:tcW w:type="dxa" w:w="213"/>
                  <w:vMerge/>
                  <w:tcBorders>
                    <w:top w:val="none" w:color="000000" w:sz="4"/>
                    <w:left w:val="single" w:color="000000" w:sz="4"/>
                    <w:bottom w:val="single" w:color="000000" w:sz="4"/>
                    <w:right w:val="single" w:color="000000" w:sz="4"/>
                  </w:tcBorders>
                </w:tcPr>
                <w:p/>
              </w:tc>
              <w:tc>
                <w:tcPr>
                  <w:tcW w:type="dxa" w:w="126"/>
                  <w:vMerge/>
                  <w:tcBorders>
                    <w:top w:val="none" w:color="000000" w:sz="4"/>
                    <w:left w:val="none" w:color="000000" w:sz="4"/>
                    <w:bottom w:val="single" w:color="000000" w:sz="4"/>
                    <w:right w:val="single" w:color="000000" w:sz="4"/>
                  </w:tcBorders>
                </w:tcPr>
                <w:p/>
              </w:tc>
              <w:tc>
                <w:tcPr>
                  <w:tcW w:type="dxa" w:w="117"/>
                  <w:vMerge/>
                  <w:tcBorders>
                    <w:top w:val="none" w:color="000000" w:sz="4"/>
                    <w:left w:val="none" w:color="000000" w:sz="4"/>
                    <w:bottom w:val="singl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负责根据需要足额采购中心办公用品、会议用品、小型设施设备等中心基本运行所需，保障中心日常办公费、会议费、小型接待等费用支出。负责支付中心建设成本</w:t>
                  </w:r>
                  <w:r>
                    <w:rPr>
                      <w:rFonts w:ascii="仿宋_GB2312" w:hAnsi="仿宋_GB2312" w:cs="仿宋_GB2312" w:eastAsia="仿宋_GB2312"/>
                      <w:sz w:val="24"/>
                    </w:rPr>
                    <w:t>28.5万元/年、村集体资产租金4.84万元/年及乡创客市集软装成本4万/年。</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采购办公用品、会议用品、小型设施设备等费用支出清单明细，支付中心建设成本及租金相关支付票据等。</w:t>
                  </w:r>
                </w:p>
              </w:tc>
            </w:tr>
            <w:tr>
              <w:tc>
                <w:tcPr>
                  <w:tcW w:type="dxa" w:w="21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空间运营</w:t>
                  </w:r>
                  <w:r>
                    <w:br/>
                  </w:r>
                  <w:r>
                    <w:rPr>
                      <w:rFonts w:ascii="仿宋_GB2312" w:hAnsi="仿宋_GB2312" w:cs="仿宋_GB2312" w:eastAsia="仿宋_GB2312"/>
                      <w:sz w:val="24"/>
                      <w:b/>
                    </w:rPr>
                    <w:t>（</w:t>
                  </w:r>
                  <w:r>
                    <w:rPr>
                      <w:rFonts w:ascii="仿宋_GB2312" w:hAnsi="仿宋_GB2312" w:cs="仿宋_GB2312" w:eastAsia="仿宋_GB2312"/>
                      <w:sz w:val="24"/>
                      <w:b/>
                    </w:rPr>
                    <w:t>8分）</w:t>
                  </w:r>
                </w:p>
              </w:tc>
              <w:tc>
                <w:tcPr>
                  <w:tcW w:type="dxa" w:w="1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8分</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负责青年乡创客服务中心全年运行保障，实行每日开放不少于</w:t>
                  </w:r>
                  <w:r>
                    <w:rPr>
                      <w:rFonts w:ascii="仿宋_GB2312" w:hAnsi="仿宋_GB2312" w:cs="仿宋_GB2312" w:eastAsia="仿宋_GB2312"/>
                      <w:sz w:val="24"/>
                    </w:rPr>
                    <w:t>8小时、节假日正常开放、全年无休制度，确保项目稳定高效运转。重点完善服务中心综合服务功能，主要服务数字游民社群及乡创客群体，满足日常交流、活动开展、便民服务等常态化需求。</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乡创客服务中心运营讲座会务、开放日志、值班表、监控记录等相关图片资料。</w:t>
                  </w:r>
                </w:p>
              </w:tc>
            </w:tr>
            <w:tr>
              <w:tc>
                <w:tcPr>
                  <w:tcW w:type="dxa" w:w="213"/>
                  <w:vMerge/>
                  <w:tcBorders>
                    <w:top w:val="none" w:color="000000" w:sz="4"/>
                    <w:left w:val="single" w:color="000000" w:sz="4"/>
                    <w:bottom w:val="none" w:color="000000" w:sz="4"/>
                    <w:right w:val="single" w:color="000000" w:sz="4"/>
                  </w:tcBorders>
                </w:tcPr>
                <w:p/>
              </w:tc>
              <w:tc>
                <w:tcPr>
                  <w:tcW w:type="dxa" w:w="126"/>
                  <w:vMerge/>
                  <w:tcBorders>
                    <w:top w:val="none" w:color="000000" w:sz="4"/>
                    <w:left w:val="none" w:color="000000" w:sz="4"/>
                    <w:bottom w:val="none" w:color="000000" w:sz="4"/>
                    <w:right w:val="single" w:color="000000" w:sz="4"/>
                  </w:tcBorders>
                </w:tcPr>
                <w:p/>
              </w:tc>
              <w:tc>
                <w:tcPr>
                  <w:tcW w:type="dxa" w:w="117"/>
                  <w:vMerge/>
                  <w:tcBorders>
                    <w:top w:val="none" w:color="000000" w:sz="4"/>
                    <w:left w:val="none" w:color="000000" w:sz="4"/>
                    <w:bottom w:val="non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负责乡创客市集全年正常运行，优先用于拓展乡创客服务中心服务空间，有效承载乡村创业人员共享办公、乡创项目孵化培育，满足乡创客服务中心举办大型创客会议、讲座会务、产业路演、办公配套等需求。</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乡创客市集日常运行、大型创客会议、讲座会务等相关图片资料。</w:t>
                  </w:r>
                </w:p>
              </w:tc>
            </w:tr>
            <w:tr>
              <w:tc>
                <w:tcPr>
                  <w:tcW w:type="dxa" w:w="213"/>
                  <w:vMerge/>
                  <w:tcBorders>
                    <w:top w:val="none" w:color="000000" w:sz="4"/>
                    <w:left w:val="single" w:color="000000" w:sz="4"/>
                    <w:bottom w:val="none" w:color="000000" w:sz="4"/>
                    <w:right w:val="single" w:color="000000" w:sz="4"/>
                  </w:tcBorders>
                </w:tcPr>
                <w:p/>
              </w:tc>
              <w:tc>
                <w:tcPr>
                  <w:tcW w:type="dxa" w:w="126"/>
                  <w:vMerge/>
                  <w:tcBorders>
                    <w:top w:val="none" w:color="000000" w:sz="4"/>
                    <w:left w:val="none" w:color="000000" w:sz="4"/>
                    <w:bottom w:val="none" w:color="000000" w:sz="4"/>
                    <w:right w:val="single" w:color="000000" w:sz="4"/>
                  </w:tcBorders>
                </w:tcPr>
                <w:p/>
              </w:tc>
              <w:tc>
                <w:tcPr>
                  <w:tcW w:type="dxa" w:w="117"/>
                  <w:vMerge/>
                  <w:tcBorders>
                    <w:top w:val="none" w:color="000000" w:sz="4"/>
                    <w:left w:val="none" w:color="000000" w:sz="4"/>
                    <w:bottom w:val="non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完善办公设备、活动场地等硬件设施，确保所有硬件可正常使用，保障日常运营与活动开展。</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设施巡检记录、维修台账。</w:t>
                  </w: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职能定位，发挥鄠邑乡创客服务中心</w:t>
                  </w:r>
                  <w:r>
                    <w:rPr>
                      <w:rFonts w:ascii="仿宋_GB2312" w:hAnsi="仿宋_GB2312" w:cs="仿宋_GB2312" w:eastAsia="仿宋_GB2312"/>
                      <w:sz w:val="24"/>
                      <w:b/>
                      <w:color w:val="000000"/>
                    </w:rPr>
                    <w:t>“六大中心”职能</w:t>
                  </w:r>
                  <w:r>
                    <w:br/>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3分）</w:t>
                  </w:r>
                </w:p>
              </w:tc>
              <w:tc>
                <w:tcPr>
                  <w:tcW w:type="dxa" w:w="1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1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3分</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1）乡村创客展示和流量中心：</w:t>
                  </w:r>
                  <w:r>
                    <w:rPr>
                      <w:rFonts w:ascii="仿宋_GB2312" w:hAnsi="仿宋_GB2312" w:cs="仿宋_GB2312" w:eastAsia="仿宋_GB2312"/>
                      <w:sz w:val="24"/>
                      <w:color w:val="000000"/>
                    </w:rPr>
                    <w:t>编制专业讲解案例、材料，通过音视频、展板等形式进行展示，讲好乡创故事、宣传乡创政策，吸引青年乡村创业者进入</w:t>
                  </w:r>
                  <w:r>
                    <w:rPr>
                      <w:rFonts w:ascii="仿宋_GB2312" w:hAnsi="仿宋_GB2312" w:cs="仿宋_GB2312" w:eastAsia="仿宋_GB2312"/>
                      <w:sz w:val="24"/>
                      <w:color w:val="000000"/>
                    </w:rPr>
                    <w:t>“乡创意向线索池”，成为有意向到鄠邑区乡村创业青年的导入窗口和流量分发中心；</w:t>
                  </w:r>
                </w:p>
              </w:tc>
              <w:tc>
                <w:tcPr>
                  <w:tcW w:type="dxa" w:w="7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乡创客服务中心总体职责、组织架构、六大中心工作开展情况及活动资料。</w:t>
                  </w:r>
                </w:p>
              </w:tc>
            </w:tr>
            <w:tr>
              <w:tc>
                <w:tcPr>
                  <w:tcW w:type="dxa" w:w="213"/>
                  <w:vMerge/>
                  <w:tcBorders>
                    <w:top w:val="none" w:color="000000" w:sz="4"/>
                    <w:left w:val="single" w:color="000000" w:sz="4"/>
                    <w:bottom w:val="single" w:color="000000" w:sz="4"/>
                    <w:right w:val="single" w:color="000000" w:sz="4"/>
                  </w:tcBorders>
                </w:tcPr>
                <w:p/>
              </w:tc>
              <w:tc>
                <w:tcPr>
                  <w:tcW w:type="dxa" w:w="126"/>
                  <w:vMerge/>
                  <w:tcBorders>
                    <w:top w:val="none" w:color="000000" w:sz="4"/>
                    <w:left w:val="none" w:color="000000" w:sz="4"/>
                    <w:bottom w:val="single" w:color="000000" w:sz="4"/>
                    <w:right w:val="single" w:color="000000" w:sz="4"/>
                  </w:tcBorders>
                </w:tcPr>
                <w:p/>
              </w:tc>
              <w:tc>
                <w:tcPr>
                  <w:tcW w:type="dxa" w:w="117"/>
                  <w:vMerge/>
                  <w:tcBorders>
                    <w:top w:val="none" w:color="000000" w:sz="4"/>
                    <w:left w:val="none" w:color="000000" w:sz="4"/>
                    <w:bottom w:val="singl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2）乡创项目路演评审中心：</w:t>
                  </w:r>
                  <w:r>
                    <w:rPr>
                      <w:rFonts w:ascii="仿宋_GB2312" w:hAnsi="仿宋_GB2312" w:cs="仿宋_GB2312" w:eastAsia="仿宋_GB2312"/>
                      <w:sz w:val="24"/>
                      <w:color w:val="000000"/>
                    </w:rPr>
                    <w:t>为青年乡村创业提供路演场景、评审服务，从创业种子到商业计划全程跟踪指导服务，开展商业计划评审，提供专家、资源、资金、政策对接；将路演成功的企业导入乡创孵化器或分发至全区相关产业聚集区域；</w:t>
                  </w:r>
                </w:p>
              </w:tc>
              <w:tc>
                <w:tcPr>
                  <w:tcW w:type="dxa" w:w="749"/>
                  <w:vMerge/>
                  <w:tcBorders>
                    <w:top w:val="none" w:color="000000" w:sz="4"/>
                    <w:left w:val="none" w:color="000000" w:sz="4"/>
                    <w:bottom w:val="single" w:color="000000" w:sz="4"/>
                    <w:right w:val="single" w:color="000000" w:sz="4"/>
                  </w:tcBorders>
                </w:tcPr>
                <w:p/>
              </w:tc>
            </w:tr>
            <w:tr>
              <w:tc>
                <w:tcPr>
                  <w:tcW w:type="dxa" w:w="213"/>
                  <w:vMerge/>
                  <w:tcBorders>
                    <w:top w:val="none" w:color="000000" w:sz="4"/>
                    <w:left w:val="single" w:color="000000" w:sz="4"/>
                    <w:bottom w:val="single" w:color="000000" w:sz="4"/>
                    <w:right w:val="single" w:color="000000" w:sz="4"/>
                  </w:tcBorders>
                </w:tcPr>
                <w:p/>
              </w:tc>
              <w:tc>
                <w:tcPr>
                  <w:tcW w:type="dxa" w:w="126"/>
                  <w:vMerge/>
                  <w:tcBorders>
                    <w:top w:val="none" w:color="000000" w:sz="4"/>
                    <w:left w:val="none" w:color="000000" w:sz="4"/>
                    <w:bottom w:val="single" w:color="000000" w:sz="4"/>
                    <w:right w:val="single" w:color="000000" w:sz="4"/>
                  </w:tcBorders>
                </w:tcPr>
                <w:p/>
              </w:tc>
              <w:tc>
                <w:tcPr>
                  <w:tcW w:type="dxa" w:w="117"/>
                  <w:vMerge/>
                  <w:tcBorders>
                    <w:top w:val="none" w:color="000000" w:sz="4"/>
                    <w:left w:val="none" w:color="000000" w:sz="4"/>
                    <w:bottom w:val="singl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3）乡村创业共享办公中心：</w:t>
                  </w:r>
                  <w:r>
                    <w:rPr>
                      <w:rFonts w:ascii="仿宋_GB2312" w:hAnsi="仿宋_GB2312" w:cs="仿宋_GB2312" w:eastAsia="仿宋_GB2312"/>
                      <w:sz w:val="24"/>
                      <w:color w:val="000000"/>
                    </w:rPr>
                    <w:t>通过体验场景、工作区域的提供，让创业青年体验鄠邑乡村生活，实现从乡村体验者变为乡村创业者的转变；</w:t>
                  </w:r>
                </w:p>
              </w:tc>
              <w:tc>
                <w:tcPr>
                  <w:tcW w:type="dxa" w:w="749"/>
                  <w:vMerge/>
                  <w:tcBorders>
                    <w:top w:val="none" w:color="000000" w:sz="4"/>
                    <w:left w:val="none" w:color="000000" w:sz="4"/>
                    <w:bottom w:val="single" w:color="000000" w:sz="4"/>
                    <w:right w:val="single" w:color="000000" w:sz="4"/>
                  </w:tcBorders>
                </w:tcPr>
                <w:p/>
              </w:tc>
            </w:tr>
            <w:tr>
              <w:tc>
                <w:tcPr>
                  <w:tcW w:type="dxa" w:w="21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职能定位，发挥鄠邑乡创客服务中心</w:t>
                  </w:r>
                  <w:r>
                    <w:rPr>
                      <w:rFonts w:ascii="仿宋_GB2312" w:hAnsi="仿宋_GB2312" w:cs="仿宋_GB2312" w:eastAsia="仿宋_GB2312"/>
                      <w:sz w:val="24"/>
                      <w:b/>
                      <w:color w:val="000000"/>
                    </w:rPr>
                    <w:t>“六大中心”职能</w:t>
                  </w:r>
                  <w:r>
                    <w:br/>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3分）</w:t>
                  </w:r>
                </w:p>
              </w:tc>
              <w:tc>
                <w:tcPr>
                  <w:tcW w:type="dxa" w:w="1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1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3分</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4）乡村创业宣传推广中心：</w:t>
                  </w:r>
                  <w:r>
                    <w:rPr>
                      <w:rFonts w:ascii="仿宋_GB2312" w:hAnsi="仿宋_GB2312" w:cs="仿宋_GB2312" w:eastAsia="仿宋_GB2312"/>
                      <w:sz w:val="24"/>
                      <w:color w:val="000000"/>
                    </w:rPr>
                    <w:t>负责向外界传递鄠邑乡村创业的最新动态，包括乡村建设、直播信息、活动咨询、商务合作、文稿宣传等，提升鄠邑乡村的影响力；对鄠邑乡村创业相关的重大事件和活动进行及时有效的宣传报道，配合区委区政府和相关部门做好乡村振兴领域的宣传工作；</w:t>
                  </w:r>
                </w:p>
              </w:tc>
              <w:tc>
                <w:tcPr>
                  <w:tcW w:type="dxa" w:w="74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乡创客服务中心总体职责、组织架构、六大中心工作开展情况及活动资料。</w:t>
                  </w:r>
                </w:p>
              </w:tc>
            </w:tr>
            <w:tr>
              <w:tc>
                <w:tcPr>
                  <w:tcW w:type="dxa" w:w="213"/>
                  <w:vMerge/>
                  <w:tcBorders>
                    <w:top w:val="none" w:color="000000" w:sz="4"/>
                    <w:left w:val="single" w:color="000000" w:sz="4"/>
                    <w:bottom w:val="none" w:color="000000" w:sz="4"/>
                    <w:right w:val="single" w:color="000000" w:sz="4"/>
                  </w:tcBorders>
                </w:tcPr>
                <w:p/>
              </w:tc>
              <w:tc>
                <w:tcPr>
                  <w:tcW w:type="dxa" w:w="126"/>
                  <w:vMerge/>
                  <w:tcBorders>
                    <w:top w:val="none" w:color="000000" w:sz="4"/>
                    <w:left w:val="none" w:color="000000" w:sz="4"/>
                    <w:bottom w:val="none" w:color="000000" w:sz="4"/>
                    <w:right w:val="single" w:color="000000" w:sz="4"/>
                  </w:tcBorders>
                </w:tcPr>
                <w:p/>
              </w:tc>
              <w:tc>
                <w:tcPr>
                  <w:tcW w:type="dxa" w:w="117"/>
                  <w:vMerge/>
                  <w:tcBorders>
                    <w:top w:val="none" w:color="000000" w:sz="4"/>
                    <w:left w:val="none" w:color="000000" w:sz="4"/>
                    <w:bottom w:val="non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5）鄠邑乡创品牌运营中心：</w:t>
                  </w:r>
                  <w:r>
                    <w:rPr>
                      <w:rFonts w:ascii="仿宋_GB2312" w:hAnsi="仿宋_GB2312" w:cs="仿宋_GB2312" w:eastAsia="仿宋_GB2312"/>
                      <w:sz w:val="24"/>
                      <w:color w:val="000000"/>
                    </w:rPr>
                    <w:t>制定鄠邑乡创品牌发展战略，对中心进行包装，负责中心的品牌推广活动，策划组织各种展会活动；为区域公共品牌的建设和发展提供支持，向地方企业提供品牌升级服务；</w:t>
                  </w:r>
                </w:p>
              </w:tc>
              <w:tc>
                <w:tcPr>
                  <w:tcW w:type="dxa" w:w="749"/>
                  <w:vMerge/>
                  <w:tcBorders>
                    <w:top w:val="none" w:color="000000" w:sz="4"/>
                    <w:left w:val="none" w:color="000000" w:sz="4"/>
                    <w:bottom w:val="none" w:color="000000" w:sz="4"/>
                    <w:right w:val="single" w:color="000000" w:sz="4"/>
                  </w:tcBorders>
                </w:tcPr>
                <w:p/>
              </w:tc>
            </w:tr>
            <w:tr>
              <w:tc>
                <w:tcPr>
                  <w:tcW w:type="dxa" w:w="213"/>
                  <w:vMerge/>
                  <w:tcBorders>
                    <w:top w:val="none" w:color="000000" w:sz="4"/>
                    <w:left w:val="single" w:color="000000" w:sz="4"/>
                    <w:bottom w:val="none" w:color="000000" w:sz="4"/>
                    <w:right w:val="single" w:color="000000" w:sz="4"/>
                  </w:tcBorders>
                </w:tcPr>
                <w:p/>
              </w:tc>
              <w:tc>
                <w:tcPr>
                  <w:tcW w:type="dxa" w:w="126"/>
                  <w:vMerge/>
                  <w:tcBorders>
                    <w:top w:val="none" w:color="000000" w:sz="4"/>
                    <w:left w:val="none" w:color="000000" w:sz="4"/>
                    <w:bottom w:val="none" w:color="000000" w:sz="4"/>
                    <w:right w:val="single" w:color="000000" w:sz="4"/>
                  </w:tcBorders>
                </w:tcPr>
                <w:p/>
              </w:tc>
              <w:tc>
                <w:tcPr>
                  <w:tcW w:type="dxa" w:w="117"/>
                  <w:vMerge/>
                  <w:tcBorders>
                    <w:top w:val="none" w:color="000000" w:sz="4"/>
                    <w:left w:val="none" w:color="000000" w:sz="4"/>
                    <w:bottom w:val="none" w:color="000000" w:sz="4"/>
                    <w:right w:val="single" w:color="000000" w:sz="4"/>
                  </w:tcBorders>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6）乡创青年联络共促中心：</w:t>
                  </w:r>
                  <w:r>
                    <w:rPr>
                      <w:rFonts w:ascii="仿宋_GB2312" w:hAnsi="仿宋_GB2312" w:cs="仿宋_GB2312" w:eastAsia="仿宋_GB2312"/>
                      <w:sz w:val="24"/>
                    </w:rPr>
                    <w:t>建立鄠邑乡创客联盟的总部基地，全国乡村产业融合发展联盟以及其他乡村振兴相关学会、协会、基金会等非盈利机构的鄠邑区乡村创业联络中心。</w:t>
                  </w:r>
                </w:p>
              </w:tc>
              <w:tc>
                <w:tcPr>
                  <w:tcW w:type="dxa" w:w="749"/>
                  <w:vMerge/>
                  <w:tcBorders>
                    <w:top w:val="none" w:color="000000" w:sz="4"/>
                    <w:left w:val="none" w:color="000000" w:sz="4"/>
                    <w:bottom w:val="none" w:color="000000" w:sz="4"/>
                    <w:right w:val="single" w:color="000000" w:sz="4"/>
                  </w:tcBorders>
                </w:tcPr>
                <w:p/>
              </w:tc>
            </w:tr>
          </w:tbl>
          <w:tbl>
            <w:tblPr>
              <w:tblInd w:type="dxa" w:w="90"/>
              <w:tblBorders>
                <w:top w:val="none" w:color="000000" w:sz="4"/>
                <w:left w:val="none" w:color="000000" w:sz="4"/>
                <w:bottom w:val="none" w:color="000000" w:sz="4"/>
                <w:right w:val="none" w:color="000000" w:sz="4"/>
                <w:insideH w:val="none"/>
                <w:insideV w:val="none"/>
              </w:tblBorders>
            </w:tblPr>
            <w:tblGrid>
              <w:gridCol w:w="249"/>
              <w:gridCol w:w="158"/>
              <w:gridCol w:w="162"/>
              <w:gridCol w:w="537"/>
              <w:gridCol w:w="191"/>
              <w:gridCol w:w="537"/>
              <w:gridCol w:w="708"/>
            </w:tblGrid>
            <w:tr>
              <w:tc>
                <w:tcPr>
                  <w:tcW w:type="dxa" w:w="2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基础工作指标</w:t>
                  </w:r>
                  <w:r>
                    <w:br/>
                  </w:r>
                  <w:r>
                    <w:rPr>
                      <w:rFonts w:ascii="仿宋_GB2312" w:hAnsi="仿宋_GB2312" w:cs="仿宋_GB2312" w:eastAsia="仿宋_GB2312"/>
                      <w:sz w:val="24"/>
                      <w:b/>
                    </w:rPr>
                    <w:t>（</w:t>
                  </w:r>
                  <w:r>
                    <w:rPr>
                      <w:rFonts w:ascii="仿宋_GB2312" w:hAnsi="仿宋_GB2312" w:cs="仿宋_GB2312" w:eastAsia="仿宋_GB2312"/>
                      <w:sz w:val="24"/>
                      <w:b/>
                    </w:rPr>
                    <w:t>59分）</w:t>
                  </w:r>
                </w:p>
              </w:tc>
              <w:tc>
                <w:tcPr>
                  <w:tcW w:type="dxa" w:w="1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1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5分</w:t>
                  </w:r>
                </w:p>
              </w:tc>
              <w:tc>
                <w:tcPr>
                  <w:tcW w:type="dxa" w:w="1265"/>
                  <w:gridSpan w:val="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品牌赋能及新媒体运营</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以</w:t>
                  </w:r>
                  <w:r>
                    <w:rPr>
                      <w:rFonts w:ascii="仿宋_GB2312" w:hAnsi="仿宋_GB2312" w:cs="仿宋_GB2312" w:eastAsia="仿宋_GB2312"/>
                      <w:sz w:val="24"/>
                    </w:rPr>
                    <w:t>“剪鸭村”品牌为依托，赋能各类经营业态发展，宣传推介全区创业青年，引导创业青年</w:t>
                  </w:r>
                  <w:r>
                    <w:rPr>
                      <w:rFonts w:ascii="仿宋_GB2312" w:hAnsi="仿宋_GB2312" w:cs="仿宋_GB2312" w:eastAsia="仿宋_GB2312"/>
                      <w:sz w:val="24"/>
                    </w:rPr>
                    <w:t>反哺品牌、联动引流、内容共创，推动品牌与业态深度融合、双向赋能，实现抱团发展、整体提升。</w:t>
                  </w:r>
                </w:p>
                <w:p>
                  <w:pPr>
                    <w:pStyle w:val="null3"/>
                    <w:ind w:firstLine="480"/>
                    <w:jc w:val="both"/>
                  </w:pPr>
                  <w:r>
                    <w:rPr>
                      <w:rFonts w:ascii="仿宋_GB2312" w:hAnsi="仿宋_GB2312" w:cs="仿宋_GB2312" w:eastAsia="仿宋_GB2312"/>
                      <w:sz w:val="24"/>
                    </w:rPr>
                    <w:t>运营公众号、抖音、小红书等新媒体平台，负责运营</w:t>
                  </w:r>
                  <w:r>
                    <w:rPr>
                      <w:rFonts w:ascii="仿宋_GB2312" w:hAnsi="仿宋_GB2312" w:cs="仿宋_GB2312" w:eastAsia="仿宋_GB2312"/>
                      <w:sz w:val="24"/>
                    </w:rPr>
                    <w:t>“鄠邑区青年乡创客服务中心”小红书账号，“秦托邦青年社区”小红书、公众号、视频号、抖音账号，定期发布以下内容：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1）栗峪口村及全区创业青年与经营业态宣传引流</w:t>
                  </w:r>
                  <w:r>
                    <w:rPr>
                      <w:rFonts w:ascii="仿宋_GB2312" w:hAnsi="仿宋_GB2312" w:cs="仿宋_GB2312" w:eastAsia="仿宋_GB2312"/>
                      <w:sz w:val="24"/>
                    </w:rPr>
                    <w:t>（全年不少于</w:t>
                  </w:r>
                  <w:r>
                    <w:rPr>
                      <w:rFonts w:ascii="仿宋_GB2312" w:hAnsi="仿宋_GB2312" w:cs="仿宋_GB2312" w:eastAsia="仿宋_GB2312"/>
                      <w:sz w:val="24"/>
                    </w:rPr>
                    <w:t>30条</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2）乡创政策解读、创业故事、项目推介；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3）活动预告、培训课程、路演信息；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4）鄠邑乡村创业动态和重大事件报道；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5）打造乡创人才故事系列内容。</w:t>
                  </w:r>
                </w:p>
                <w:p>
                  <w:pPr>
                    <w:pStyle w:val="null3"/>
                    <w:jc w:val="both"/>
                  </w:pPr>
                  <w:r>
                    <w:rPr>
                      <w:rFonts w:ascii="仿宋_GB2312" w:hAnsi="仿宋_GB2312" w:cs="仿宋_GB2312" w:eastAsia="仿宋_GB2312"/>
                      <w:sz w:val="24"/>
                    </w:rPr>
                    <w:t>每个账号每月发布内容不少于</w:t>
                  </w:r>
                  <w:r>
                    <w:rPr>
                      <w:rFonts w:ascii="仿宋_GB2312" w:hAnsi="仿宋_GB2312" w:cs="仿宋_GB2312" w:eastAsia="仿宋_GB2312"/>
                      <w:sz w:val="24"/>
                    </w:rPr>
                    <w:t>5条，每季度直播场数至少7场（每场直播时长不低于90分钟），全年相关话题阅读量至少20万。</w:t>
                  </w:r>
                </w:p>
              </w:tc>
              <w:tc>
                <w:tcPr>
                  <w:tcW w:type="dxa" w:w="7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发布数据、宣传稿件、发布截图、账号后台数据截图、增长明细。</w:t>
                  </w:r>
                </w:p>
              </w:tc>
            </w:tr>
            <w:tr>
              <w:tc>
                <w:tcPr>
                  <w:tcW w:type="dxa" w:w="249"/>
                  <w:vMerge/>
                  <w:tcBorders>
                    <w:top w:val="singl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162"/>
                  <w:vMerge/>
                  <w:tcBorders>
                    <w:top w:val="single" w:color="000000" w:sz="4"/>
                    <w:left w:val="none" w:color="000000" w:sz="4"/>
                    <w:bottom w:val="single" w:color="000000" w:sz="4"/>
                    <w:right w:val="single" w:color="000000" w:sz="4"/>
                  </w:tcBorders>
                </w:tcPr>
                <w:p/>
              </w:tc>
              <w:tc>
                <w:tcPr>
                  <w:tcW w:type="dxa" w:w="1265"/>
                  <w:gridSpan w:val="3"/>
                  <w:vMerge/>
                  <w:tcBorders>
                    <w:top w:val="single" w:color="000000" w:sz="4"/>
                    <w:left w:val="none" w:color="000000" w:sz="4"/>
                    <w:bottom w:val="single" w:color="000000" w:sz="4"/>
                    <w:right w:val="single" w:color="000000" w:sz="4"/>
                  </w:tcBorders>
                </w:tcPr>
                <w:p/>
              </w:tc>
            </w:tr>
            <w:tr>
              <w:tc>
                <w:tcPr>
                  <w:tcW w:type="dxa" w:w="249"/>
                  <w:vMerge/>
                  <w:tcBorders>
                    <w:top w:val="singl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专业培训课程：</w:t>
                  </w:r>
                  <w:r>
                    <w:rPr>
                      <w:rFonts w:ascii="仿宋_GB2312" w:hAnsi="仿宋_GB2312" w:cs="仿宋_GB2312" w:eastAsia="仿宋_GB2312"/>
                      <w:sz w:val="24"/>
                    </w:rPr>
                    <w:t>全年开展面向全区青年创业领域专业培训不少于</w:t>
                  </w:r>
                  <w:r>
                    <w:rPr>
                      <w:rFonts w:ascii="仿宋_GB2312" w:hAnsi="仿宋_GB2312" w:cs="仿宋_GB2312" w:eastAsia="仿宋_GB2312"/>
                      <w:sz w:val="24"/>
                    </w:rPr>
                    <w:t>5场，每季度不少于一场，涵盖新媒体、财务、法务、融资等创业相关领域，每场培训不少于20人参加，提升创业者的专业技能和管理能力。</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全年培训计划、服务台账、签到记录。</w:t>
                  </w:r>
                </w:p>
              </w:tc>
            </w:tr>
            <w:tr>
              <w:tc>
                <w:tcPr>
                  <w:tcW w:type="dxa" w:w="24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基础工作指标</w:t>
                  </w:r>
                  <w:r>
                    <w:br/>
                  </w:r>
                  <w:r>
                    <w:rPr>
                      <w:rFonts w:ascii="仿宋_GB2312" w:hAnsi="仿宋_GB2312" w:cs="仿宋_GB2312" w:eastAsia="仿宋_GB2312"/>
                      <w:sz w:val="24"/>
                      <w:b/>
                    </w:rPr>
                    <w:t>（</w:t>
                  </w:r>
                  <w:r>
                    <w:rPr>
                      <w:rFonts w:ascii="仿宋_GB2312" w:hAnsi="仿宋_GB2312" w:cs="仿宋_GB2312" w:eastAsia="仿宋_GB2312"/>
                      <w:sz w:val="24"/>
                      <w:b/>
                    </w:rPr>
                    <w:t>59分）</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青年分享交流活动：</w:t>
                  </w:r>
                  <w:r>
                    <w:rPr>
                      <w:rFonts w:ascii="仿宋_GB2312" w:hAnsi="仿宋_GB2312" w:cs="仿宋_GB2312" w:eastAsia="仿宋_GB2312"/>
                      <w:sz w:val="24"/>
                    </w:rPr>
                    <w:t>全年策划开展不少于</w:t>
                  </w:r>
                  <w:r>
                    <w:rPr>
                      <w:rFonts w:ascii="仿宋_GB2312" w:hAnsi="仿宋_GB2312" w:cs="仿宋_GB2312" w:eastAsia="仿宋_GB2312"/>
                      <w:sz w:val="24"/>
                    </w:rPr>
                    <w:t>15场青年分享交流活动，其中面向全区开展的分享交流活动不少于5场，每场活动参与人数不少于20人，邀请各相关单位参加，活动主题涵盖数字游民、乡村创业、城乡融合等领域。</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全年活动计划、服务台账、签到记录、活动照片</w:t>
                  </w:r>
                  <w:r>
                    <w:rPr>
                      <w:rFonts w:ascii="仿宋_GB2312" w:hAnsi="仿宋_GB2312" w:cs="仿宋_GB2312" w:eastAsia="仿宋_GB2312"/>
                      <w:sz w:val="24"/>
                    </w:rPr>
                    <w:t>/视频、活动宣传资料。</w:t>
                  </w:r>
                </w:p>
              </w:tc>
            </w:tr>
            <w:tr>
              <w:tc>
                <w:tcPr>
                  <w:tcW w:type="dxa" w:w="249"/>
                  <w:vMerge/>
                  <w:tcBorders>
                    <w:top w:val="non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青年夜校：</w:t>
                  </w:r>
                  <w:r>
                    <w:rPr>
                      <w:rFonts w:ascii="仿宋_GB2312" w:hAnsi="仿宋_GB2312" w:cs="仿宋_GB2312" w:eastAsia="仿宋_GB2312"/>
                      <w:sz w:val="24"/>
                    </w:rPr>
                    <w:t>依托秦托邦数字游民社区青年夜校阵地，围绕青年关注的领域开设相关青年夜校项目。全年至少举办</w:t>
                  </w:r>
                  <w:r>
                    <w:rPr>
                      <w:rFonts w:ascii="仿宋_GB2312" w:hAnsi="仿宋_GB2312" w:cs="仿宋_GB2312" w:eastAsia="仿宋_GB2312"/>
                      <w:sz w:val="24"/>
                    </w:rPr>
                    <w:t>40节青年夜校课程，参与人员不少于238人次。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课程台账、活动照片、学员信息表。</w:t>
                  </w:r>
                </w:p>
              </w:tc>
            </w:tr>
            <w:tr>
              <w:tc>
                <w:tcPr>
                  <w:tcW w:type="dxa" w:w="249"/>
                  <w:vMerge/>
                  <w:tcBorders>
                    <w:top w:val="non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项目库建设：</w:t>
                  </w:r>
                  <w:r>
                    <w:rPr>
                      <w:rFonts w:ascii="仿宋_GB2312" w:hAnsi="仿宋_GB2312" w:cs="仿宋_GB2312" w:eastAsia="仿宋_GB2312"/>
                      <w:sz w:val="24"/>
                    </w:rPr>
                    <w:t>面向全国征集优质创业项目，优先导入乡创客服务中心孵化，确保全年不少于</w:t>
                  </w:r>
                  <w:r>
                    <w:rPr>
                      <w:rFonts w:ascii="仿宋_GB2312" w:hAnsi="仿宋_GB2312" w:cs="仿宋_GB2312" w:eastAsia="仿宋_GB2312"/>
                      <w:sz w:val="24"/>
                    </w:rPr>
                    <w:t>60个有效项目入库，服务中心资源库内无法匹配的项目联系上级部门进行资源匹配。</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项目库及评分表。</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基础工作指标</w:t>
                  </w:r>
                  <w:r>
                    <w:br/>
                  </w:r>
                  <w:r>
                    <w:rPr>
                      <w:rFonts w:ascii="仿宋_GB2312" w:hAnsi="仿宋_GB2312" w:cs="仿宋_GB2312" w:eastAsia="仿宋_GB2312"/>
                      <w:sz w:val="24"/>
                      <w:b/>
                    </w:rPr>
                    <w:t>（</w:t>
                  </w:r>
                  <w:r>
                    <w:rPr>
                      <w:rFonts w:ascii="仿宋_GB2312" w:hAnsi="仿宋_GB2312" w:cs="仿宋_GB2312" w:eastAsia="仿宋_GB2312"/>
                      <w:sz w:val="24"/>
                      <w:b/>
                    </w:rPr>
                    <w:t>59分）</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项目路演：</w:t>
                  </w:r>
                  <w:r>
                    <w:rPr>
                      <w:rFonts w:ascii="仿宋_GB2312" w:hAnsi="仿宋_GB2312" w:cs="仿宋_GB2312" w:eastAsia="仿宋_GB2312"/>
                      <w:sz w:val="24"/>
                    </w:rPr>
                    <w:t>全年开展线下青年乡村创业项目路演活动不少于</w:t>
                  </w:r>
                  <w:r>
                    <w:rPr>
                      <w:rFonts w:ascii="仿宋_GB2312" w:hAnsi="仿宋_GB2312" w:cs="仿宋_GB2312" w:eastAsia="仿宋_GB2312"/>
                      <w:sz w:val="24"/>
                    </w:rPr>
                    <w:t>12场，每季度不少于3场，每场参与路演项目不少于10个。提前发布路演预告，邀请各相关单位参加，提升项目曝光度，对接潜在投资。</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路演方案，邀请凭证，项目材料，现场照片。</w:t>
                  </w:r>
                </w:p>
              </w:tc>
            </w:tr>
            <w:tr>
              <w:tc>
                <w:tcPr>
                  <w:tcW w:type="dxa" w:w="249"/>
                  <w:vMerge/>
                  <w:tcBorders>
                    <w:top w:val="non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数字游民引进：</w:t>
                  </w:r>
                  <w:r>
                    <w:rPr>
                      <w:rFonts w:ascii="仿宋_GB2312" w:hAnsi="仿宋_GB2312" w:cs="仿宋_GB2312" w:eastAsia="仿宋_GB2312"/>
                      <w:sz w:val="24"/>
                    </w:rPr>
                    <w:t>全年累计吸引并服务远程办公、自由职业类数字游民群体超</w:t>
                  </w:r>
                  <w:r>
                    <w:rPr>
                      <w:rFonts w:ascii="仿宋_GB2312" w:hAnsi="仿宋_GB2312" w:cs="仿宋_GB2312" w:eastAsia="仿宋_GB2312"/>
                      <w:sz w:val="24"/>
                    </w:rPr>
                    <w:t>375人次（含鄠邑本地户籍人员），完成所有注册人员身份信息备案，实现数字游民初步集聚，人均停留时长≥7天，打造具有吸引力的青年创新社群。</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注册台账、身份信息备案、数字游民报名表及住宿凭证、缴费凭证等。</w:t>
                  </w:r>
                </w:p>
              </w:tc>
            </w:tr>
            <w:tr>
              <w:tc>
                <w:tcPr>
                  <w:tcW w:type="dxa" w:w="249"/>
                  <w:vMerge/>
                  <w:tcBorders>
                    <w:top w:val="non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长期驻留人员比例：</w:t>
                  </w:r>
                  <w:r>
                    <w:rPr>
                      <w:rFonts w:ascii="仿宋_GB2312" w:hAnsi="仿宋_GB2312" w:cs="仿宋_GB2312" w:eastAsia="仿宋_GB2312"/>
                      <w:sz w:val="24"/>
                    </w:rPr>
                    <w:t>驻留超</w:t>
                  </w:r>
                  <w:r>
                    <w:rPr>
                      <w:rFonts w:ascii="仿宋_GB2312" w:hAnsi="仿宋_GB2312" w:cs="仿宋_GB2312" w:eastAsia="仿宋_GB2312"/>
                      <w:sz w:val="24"/>
                    </w:rPr>
                    <w:t>1个月人才占当年新引进总数不少于15%，全年不少于57人。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报名表单及住宿凭证、缴费凭证。</w:t>
                  </w:r>
                </w:p>
              </w:tc>
            </w:tr>
            <w:tr>
              <w:tc>
                <w:tcPr>
                  <w:tcW w:type="dxa" w:w="249"/>
                  <w:vMerge/>
                  <w:tcBorders>
                    <w:top w:val="non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人才库规模：</w:t>
                  </w:r>
                  <w:r>
                    <w:rPr>
                      <w:rFonts w:ascii="仿宋_GB2312" w:hAnsi="仿宋_GB2312" w:cs="仿宋_GB2312" w:eastAsia="仿宋_GB2312"/>
                      <w:sz w:val="24"/>
                    </w:rPr>
                    <w:t>建立覆盖全区的乡村创客</w:t>
                  </w:r>
                  <w:r>
                    <w:rPr>
                      <w:rFonts w:ascii="仿宋_GB2312" w:hAnsi="仿宋_GB2312" w:cs="仿宋_GB2312" w:eastAsia="仿宋_GB2312"/>
                      <w:sz w:val="24"/>
                    </w:rPr>
                    <w:t>/数字游民人才库，全年入库人数不少于250人。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人才库表单信息。</w:t>
                  </w:r>
                </w:p>
              </w:tc>
            </w:tr>
            <w:tr>
              <w:tc>
                <w:tcPr>
                  <w:tcW w:type="dxa" w:w="24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left="2100"/>
                    <w:jc w:val="center"/>
                  </w:pPr>
                  <w:r>
                    <w:rPr>
                      <w:rFonts w:ascii="仿宋_GB2312" w:hAnsi="仿宋_GB2312" w:cs="仿宋_GB2312" w:eastAsia="仿宋_GB2312"/>
                      <w:sz w:val="24"/>
                      <w:b/>
                    </w:rPr>
                    <w:t>基础工作标</w:t>
                  </w:r>
                  <w:r>
                    <w:br/>
                  </w:r>
                  <w:r>
                    <w:rPr>
                      <w:rFonts w:ascii="仿宋_GB2312" w:hAnsi="仿宋_GB2312" w:cs="仿宋_GB2312" w:eastAsia="仿宋_GB2312"/>
                      <w:sz w:val="24"/>
                      <w:b/>
                    </w:rPr>
                    <w:t>（</w:t>
                  </w:r>
                  <w:r>
                    <w:rPr>
                      <w:rFonts w:ascii="仿宋_GB2312" w:hAnsi="仿宋_GB2312" w:cs="仿宋_GB2312" w:eastAsia="仿宋_GB2312"/>
                      <w:sz w:val="24"/>
                      <w:b/>
                    </w:rPr>
                    <w:t>59分）</w:t>
                  </w:r>
                </w:p>
                <w:p>
                  <w:pPr>
                    <w:pStyle w:val="null3"/>
                    <w:jc w:val="both"/>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人才分析报告</w:t>
                  </w:r>
                  <w:r>
                    <w:rPr>
                      <w:rFonts w:ascii="仿宋_GB2312" w:hAnsi="仿宋_GB2312" w:cs="仿宋_GB2312" w:eastAsia="仿宋_GB2312"/>
                      <w:sz w:val="24"/>
                      <w:b/>
                    </w:rPr>
                    <w:t>:</w:t>
                  </w:r>
                  <w:r>
                    <w:rPr>
                      <w:rFonts w:ascii="仿宋_GB2312" w:hAnsi="仿宋_GB2312" w:cs="仿宋_GB2312" w:eastAsia="仿宋_GB2312"/>
                      <w:sz w:val="24"/>
                    </w:rPr>
                    <w:t>每季度撰写</w:t>
                  </w:r>
                  <w:r>
                    <w:rPr>
                      <w:rFonts w:ascii="仿宋_GB2312" w:hAnsi="仿宋_GB2312" w:cs="仿宋_GB2312" w:eastAsia="仿宋_GB2312"/>
                      <w:sz w:val="24"/>
                    </w:rPr>
                    <w:t>1篇高质量人才动态分析报告。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人才分析报告。</w:t>
                  </w:r>
                </w:p>
              </w:tc>
            </w:tr>
            <w:tr>
              <w:tc>
                <w:tcPr>
                  <w:tcW w:type="dxa" w:w="249"/>
                  <w:vMerge/>
                  <w:tcBorders>
                    <w:top w:val="non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企业服务：</w:t>
                  </w:r>
                  <w:r>
                    <w:rPr>
                      <w:rFonts w:ascii="仿宋_GB2312" w:hAnsi="仿宋_GB2312" w:cs="仿宋_GB2312" w:eastAsia="仿宋_GB2312"/>
                      <w:sz w:val="24"/>
                    </w:rPr>
                    <w:t>为</w:t>
                  </w:r>
                  <w:r>
                    <w:rPr>
                      <w:rFonts w:ascii="仿宋_GB2312" w:hAnsi="仿宋_GB2312" w:cs="仿宋_GB2312" w:eastAsia="仿宋_GB2312"/>
                      <w:sz w:val="24"/>
                    </w:rPr>
                    <w:t>30名在鄠乡创客及其企业提供从创意--项目--企业--产业的全生命周期服务。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乡创客及企业名单，服务台账、照片等资料。</w:t>
                  </w:r>
                </w:p>
              </w:tc>
            </w:tr>
            <w:tr>
              <w:tc>
                <w:tcPr>
                  <w:tcW w:type="dxa" w:w="249"/>
                  <w:vMerge/>
                  <w:tcBorders>
                    <w:top w:val="non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吸引青年创新创业人才：</w:t>
                  </w:r>
                  <w:r>
                    <w:rPr>
                      <w:rFonts w:ascii="仿宋_GB2312" w:hAnsi="仿宋_GB2312" w:cs="仿宋_GB2312" w:eastAsia="仿宋_GB2312"/>
                      <w:sz w:val="24"/>
                    </w:rPr>
                    <w:t>通过提供创业支持服务，年度接待创业咨询</w:t>
                  </w:r>
                  <w:r>
                    <w:rPr>
                      <w:rFonts w:ascii="仿宋_GB2312" w:hAnsi="仿宋_GB2312" w:cs="仿宋_GB2312" w:eastAsia="仿宋_GB2312"/>
                      <w:sz w:val="24"/>
                    </w:rPr>
                    <w:t>≥180人次。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创业咨询名单，咨询记录（照片、网上信息数据等资料）。</w:t>
                  </w:r>
                </w:p>
              </w:tc>
            </w:tr>
            <w:tr>
              <w:tc>
                <w:tcPr>
                  <w:tcW w:type="dxa" w:w="249"/>
                  <w:vMerge/>
                  <w:tcBorders>
                    <w:top w:val="non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志愿者服务：</w:t>
                  </w:r>
                  <w:r>
                    <w:rPr>
                      <w:rFonts w:ascii="仿宋_GB2312" w:hAnsi="仿宋_GB2312" w:cs="仿宋_GB2312" w:eastAsia="仿宋_GB2312"/>
                      <w:sz w:val="24"/>
                    </w:rPr>
                    <w:t>招募志愿者参与中心的日常运行、活动策划和执行等工作，志愿者年度累计志愿服务时长不少于</w:t>
                  </w:r>
                  <w:r>
                    <w:rPr>
                      <w:rFonts w:ascii="仿宋_GB2312" w:hAnsi="仿宋_GB2312" w:cs="仿宋_GB2312" w:eastAsia="仿宋_GB2312"/>
                      <w:sz w:val="24"/>
                    </w:rPr>
                    <w:t>1000小时，做好志愿者交通、用餐等基本保障。</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志愿者名单、服务时长记录、签到表及志愿者参与日常运行、活动策划和执行等工作的相关活动照片。</w:t>
                  </w:r>
                </w:p>
              </w:tc>
            </w:tr>
            <w:tr>
              <w:tc>
                <w:tcPr>
                  <w:tcW w:type="dxa" w:w="249"/>
                  <w:vMerge/>
                  <w:tcBorders>
                    <w:top w:val="non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区域调研：</w:t>
                  </w:r>
                  <w:r>
                    <w:rPr>
                      <w:rFonts w:ascii="仿宋_GB2312" w:hAnsi="仿宋_GB2312" w:cs="仿宋_GB2312" w:eastAsia="仿宋_GB2312"/>
                      <w:sz w:val="24"/>
                    </w:rPr>
                    <w:t>积极协助省市各级的调研考察工作，提供乡创客服务中心运营及乡村创新创业数据和经验分享，提升项目影响力。</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调研服务台账、现场调研照片。</w:t>
                  </w:r>
                </w:p>
              </w:tc>
            </w:tr>
            <w:tr>
              <w:tc>
                <w:tcPr>
                  <w:tcW w:type="dxa" w:w="249"/>
                  <w:vMerge/>
                  <w:tcBorders>
                    <w:top w:val="none" w:color="000000" w:sz="4"/>
                    <w:left w:val="single" w:color="000000" w:sz="4"/>
                    <w:bottom w:val="non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资料及财务台账管理：</w:t>
                  </w:r>
                  <w:r>
                    <w:rPr>
                      <w:rFonts w:ascii="仿宋_GB2312" w:hAnsi="仿宋_GB2312" w:cs="仿宋_GB2312" w:eastAsia="仿宋_GB2312"/>
                      <w:sz w:val="24"/>
                    </w:rPr>
                    <w:t>配合相关单位做好资料整理、归集与报送工作，按季度做好财务预算与财务决算，规范留存相关财务票据。</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配合相关单位所收集的资料、报告，财务预算、财务决算等财务票据。</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核心效能指标</w:t>
                  </w:r>
                  <w:r>
                    <w:br/>
                  </w:r>
                  <w:r>
                    <w:rPr>
                      <w:rFonts w:ascii="仿宋_GB2312" w:hAnsi="仿宋_GB2312" w:cs="仿宋_GB2312" w:eastAsia="仿宋_GB2312"/>
                      <w:sz w:val="24"/>
                      <w:b/>
                    </w:rPr>
                    <w:t>（</w:t>
                  </w:r>
                  <w:r>
                    <w:rPr>
                      <w:rFonts w:ascii="仿宋_GB2312" w:hAnsi="仿宋_GB2312" w:cs="仿宋_GB2312" w:eastAsia="仿宋_GB2312"/>
                      <w:sz w:val="24"/>
                      <w:b/>
                    </w:rPr>
                    <w:t>15分）</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带动村民就业：</w:t>
                  </w:r>
                  <w:r>
                    <w:rPr>
                      <w:rFonts w:ascii="仿宋_GB2312" w:hAnsi="仿宋_GB2312" w:cs="仿宋_GB2312" w:eastAsia="仿宋_GB2312"/>
                      <w:sz w:val="24"/>
                    </w:rPr>
                    <w:t>依托项目合作、岗位聘用等渠道吸纳劳动力，每年带动本村及周边群众稳岗增收，年稳定就业（连续在岗</w:t>
                  </w:r>
                  <w:r>
                    <w:rPr>
                      <w:rFonts w:ascii="仿宋_GB2312" w:hAnsi="仿宋_GB2312" w:cs="仿宋_GB2312" w:eastAsia="仿宋_GB2312"/>
                      <w:sz w:val="24"/>
                    </w:rPr>
                    <w:t>3个月以上）人数不低于20人。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招聘村民名单，务工考勤表（村民签字）、工资表，工资支付凭证等资料。</w:t>
                  </w:r>
                </w:p>
              </w:tc>
            </w:tr>
            <w:tr>
              <w:tc>
                <w:tcPr>
                  <w:tcW w:type="dxa" w:w="249"/>
                  <w:vMerge/>
                  <w:tcBorders>
                    <w:top w:val="non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乡创项目引进：</w:t>
                  </w:r>
                  <w:r>
                    <w:rPr>
                      <w:rFonts w:ascii="仿宋_GB2312" w:hAnsi="仿宋_GB2312" w:cs="仿宋_GB2312" w:eastAsia="仿宋_GB2312"/>
                      <w:sz w:val="24"/>
                    </w:rPr>
                    <w:t>全年引入不少于</w:t>
                  </w:r>
                  <w:r>
                    <w:rPr>
                      <w:rFonts w:ascii="仿宋_GB2312" w:hAnsi="仿宋_GB2312" w:cs="仿宋_GB2312" w:eastAsia="仿宋_GB2312"/>
                      <w:sz w:val="24"/>
                    </w:rPr>
                    <w:t>6个乡创项目落地，投资总额不少于500万元。</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项目落地相关资料（照片及数据），投资金额须由投资方出具有效凭证。</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创新突破指标</w:t>
                  </w:r>
                  <w:r>
                    <w:br/>
                  </w:r>
                  <w:r>
                    <w:rPr>
                      <w:rFonts w:ascii="仿宋_GB2312" w:hAnsi="仿宋_GB2312" w:cs="仿宋_GB2312" w:eastAsia="仿宋_GB2312"/>
                      <w:sz w:val="24"/>
                      <w:b/>
                    </w:rPr>
                    <w:t>（</w:t>
                  </w:r>
                  <w:r>
                    <w:rPr>
                      <w:rFonts w:ascii="仿宋_GB2312" w:hAnsi="仿宋_GB2312" w:cs="仿宋_GB2312" w:eastAsia="仿宋_GB2312"/>
                      <w:sz w:val="24"/>
                      <w:b/>
                    </w:rPr>
                    <w:t>15分）</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线上招商平台：</w:t>
                  </w:r>
                  <w:r>
                    <w:rPr>
                      <w:rFonts w:ascii="仿宋_GB2312" w:hAnsi="仿宋_GB2312" w:cs="仿宋_GB2312" w:eastAsia="仿宋_GB2312"/>
                      <w:sz w:val="24"/>
                    </w:rPr>
                    <w:t>建立青年乡创客服务中心线上招商平台，展示中心优势、政策支持和入驻项目。提供线上项目申报、咨询和对接服务，方便创业者了解和入驻。</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小红书、抖音、视频号、公众号线上平台咨询记录及截图等相关资料。</w:t>
                  </w:r>
                </w:p>
              </w:tc>
            </w:tr>
            <w:tr>
              <w:tc>
                <w:tcPr>
                  <w:tcW w:type="dxa" w:w="249"/>
                  <w:vMerge/>
                  <w:tcBorders>
                    <w:top w:val="non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鄠邑乡创分享交流会：</w:t>
                  </w:r>
                  <w:r>
                    <w:rPr>
                      <w:rFonts w:ascii="仿宋_GB2312" w:hAnsi="仿宋_GB2312" w:cs="仿宋_GB2312" w:eastAsia="仿宋_GB2312"/>
                      <w:sz w:val="24"/>
                    </w:rPr>
                    <w:t>全年至少策划一场立足全区、面向全市的乡村创业交流分享</w:t>
                  </w:r>
                  <w:r>
                    <w:rPr>
                      <w:rFonts w:ascii="仿宋_GB2312" w:hAnsi="仿宋_GB2312" w:cs="仿宋_GB2312" w:eastAsia="仿宋_GB2312"/>
                      <w:sz w:val="24"/>
                    </w:rPr>
                    <w:t>会</w:t>
                  </w:r>
                  <w:r>
                    <w:rPr>
                      <w:rFonts w:ascii="仿宋_GB2312" w:hAnsi="仿宋_GB2312" w:cs="仿宋_GB2312" w:eastAsia="仿宋_GB2312"/>
                      <w:sz w:val="24"/>
                    </w:rPr>
                    <w:t>，邀请各相关单位参加，由青年乡创客服务中心负责组织、执行。</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乡创分享交流会方案、开展情况等资料。</w:t>
                  </w:r>
                </w:p>
              </w:tc>
            </w:tr>
            <w:tr>
              <w:tc>
                <w:tcPr>
                  <w:tcW w:type="dxa" w:w="249"/>
                  <w:vMerge/>
                  <w:tcBorders>
                    <w:top w:val="non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经验总结：</w:t>
                  </w:r>
                  <w:r>
                    <w:rPr>
                      <w:rFonts w:ascii="仿宋_GB2312" w:hAnsi="仿宋_GB2312" w:cs="仿宋_GB2312" w:eastAsia="仿宋_GB2312"/>
                      <w:sz w:val="24"/>
                    </w:rPr>
                    <w:t>每半年对运行机制、服务模式、空间管理与协同方式等进行梳理，围绕数字游民与城乡融合发展，打造鄠邑数字游民特色品牌，完成阶段性经验总结报告，形成</w:t>
                  </w:r>
                  <w:r>
                    <w:rPr>
                      <w:rFonts w:ascii="仿宋_GB2312" w:hAnsi="仿宋_GB2312" w:cs="仿宋_GB2312" w:eastAsia="仿宋_GB2312"/>
                      <w:sz w:val="24"/>
                    </w:rPr>
                    <w:t>1-2个可推广的典型案例。</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经验总结报告、典型案例材料、品牌建设方案。</w:t>
                  </w:r>
                </w:p>
              </w:tc>
            </w:tr>
            <w:tr>
              <w:tc>
                <w:tcPr>
                  <w:tcW w:type="dxa" w:w="24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其他工作内容</w:t>
                  </w:r>
                  <w:r>
                    <w:br/>
                  </w:r>
                  <w:r>
                    <w:rPr>
                      <w:rFonts w:ascii="仿宋_GB2312" w:hAnsi="仿宋_GB2312" w:cs="仿宋_GB2312" w:eastAsia="仿宋_GB2312"/>
                      <w:sz w:val="24"/>
                      <w:b/>
                    </w:rPr>
                    <w:t>（</w:t>
                  </w:r>
                  <w:r>
                    <w:rPr>
                      <w:rFonts w:ascii="仿宋_GB2312" w:hAnsi="仿宋_GB2312" w:cs="仿宋_GB2312" w:eastAsia="仿宋_GB2312"/>
                      <w:sz w:val="24"/>
                      <w:b/>
                    </w:rPr>
                    <w:t>0分）</w:t>
                  </w:r>
                </w:p>
              </w:tc>
              <w:tc>
                <w:tcPr>
                  <w:tcW w:type="dxa" w:w="15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0分</w:t>
                  </w:r>
                </w:p>
              </w:tc>
              <w:tc>
                <w:tcPr>
                  <w:tcW w:type="dxa" w:w="126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为满足青年创业者的多样化需求，允许运行团队通过招商的方式确定经营单位，在中心内开展适度配套性经营服务，经营业态限定为咖啡茶饮等各类饮品和茶点、糕点类，补充青年乡创客服务中心运行费用。</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招商公告、运营协议、经营单位资质（包括营业执照）、营收情况。</w:t>
                  </w:r>
                </w:p>
              </w:tc>
            </w:tr>
            <w:tr>
              <w:tc>
                <w:tcPr>
                  <w:tcW w:type="dxa" w:w="11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100分</w:t>
                  </w:r>
                </w:p>
              </w:tc>
              <w:tc>
                <w:tcPr>
                  <w:tcW w:type="dxa" w:w="12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p>
              </w:tc>
            </w:tr>
            <w:tr>
              <w:tc>
                <w:tcPr>
                  <w:tcW w:type="dxa" w:w="25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备注：</w:t>
                  </w:r>
                  <w:r>
                    <w:rPr>
                      <w:rFonts w:ascii="仿宋_GB2312" w:hAnsi="仿宋_GB2312" w:cs="仿宋_GB2312" w:eastAsia="仿宋_GB2312"/>
                      <w:sz w:val="24"/>
                    </w:rPr>
                    <w:t>1.实行季度考核制度，由各相关单位负责评分，考核结果取各单位打分平均值。</w:t>
                  </w:r>
                  <w:r>
                    <w:br/>
                  </w:r>
                  <w:r>
                    <w:rPr>
                      <w:rFonts w:ascii="仿宋_GB2312" w:hAnsi="仿宋_GB2312" w:cs="仿宋_GB2312" w:eastAsia="仿宋_GB2312"/>
                      <w:sz w:val="24"/>
                    </w:rPr>
                    <w:t xml:space="preserve">      </w:t>
                  </w:r>
                  <w:r>
                    <w:rPr>
                      <w:rFonts w:ascii="仿宋_GB2312" w:hAnsi="仿宋_GB2312" w:cs="仿宋_GB2312" w:eastAsia="仿宋_GB2312"/>
                      <w:sz w:val="24"/>
                    </w:rPr>
                    <w:t>2.考核分值80分及以上，全额拨付当季项目经费，由各相关单位积极为乡创客服务中心争取资金、荣誉、培训、挂牌等政策支持与激励保障。</w:t>
                  </w:r>
                  <w:r>
                    <w:br/>
                  </w:r>
                  <w:r>
                    <w:rPr>
                      <w:rFonts w:ascii="仿宋_GB2312" w:hAnsi="仿宋_GB2312" w:cs="仿宋_GB2312" w:eastAsia="仿宋_GB2312"/>
                      <w:sz w:val="24"/>
                    </w:rPr>
                    <w:t xml:space="preserve">      </w:t>
                  </w:r>
                  <w:r>
                    <w:rPr>
                      <w:rFonts w:ascii="仿宋_GB2312" w:hAnsi="仿宋_GB2312" w:cs="仿宋_GB2312" w:eastAsia="仿宋_GB2312"/>
                      <w:sz w:val="24"/>
                    </w:rPr>
                    <w:t>3.考核分值80分以下，按照分值差额比例相应扣减当季项目经费,实际应发金额按以下公式</w:t>
                  </w:r>
                  <w:r>
                    <w:rPr>
                      <w:rFonts w:ascii="仿宋_GB2312" w:hAnsi="仿宋_GB2312" w:cs="仿宋_GB2312" w:eastAsia="仿宋_GB2312"/>
                      <w:sz w:val="24"/>
                    </w:rPr>
                    <w:t>计</w:t>
                  </w:r>
                  <w:r>
                    <w:rPr>
                      <w:rFonts w:ascii="仿宋_GB2312" w:hAnsi="仿宋_GB2312" w:cs="仿宋_GB2312" w:eastAsia="仿宋_GB2312"/>
                      <w:sz w:val="24"/>
                    </w:rPr>
                    <w:t>算：</w:t>
                  </w:r>
                  <w:r>
                    <w:rPr>
                      <w:rFonts w:ascii="仿宋_GB2312" w:hAnsi="仿宋_GB2312" w:cs="仿宋_GB2312" w:eastAsia="仿宋_GB2312"/>
                      <w:sz w:val="24"/>
                    </w:rPr>
                    <w:t>。若全年考核平均分值达到</w:t>
                  </w:r>
                  <w:r>
                    <w:rPr>
                      <w:rFonts w:ascii="仿宋_GB2312" w:hAnsi="仿宋_GB2312" w:cs="仿宋_GB2312" w:eastAsia="仿宋_GB2312"/>
                      <w:sz w:val="24"/>
                    </w:rPr>
                    <w:t>80分及以上，此前扣减的项目经费予以补发。</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有针对本项目的专业服务团队，人员配备数量充足</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完成项目所具备设施设备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鄠邑区</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进度款，1.实行季度考核制度，由各相关单位负责评分，考核结果取各单位打分平均值。 2.考核分值80分及以上，全额拨付当季项目经费，由各相关单位积极为乡创客服务中心争取资金、荣誉、培训、挂牌等政策支持与激励保障。 3.考核分值80分以下，按照分值差额比例相应扣减当季项目经费,实际应发金额按以下公式计算：实发数额=应发数额*（当季考核分数/80）。若全年考核平均分值达到80分及以上，此前扣减的项目经费予以补发。 ，达到付款条件起7个工作日内，支付合同总金额的25.0%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进度款，1.实行季度考核制度，由各相关单位负责评分，考核结果取各单位打分平均值。 2.考核分值80分及以上，全额拨付当季项目经费，由各相关单位积极为乡创客服务中心争取资金、荣誉、培训、挂牌等政策支持与激励保障。 3.考核分值80分以下，按照分值差额比例相应扣减当季项目经费,实际应发金额按以下公式计算：实发数额=应发数额*（当季考核分数/80）。若全年考核平均分值达到80分及以上，此前扣减的项目经费予以补发。 ，达到付款条件起7个工作日内，支付合同总金额的25.0%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进度款，1.实行季度考核制度，由各相关单位负责评分，考核结果取各单位打分平均值。 2.考核分值80分及以上，全额拨付当季项目经费，由各相关单位积极为乡创客服务中心争取资金、荣誉、培训、挂牌等政策支持与激励保障。 3.考核分值80分以下，按照分值差额比例相应扣减当季项目经费,实际应发金额按以下公式计算：实发数额=应发数额*（当季考核分数/80）。若全年考核平均分值达到80分及以上，此前扣减的项目经费予以补发。 ，达到付款条件起7个工作日内，支付合同总金额的25.0%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进度款，1.实行季度考核制度，由各相关单位负责评分，考核结果取各单位打分平均值。 2.考核分值80分及以上，全额拨付当季项目经费，由各相关单位积极为乡创客服务中心争取资金、荣誉、培训、挂牌等政策支持与激励保障。 3.考核分值80分以下，按照分值差额比例相应扣减当季项目经费,实际应发金额按以下公式计算：实发数额=应发数额*（当季考核分数/80）。若全年考核平均分值达到80分及以上，此前扣减的项目经费予以补发。 ，达到付款条件起7个工作日内，支付合同总金额的25.0%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按国家有关规定以及采购文件的质量要求和技术指标、供应商的响应文件及承诺与本合同约定标准进行验收。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法定代表人参加投标的，须出具法定代表人身份证明书及身份证复印件。法定代表人授权委托代理人参加投标的，须出具法定代表人授权委托书及委托代理人身份证复印件；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 失信被执行人”或“重大税收违法案件当事人”名 单；不处于“中国政府采购网”记录的“政府采购 严重违法失信行为记录名单”中的禁止参加政府 采购活动期间。</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