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7DEBA">
      <w:pPr>
        <w:jc w:val="center"/>
        <w:rPr>
          <w:rFonts w:hint="eastAsia" w:ascii="黑体" w:hAnsi="黑体" w:eastAsia="黑体" w:cs="黑体"/>
          <w:b/>
          <w:bCs/>
          <w:sz w:val="44"/>
          <w:szCs w:val="44"/>
        </w:rPr>
      </w:pPr>
    </w:p>
    <w:p w14:paraId="3D597ED9">
      <w:pPr>
        <w:jc w:val="center"/>
        <w:rPr>
          <w:rFonts w:hint="eastAsia" w:ascii="黑体" w:hAnsi="黑体" w:eastAsia="黑体" w:cs="黑体"/>
          <w:b/>
          <w:bCs/>
          <w:sz w:val="44"/>
          <w:szCs w:val="44"/>
          <w:lang w:eastAsia="zh-CN"/>
        </w:rPr>
      </w:pPr>
      <w:r>
        <w:rPr>
          <w:rFonts w:hint="eastAsia" w:ascii="黑体" w:hAnsi="黑体" w:eastAsia="黑体" w:cs="黑体"/>
          <w:b/>
          <w:bCs/>
          <w:sz w:val="44"/>
          <w:szCs w:val="44"/>
          <w:lang w:val="en-US" w:eastAsia="zh-CN"/>
        </w:rPr>
        <w:t>2026年西安市鄠邑区青年乡创客服务中心建设项目</w:t>
      </w:r>
      <w:r>
        <w:rPr>
          <w:rFonts w:hint="eastAsia" w:ascii="黑体" w:hAnsi="黑体" w:eastAsia="黑体" w:cs="黑体"/>
          <w:b/>
          <w:bCs/>
          <w:sz w:val="44"/>
          <w:szCs w:val="44"/>
        </w:rPr>
        <w:t>协议</w:t>
      </w:r>
      <w:r>
        <w:rPr>
          <w:rFonts w:hint="eastAsia" w:ascii="黑体" w:hAnsi="黑体" w:eastAsia="黑体" w:cs="黑体"/>
          <w:b/>
          <w:bCs/>
          <w:sz w:val="44"/>
          <w:szCs w:val="44"/>
          <w:lang w:eastAsia="zh-CN"/>
        </w:rPr>
        <w:t>书</w:t>
      </w:r>
    </w:p>
    <w:p w14:paraId="5371B3E9">
      <w:pPr>
        <w:rPr>
          <w:rFonts w:hint="eastAsia"/>
        </w:rPr>
      </w:pPr>
    </w:p>
    <w:p w14:paraId="50563686">
      <w:pPr>
        <w:rPr>
          <w:rFonts w:hint="eastAsia"/>
        </w:rPr>
      </w:pPr>
    </w:p>
    <w:p w14:paraId="07BD22E2">
      <w:pPr>
        <w:rPr>
          <w:rFonts w:hint="eastAsia"/>
        </w:rPr>
      </w:pPr>
    </w:p>
    <w:p w14:paraId="6689F1A2">
      <w:pPr>
        <w:rPr>
          <w:rFonts w:hint="eastAsia"/>
        </w:rPr>
      </w:pPr>
    </w:p>
    <w:p w14:paraId="7D3726EC">
      <w:pPr>
        <w:rPr>
          <w:rFonts w:hint="eastAsia"/>
        </w:rPr>
      </w:pPr>
    </w:p>
    <w:p w14:paraId="0317465C">
      <w:pPr>
        <w:rPr>
          <w:rFonts w:hint="eastAsia"/>
        </w:rPr>
      </w:pPr>
    </w:p>
    <w:p w14:paraId="040C5235">
      <w:pPr>
        <w:rPr>
          <w:rFonts w:hint="eastAsia"/>
        </w:rPr>
      </w:pPr>
    </w:p>
    <w:p w14:paraId="7B71BA6D">
      <w:pPr>
        <w:rPr>
          <w:rFonts w:hint="eastAsia"/>
        </w:rPr>
      </w:pPr>
    </w:p>
    <w:p w14:paraId="02CF35E5">
      <w:pPr>
        <w:rPr>
          <w:rFonts w:hint="eastAsia"/>
        </w:rPr>
      </w:pPr>
    </w:p>
    <w:p w14:paraId="58921567">
      <w:pPr>
        <w:rPr>
          <w:rFonts w:hint="eastAsia"/>
        </w:rPr>
      </w:pPr>
    </w:p>
    <w:p w14:paraId="50E70581">
      <w:pPr>
        <w:rPr>
          <w:rFonts w:hint="eastAsia"/>
        </w:rPr>
      </w:pPr>
    </w:p>
    <w:p w14:paraId="44700B2F">
      <w:pPr>
        <w:rPr>
          <w:rFonts w:hint="eastAsia"/>
        </w:rPr>
      </w:pPr>
    </w:p>
    <w:p w14:paraId="19812AA6">
      <w:pPr>
        <w:rPr>
          <w:rFonts w:hint="eastAsia"/>
        </w:rPr>
      </w:pPr>
    </w:p>
    <w:p w14:paraId="2517E7F2">
      <w:pPr>
        <w:rPr>
          <w:rFonts w:hint="eastAsia" w:ascii="仿宋" w:hAnsi="仿宋" w:eastAsia="仿宋" w:cs="仿宋"/>
          <w:sz w:val="32"/>
          <w:szCs w:val="32"/>
        </w:rPr>
      </w:pPr>
    </w:p>
    <w:p w14:paraId="23496ECE">
      <w:pPr>
        <w:rPr>
          <w:rFonts w:hint="eastAsia" w:ascii="仿宋" w:hAnsi="仿宋" w:eastAsia="仿宋" w:cs="仿宋"/>
          <w:sz w:val="32"/>
          <w:szCs w:val="32"/>
        </w:rPr>
      </w:pPr>
    </w:p>
    <w:p w14:paraId="55E6D66A">
      <w:pPr>
        <w:rPr>
          <w:rFonts w:hint="eastAsia" w:ascii="仿宋" w:hAnsi="仿宋" w:eastAsia="仿宋" w:cs="仿宋"/>
          <w:sz w:val="32"/>
          <w:szCs w:val="32"/>
        </w:rPr>
      </w:pPr>
    </w:p>
    <w:p w14:paraId="6E1C2FC4">
      <w:pPr>
        <w:rPr>
          <w:rFonts w:hint="eastAsia" w:ascii="仿宋" w:hAnsi="仿宋" w:eastAsia="仿宋" w:cs="仿宋"/>
          <w:sz w:val="32"/>
          <w:szCs w:val="32"/>
        </w:rPr>
      </w:pPr>
    </w:p>
    <w:p w14:paraId="3CB185AD">
      <w:pPr>
        <w:rPr>
          <w:rFonts w:hint="eastAsia" w:ascii="仿宋" w:hAnsi="仿宋" w:eastAsia="仿宋" w:cs="仿宋"/>
          <w:sz w:val="32"/>
          <w:szCs w:val="32"/>
        </w:rPr>
      </w:pPr>
    </w:p>
    <w:p w14:paraId="4E1CC938">
      <w:pPr>
        <w:rPr>
          <w:rFonts w:hint="eastAsia" w:ascii="仿宋" w:hAnsi="仿宋" w:eastAsia="仿宋" w:cs="仿宋"/>
          <w:sz w:val="32"/>
          <w:szCs w:val="32"/>
        </w:rPr>
      </w:pPr>
    </w:p>
    <w:p w14:paraId="0C4DD887">
      <w:pPr>
        <w:rPr>
          <w:rFonts w:hint="eastAsia" w:ascii="仿宋" w:hAnsi="仿宋" w:eastAsia="仿宋" w:cs="仿宋"/>
          <w:sz w:val="32"/>
          <w:szCs w:val="32"/>
        </w:rPr>
      </w:pPr>
    </w:p>
    <w:p w14:paraId="5840AA31">
      <w:pPr>
        <w:ind w:left="0" w:firstLine="0" w:firstLineChars="0"/>
        <w:jc w:val="center"/>
        <w:rPr>
          <w:rFonts w:hint="eastAsia" w:ascii="仿宋" w:hAnsi="仿宋" w:eastAsia="仿宋" w:cs="仿宋"/>
          <w:sz w:val="32"/>
          <w:szCs w:val="32"/>
          <w:lang w:val="en-US" w:eastAsia="zh-CN"/>
        </w:rPr>
      </w:pPr>
      <w:r>
        <w:rPr>
          <w:rFonts w:hint="eastAsia" w:ascii="仿宋" w:hAnsi="仿宋" w:eastAsia="仿宋" w:cs="仿宋"/>
          <w:sz w:val="32"/>
          <w:szCs w:val="32"/>
        </w:rPr>
        <w:t>甲  方：西安市鄠邑区</w:t>
      </w:r>
      <w:r>
        <w:rPr>
          <w:rFonts w:hint="eastAsia" w:ascii="仿宋" w:hAnsi="仿宋" w:eastAsia="仿宋" w:cs="仿宋"/>
          <w:sz w:val="32"/>
          <w:szCs w:val="32"/>
          <w:lang w:eastAsia="zh-CN"/>
        </w:rPr>
        <w:t>农业农村局</w:t>
      </w:r>
      <w:r>
        <w:rPr>
          <w:rFonts w:hint="eastAsia" w:ascii="仿宋" w:hAnsi="仿宋" w:eastAsia="仿宋" w:cs="仿宋"/>
          <w:sz w:val="32"/>
          <w:szCs w:val="32"/>
          <w:lang w:val="en-US" w:eastAsia="zh-CN"/>
        </w:rPr>
        <w:t xml:space="preserve">  </w:t>
      </w:r>
    </w:p>
    <w:p w14:paraId="22A753AC">
      <w:pPr>
        <w:ind w:left="0" w:firstLine="1920" w:firstLineChars="600"/>
        <w:jc w:val="left"/>
        <w:rPr>
          <w:rFonts w:hint="eastAsia" w:ascii="仿宋" w:hAnsi="仿宋" w:eastAsia="仿宋" w:cs="仿宋"/>
          <w:sz w:val="32"/>
          <w:szCs w:val="32"/>
          <w:lang w:val="en-US" w:eastAsia="zh-CN"/>
        </w:rPr>
      </w:pPr>
      <w:r>
        <w:rPr>
          <w:rFonts w:hint="eastAsia" w:ascii="仿宋" w:hAnsi="仿宋" w:eastAsia="仿宋" w:cs="仿宋"/>
          <w:sz w:val="32"/>
          <w:szCs w:val="32"/>
        </w:rPr>
        <w:t>乙  方：</w:t>
      </w:r>
      <w:r>
        <w:rPr>
          <w:rFonts w:hint="eastAsia" w:ascii="仿宋" w:hAnsi="仿宋" w:eastAsia="仿宋" w:cs="仿宋"/>
          <w:sz w:val="32"/>
          <w:szCs w:val="32"/>
          <w:lang w:val="en-US" w:eastAsia="zh-CN"/>
        </w:rPr>
        <w:t xml:space="preserve">         </w:t>
      </w:r>
    </w:p>
    <w:p w14:paraId="4DF1AB9D">
      <w:pPr>
        <w:ind w:left="0" w:firstLine="1920" w:firstLineChars="6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丙  方：                 </w:t>
      </w:r>
    </w:p>
    <w:p w14:paraId="568F5AC3">
      <w:pPr>
        <w:ind w:left="0" w:firstLine="1920" w:firstLineChars="600"/>
        <w:jc w:val="lef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p>
    <w:p w14:paraId="18BF3F12">
      <w:pPr>
        <w:jc w:val="center"/>
        <w:rPr>
          <w:rFonts w:hint="eastAsia"/>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14:paraId="3A320CD6">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委托方(简称</w:t>
      </w:r>
      <w:r>
        <w:rPr>
          <w:rFonts w:hint="eastAsia" w:ascii="仿宋" w:hAnsi="仿宋" w:eastAsia="仿宋" w:cs="仿宋"/>
          <w:sz w:val="32"/>
          <w:szCs w:val="32"/>
          <w:lang w:eastAsia="zh-CN"/>
        </w:rPr>
        <w:t>委托方</w:t>
      </w:r>
      <w:r>
        <w:rPr>
          <w:rFonts w:hint="eastAsia" w:ascii="仿宋" w:hAnsi="仿宋" w:eastAsia="仿宋" w:cs="仿宋"/>
          <w:sz w:val="32"/>
          <w:szCs w:val="32"/>
        </w:rPr>
        <w:t>):</w:t>
      </w:r>
    </w:p>
    <w:p w14:paraId="5917E86F">
      <w:pPr>
        <w:keepNext w:val="0"/>
        <w:keepLines w:val="0"/>
        <w:pageBreakBefore w:val="0"/>
        <w:kinsoku/>
        <w:wordWrap/>
        <w:topLinePunct w:val="0"/>
        <w:autoSpaceDE/>
        <w:autoSpaceDN/>
        <w:bidi w:val="0"/>
        <w:adjustRightInd/>
        <w:snapToGrid/>
        <w:spacing w:line="560" w:lineRule="exact"/>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法定代表人：</w:t>
      </w:r>
    </w:p>
    <w:p w14:paraId="2BB3A385">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统一社会信用代码：</w:t>
      </w:r>
    </w:p>
    <w:p w14:paraId="05E5F2C6">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地址：</w:t>
      </w:r>
    </w:p>
    <w:p w14:paraId="107FE30A">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联系方式：</w:t>
      </w:r>
    </w:p>
    <w:p w14:paraId="48664929">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rPr>
      </w:pPr>
    </w:p>
    <w:p w14:paraId="441BF7FB">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委托方(简称</w:t>
      </w:r>
      <w:r>
        <w:rPr>
          <w:rFonts w:hint="eastAsia" w:ascii="仿宋" w:hAnsi="仿宋" w:eastAsia="仿宋" w:cs="仿宋"/>
          <w:sz w:val="32"/>
          <w:szCs w:val="32"/>
          <w:lang w:val="en-US" w:eastAsia="zh-CN"/>
        </w:rPr>
        <w:t>委托方</w:t>
      </w:r>
      <w:r>
        <w:rPr>
          <w:rFonts w:hint="eastAsia" w:ascii="仿宋" w:hAnsi="仿宋" w:eastAsia="仿宋" w:cs="仿宋"/>
          <w:sz w:val="32"/>
          <w:szCs w:val="32"/>
        </w:rPr>
        <w:t>):西安市鄠邑区</w:t>
      </w:r>
      <w:r>
        <w:rPr>
          <w:rFonts w:hint="eastAsia" w:ascii="仿宋" w:hAnsi="仿宋" w:eastAsia="仿宋" w:cs="仿宋"/>
          <w:sz w:val="32"/>
          <w:szCs w:val="32"/>
          <w:lang w:eastAsia="zh-CN"/>
        </w:rPr>
        <w:t>农业农村局</w:t>
      </w:r>
    </w:p>
    <w:p w14:paraId="21223781">
      <w:pPr>
        <w:keepNext w:val="0"/>
        <w:keepLines w:val="0"/>
        <w:pageBreakBefore w:val="0"/>
        <w:kinsoku/>
        <w:wordWrap/>
        <w:topLinePunct w:val="0"/>
        <w:autoSpaceDE/>
        <w:autoSpaceDN/>
        <w:bidi w:val="0"/>
        <w:adjustRightInd/>
        <w:snapToGrid/>
        <w:spacing w:line="560" w:lineRule="exact"/>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法定代表人：</w:t>
      </w:r>
    </w:p>
    <w:p w14:paraId="5872A16F">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统一社会信用代码：</w:t>
      </w:r>
    </w:p>
    <w:p w14:paraId="4294E775">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地址：</w:t>
      </w:r>
    </w:p>
    <w:p w14:paraId="3D47A8FF">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联系方式：</w:t>
      </w:r>
    </w:p>
    <w:p w14:paraId="3EEE334C">
      <w:pPr>
        <w:pStyle w:val="5"/>
        <w:rPr>
          <w:rFonts w:hint="eastAsia"/>
        </w:rPr>
      </w:pPr>
    </w:p>
    <w:p w14:paraId="4224C3D7">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受托方(简称</w:t>
      </w:r>
      <w:r>
        <w:rPr>
          <w:rFonts w:hint="eastAsia" w:ascii="仿宋" w:hAnsi="仿宋" w:eastAsia="仿宋" w:cs="仿宋"/>
          <w:sz w:val="32"/>
          <w:szCs w:val="32"/>
          <w:lang w:eastAsia="zh-CN"/>
        </w:rPr>
        <w:t>受托方</w:t>
      </w:r>
      <w:r>
        <w:rPr>
          <w:rFonts w:hint="eastAsia" w:ascii="仿宋" w:hAnsi="仿宋" w:eastAsia="仿宋" w:cs="仿宋"/>
          <w:sz w:val="32"/>
          <w:szCs w:val="32"/>
        </w:rPr>
        <w:t>):</w:t>
      </w:r>
    </w:p>
    <w:p w14:paraId="12A30F7E">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法定代表人： </w:t>
      </w:r>
    </w:p>
    <w:p w14:paraId="123F6EDD">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纳税人识别号： </w:t>
      </w:r>
    </w:p>
    <w:p w14:paraId="010FC66A">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地址:</w:t>
      </w:r>
    </w:p>
    <w:p w14:paraId="380391CB">
      <w:pPr>
        <w:keepNext w:val="0"/>
        <w:keepLines w:val="0"/>
        <w:pageBreakBefore w:val="0"/>
        <w:kinsoku/>
        <w:wordWrap/>
        <w:topLinePunct w:val="0"/>
        <w:autoSpaceDE/>
        <w:autoSpaceDN/>
        <w:bidi w:val="0"/>
        <w:adjustRightInd/>
        <w:snapToGrid/>
        <w:spacing w:line="560" w:lineRule="exact"/>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联系方式： </w:t>
      </w:r>
    </w:p>
    <w:p w14:paraId="2CED1155">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rPr>
      </w:pPr>
      <w:r>
        <w:rPr>
          <w:rFonts w:hint="eastAsia" w:ascii="仿宋_GB2312" w:hAnsi="仿宋_GB2312" w:eastAsia="仿宋_GB2312" w:cs="仿宋_GB2312"/>
          <w:i w:val="0"/>
          <w:iCs w:val="0"/>
          <w:caps w:val="0"/>
          <w:color w:val="000000"/>
          <w:spacing w:val="0"/>
          <w:sz w:val="32"/>
          <w:szCs w:val="32"/>
          <w:lang w:val="en-US" w:eastAsia="zh-CN"/>
        </w:rPr>
        <w:t>根据西安市鄠邑区政府2023年第13次常务会议确定事项和《西安市鄠邑区人民政府办公室关于印发西安市鄠邑区青年乡创客服务中心建设运行方案的通知》（鄠政办发〔2023〕55号）精神</w:t>
      </w:r>
      <w:r>
        <w:rPr>
          <w:rFonts w:hint="eastAsia" w:ascii="仿宋" w:hAnsi="仿宋" w:eastAsia="仿宋" w:cs="仿宋"/>
          <w:sz w:val="32"/>
          <w:szCs w:val="32"/>
        </w:rPr>
        <w:t>，</w:t>
      </w:r>
      <w:r>
        <w:rPr>
          <w:rFonts w:hint="eastAsia" w:ascii="仿宋" w:hAnsi="仿宋" w:eastAsia="仿宋" w:cs="仿宋"/>
          <w:sz w:val="32"/>
          <w:szCs w:val="32"/>
          <w:lang w:val="en-US" w:eastAsia="zh-CN"/>
        </w:rPr>
        <w:t>委托</w:t>
      </w:r>
      <w:r>
        <w:rPr>
          <w:rFonts w:hint="eastAsia" w:ascii="仿宋" w:hAnsi="仿宋" w:eastAsia="仿宋" w:cs="仿宋"/>
          <w:sz w:val="32"/>
          <w:szCs w:val="32"/>
        </w:rPr>
        <w:t>方委托</w:t>
      </w:r>
      <w:r>
        <w:rPr>
          <w:rFonts w:hint="eastAsia" w:ascii="仿宋" w:hAnsi="仿宋" w:eastAsia="仿宋" w:cs="仿宋"/>
          <w:sz w:val="32"/>
          <w:szCs w:val="32"/>
          <w:lang w:val="en-US" w:eastAsia="zh-CN"/>
        </w:rPr>
        <w:t>受托</w:t>
      </w:r>
      <w:r>
        <w:rPr>
          <w:rFonts w:hint="eastAsia" w:ascii="仿宋" w:hAnsi="仿宋" w:eastAsia="仿宋" w:cs="仿宋"/>
          <w:sz w:val="32"/>
          <w:szCs w:val="32"/>
          <w:lang w:eastAsia="zh-CN"/>
        </w:rPr>
        <w:t>方</w:t>
      </w:r>
      <w:r>
        <w:rPr>
          <w:rFonts w:hint="eastAsia" w:ascii="仿宋" w:hAnsi="仿宋" w:eastAsia="仿宋" w:cs="仿宋"/>
          <w:sz w:val="32"/>
          <w:szCs w:val="32"/>
        </w:rPr>
        <w:t>对</w:t>
      </w:r>
      <w:r>
        <w:rPr>
          <w:rFonts w:hint="eastAsia" w:ascii="仿宋" w:hAnsi="仿宋" w:eastAsia="仿宋" w:cs="仿宋"/>
          <w:sz w:val="32"/>
          <w:szCs w:val="32"/>
          <w:lang w:val="en-US" w:eastAsia="zh-CN"/>
        </w:rPr>
        <w:t>2026年西安市鄠邑区青年乡创客服务中心建设项目提供</w:t>
      </w:r>
      <w:r>
        <w:rPr>
          <w:rFonts w:hint="eastAsia" w:ascii="仿宋" w:hAnsi="仿宋" w:eastAsia="仿宋" w:cs="仿宋"/>
          <w:sz w:val="32"/>
          <w:szCs w:val="32"/>
          <w:lang w:eastAsia="zh-CN"/>
        </w:rPr>
        <w:t>日常管理运行</w:t>
      </w:r>
      <w:r>
        <w:rPr>
          <w:rFonts w:hint="eastAsia" w:ascii="仿宋" w:hAnsi="仿宋" w:eastAsia="仿宋" w:cs="仿宋"/>
          <w:sz w:val="32"/>
          <w:szCs w:val="32"/>
        </w:rPr>
        <w:t>服务，根据《中华人民共和国乡村振兴促进法》、《中华人民共和国民法典》及相关法律、法规</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并于陕西省政府采购平台进行单一来源招标，经评审委员会评审后，确定中标结果</w:t>
      </w:r>
      <w:r>
        <w:rPr>
          <w:rFonts w:hint="eastAsia" w:ascii="仿宋" w:hAnsi="仿宋" w:eastAsia="仿宋" w:cs="仿宋"/>
          <w:sz w:val="32"/>
          <w:szCs w:val="32"/>
          <w:highlight w:val="none"/>
        </w:rPr>
        <w:t>，订立本协议，以资双方共同遵照执行。</w:t>
      </w:r>
    </w:p>
    <w:p w14:paraId="37844929">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一、委托期限</w:t>
      </w:r>
    </w:p>
    <w:p w14:paraId="0F5D8798">
      <w:pPr>
        <w:pStyle w:val="4"/>
        <w:keepNext w:val="0"/>
        <w:keepLines w:val="0"/>
        <w:pageBreakBefore w:val="0"/>
        <w:widowControl w:val="0"/>
        <w:kinsoku/>
        <w:wordWrap/>
        <w:topLinePunct w:val="0"/>
        <w:autoSpaceDE/>
        <w:autoSpaceDN/>
        <w:bidi w:val="0"/>
        <w:adjustRightInd/>
        <w:snapToGrid/>
        <w:spacing w:beforeAutospacing="0" w:afterAutospacing="0" w:line="560" w:lineRule="exact"/>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甲委托方委托受托方运行期限，从2026年 月 日起，至2027年 月 日止。鄠邑区青年乡创客服务中心在项目服务周期内全年不休，国家法定节假日安排专人值班，保障中心正常运行。</w:t>
      </w:r>
    </w:p>
    <w:p w14:paraId="6430A7D5">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rPr>
        <w:t>二、服务范围</w:t>
      </w:r>
    </w:p>
    <w:p w14:paraId="61D2FC31">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2026年经团区委请示区政府《关于审定2026年西安市鄠邑区青年乡创客服务中心建设项目联合验收清单的请示》（鄠团字〔2026〕2号）领导审定后，现招标专业公司负责2026年青年乡创客服务中心日常运营管理，发挥“六大中心”职能作用，如期实现年度运行量化目标，吸引青年乡村创业主体投身鄠邑、催化落地乡创项目，打造西安乡创聚集地、乡村产业振兴示范地。</w:t>
      </w:r>
    </w:p>
    <w:p w14:paraId="3AE6CC70">
      <w:pPr>
        <w:keepNext w:val="0"/>
        <w:keepLines w:val="0"/>
        <w:widowControl/>
        <w:suppressLineNumbers w:val="0"/>
        <w:jc w:val="left"/>
        <w:rPr>
          <w:rFonts w:hint="eastAsia" w:ascii="仿宋" w:hAnsi="仿宋" w:eastAsia="仿宋" w:cs="仿宋"/>
          <w:sz w:val="32"/>
          <w:szCs w:val="32"/>
          <w:u w:val="none"/>
          <w:lang w:eastAsia="zh-CN"/>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具体实施内容如下：</w:t>
      </w:r>
    </w:p>
    <w:p w14:paraId="49F1E925">
      <w:pPr>
        <w:pStyle w:val="2"/>
        <w:rPr>
          <w:rFonts w:hint="eastAsia"/>
          <w:lang w:eastAsia="zh-CN"/>
        </w:rPr>
      </w:pPr>
    </w:p>
    <w:tbl>
      <w:tblPr>
        <w:tblStyle w:val="8"/>
        <w:tblW w:w="8797" w:type="dxa"/>
        <w:tblInd w:w="96" w:type="dxa"/>
        <w:tblLayout w:type="fixed"/>
        <w:tblCellMar>
          <w:top w:w="0" w:type="dxa"/>
          <w:left w:w="108" w:type="dxa"/>
          <w:bottom w:w="0" w:type="dxa"/>
          <w:right w:w="108" w:type="dxa"/>
        </w:tblCellMar>
      </w:tblPr>
      <w:tblGrid>
        <w:gridCol w:w="741"/>
        <w:gridCol w:w="438"/>
        <w:gridCol w:w="412"/>
        <w:gridCol w:w="625"/>
        <w:gridCol w:w="700"/>
        <w:gridCol w:w="3293"/>
        <w:gridCol w:w="2588"/>
      </w:tblGrid>
      <w:tr w14:paraId="16A75ACA">
        <w:tblPrEx>
          <w:tblCellMar>
            <w:top w:w="0" w:type="dxa"/>
            <w:left w:w="108" w:type="dxa"/>
            <w:bottom w:w="0" w:type="dxa"/>
            <w:right w:w="108" w:type="dxa"/>
          </w:tblCellMar>
        </w:tblPrEx>
        <w:trPr>
          <w:trHeight w:val="782" w:hRule="atLeast"/>
          <w:tblHeader/>
        </w:trPr>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5EE21">
            <w:pPr>
              <w:pStyle w:val="2"/>
              <w:ind w:firstLine="482"/>
              <w:jc w:val="center"/>
              <w:rPr>
                <w:rFonts w:ascii="黑体" w:hAnsi="黑体" w:eastAsia="黑体" w:cs="黑体"/>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8BFB4">
            <w:pPr>
              <w:pStyle w:val="2"/>
              <w:ind w:firstLine="0" w:firstLineChars="0"/>
              <w:jc w:val="center"/>
              <w:rPr>
                <w:rFonts w:ascii="黑体" w:hAnsi="黑体" w:eastAsia="黑体" w:cs="黑体"/>
                <w:b/>
                <w:bCs/>
                <w:sz w:val="24"/>
                <w:szCs w:val="24"/>
              </w:rPr>
            </w:pPr>
            <w:r>
              <w:rPr>
                <w:rFonts w:hint="eastAsia" w:ascii="黑体" w:hAnsi="黑体" w:eastAsia="黑体" w:cs="黑体"/>
                <w:b/>
                <w:bCs/>
                <w:sz w:val="24"/>
                <w:szCs w:val="24"/>
              </w:rPr>
              <w:t>序号</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9E77">
            <w:pPr>
              <w:pStyle w:val="2"/>
              <w:ind w:firstLine="0" w:firstLineChars="0"/>
              <w:jc w:val="center"/>
              <w:rPr>
                <w:rFonts w:ascii="黑体" w:hAnsi="黑体" w:eastAsia="黑体" w:cs="黑体"/>
                <w:b/>
                <w:bCs/>
                <w:sz w:val="24"/>
                <w:szCs w:val="24"/>
              </w:rPr>
            </w:pPr>
            <w:r>
              <w:rPr>
                <w:rFonts w:hint="eastAsia" w:ascii="黑体" w:hAnsi="黑体" w:eastAsia="黑体" w:cs="黑体"/>
                <w:b/>
                <w:bCs/>
                <w:sz w:val="24"/>
                <w:szCs w:val="24"/>
              </w:rPr>
              <w:t>分值</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81FF0F">
            <w:pPr>
              <w:pStyle w:val="2"/>
              <w:ind w:firstLine="0" w:firstLineChars="0"/>
              <w:jc w:val="center"/>
              <w:rPr>
                <w:rFonts w:hint="default" w:ascii="黑体" w:hAnsi="黑体" w:eastAsia="黑体" w:cs="黑体"/>
                <w:sz w:val="24"/>
                <w:szCs w:val="24"/>
                <w:lang w:val="en-US" w:eastAsia="zh-CN"/>
              </w:rPr>
            </w:pPr>
            <w:r>
              <w:rPr>
                <w:rFonts w:hint="eastAsia" w:ascii="黑体" w:hAnsi="黑体" w:eastAsia="黑体" w:cs="黑体"/>
                <w:sz w:val="24"/>
                <w:szCs w:val="24"/>
                <w:lang w:val="en-US" w:eastAsia="zh-CN"/>
              </w:rPr>
              <w:t>项目实施内容</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3FB57">
            <w:pPr>
              <w:pStyle w:val="2"/>
              <w:ind w:firstLine="480"/>
              <w:jc w:val="center"/>
              <w:rPr>
                <w:rFonts w:ascii="黑体" w:hAnsi="黑体" w:eastAsia="黑体" w:cs="黑体"/>
                <w:sz w:val="24"/>
                <w:szCs w:val="24"/>
              </w:rPr>
            </w:pPr>
            <w:r>
              <w:rPr>
                <w:rFonts w:hint="eastAsia" w:ascii="黑体" w:hAnsi="黑体" w:eastAsia="黑体" w:cs="黑体"/>
                <w:sz w:val="24"/>
                <w:szCs w:val="24"/>
              </w:rPr>
              <w:t>佐证资料清单</w:t>
            </w:r>
          </w:p>
        </w:tc>
      </w:tr>
      <w:tr w14:paraId="4334F1D8">
        <w:tblPrEx>
          <w:tblCellMar>
            <w:top w:w="0" w:type="dxa"/>
            <w:left w:w="108" w:type="dxa"/>
            <w:bottom w:w="0" w:type="dxa"/>
            <w:right w:w="108" w:type="dxa"/>
          </w:tblCellMar>
        </w:tblPrEx>
        <w:trPr>
          <w:cantSplit/>
          <w:trHeight w:val="2551"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111F9">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空间运营</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（8分）</w:t>
            </w:r>
          </w:p>
        </w:tc>
        <w:tc>
          <w:tcPr>
            <w:tcW w:w="4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E6097">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A4A6C">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8分</w:t>
            </w:r>
          </w:p>
        </w:tc>
        <w:tc>
          <w:tcPr>
            <w:tcW w:w="461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037CA">
            <w:pPr>
              <w:pStyle w:val="2"/>
              <w:ind w:firstLine="48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组建不少于6人的专业团队负责中心的决策、管理、日常运行工作，包括1名中心负责人和不少于5名相关方面专员。及时足额支付人员工资补贴，保障运行团队人员稳定。负责及时足额缴纳中心及相关场地的水、电、气、网等运行费用，负责乡创客中心内外部的环境清扫保洁和内外部设施的日常维护维修。</w:t>
            </w:r>
          </w:p>
        </w:tc>
        <w:tc>
          <w:tcPr>
            <w:tcW w:w="2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C0F0C">
            <w:pPr>
              <w:pStyle w:val="2"/>
              <w:ind w:firstLine="48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1.乡创客服务中心人员结构情况，人员考勤表、人员工资支付明细，专职人员劳动合同、社保缴纳凭证。</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    2.中心的水、电、气、网等运行费用及日常保洁、维护维修费用清单。</w:t>
            </w:r>
          </w:p>
        </w:tc>
      </w:tr>
      <w:tr w14:paraId="3AF9B406">
        <w:tblPrEx>
          <w:tblCellMar>
            <w:top w:w="0" w:type="dxa"/>
            <w:left w:w="108" w:type="dxa"/>
            <w:bottom w:w="0" w:type="dxa"/>
            <w:right w:w="108" w:type="dxa"/>
          </w:tblCellMar>
        </w:tblPrEx>
        <w:trPr>
          <w:trHeight w:val="312"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4A216">
            <w:pPr>
              <w:pStyle w:val="2"/>
              <w:ind w:firstLine="482"/>
              <w:jc w:val="center"/>
              <w:rPr>
                <w:rFonts w:ascii="仿宋_GB2312" w:hAnsi="仿宋_GB2312" w:eastAsia="仿宋_GB2312" w:cs="仿宋_GB2312"/>
                <w:b/>
                <w:bCs/>
                <w:sz w:val="24"/>
                <w:szCs w:val="24"/>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785BF">
            <w:pPr>
              <w:pStyle w:val="2"/>
              <w:ind w:firstLine="482"/>
              <w:jc w:val="center"/>
              <w:rPr>
                <w:rFonts w:ascii="仿宋_GB2312" w:hAnsi="仿宋_GB2312" w:eastAsia="仿宋_GB2312" w:cs="仿宋_GB2312"/>
                <w:b/>
                <w:bCs/>
                <w:sz w:val="24"/>
                <w:szCs w:val="24"/>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0D698">
            <w:pPr>
              <w:pStyle w:val="2"/>
              <w:ind w:firstLine="482"/>
              <w:jc w:val="center"/>
              <w:rPr>
                <w:rFonts w:ascii="仿宋_GB2312" w:hAnsi="仿宋_GB2312" w:eastAsia="仿宋_GB2312" w:cs="仿宋_GB2312"/>
                <w:b/>
                <w:bCs/>
                <w:sz w:val="24"/>
                <w:szCs w:val="24"/>
              </w:rPr>
            </w:pPr>
          </w:p>
        </w:tc>
        <w:tc>
          <w:tcPr>
            <w:tcW w:w="461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6DA13">
            <w:pPr>
              <w:pStyle w:val="2"/>
              <w:ind w:firstLine="480"/>
              <w:rPr>
                <w:rFonts w:ascii="仿宋_GB2312" w:hAnsi="仿宋_GB2312" w:eastAsia="仿宋_GB2312" w:cs="仿宋_GB2312"/>
                <w:sz w:val="24"/>
                <w:szCs w:val="24"/>
              </w:rPr>
            </w:pPr>
          </w:p>
        </w:tc>
        <w:tc>
          <w:tcPr>
            <w:tcW w:w="2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1DF80">
            <w:pPr>
              <w:pStyle w:val="2"/>
              <w:ind w:firstLine="480"/>
              <w:rPr>
                <w:rFonts w:ascii="仿宋_GB2312" w:hAnsi="仿宋_GB2312" w:eastAsia="仿宋_GB2312" w:cs="仿宋_GB2312"/>
                <w:sz w:val="24"/>
                <w:szCs w:val="24"/>
              </w:rPr>
            </w:pPr>
          </w:p>
        </w:tc>
      </w:tr>
      <w:tr w14:paraId="24D7F585">
        <w:tblPrEx>
          <w:tblCellMar>
            <w:top w:w="0" w:type="dxa"/>
            <w:left w:w="108" w:type="dxa"/>
            <w:bottom w:w="0" w:type="dxa"/>
            <w:right w:w="108" w:type="dxa"/>
          </w:tblCellMar>
        </w:tblPrEx>
        <w:trPr>
          <w:trHeight w:val="250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63921">
            <w:pPr>
              <w:pStyle w:val="2"/>
              <w:ind w:firstLine="482"/>
              <w:jc w:val="center"/>
              <w:rPr>
                <w:rFonts w:ascii="仿宋_GB2312" w:hAnsi="仿宋_GB2312" w:eastAsia="仿宋_GB2312" w:cs="仿宋_GB2312"/>
                <w:b/>
                <w:bCs/>
                <w:sz w:val="24"/>
                <w:szCs w:val="24"/>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2141C">
            <w:pPr>
              <w:pStyle w:val="2"/>
              <w:ind w:firstLine="482"/>
              <w:jc w:val="center"/>
              <w:rPr>
                <w:rFonts w:ascii="仿宋_GB2312" w:hAnsi="仿宋_GB2312" w:eastAsia="仿宋_GB2312" w:cs="仿宋_GB2312"/>
                <w:b/>
                <w:bCs/>
                <w:sz w:val="24"/>
                <w:szCs w:val="24"/>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EDCF7">
            <w:pPr>
              <w:pStyle w:val="2"/>
              <w:ind w:firstLine="482"/>
              <w:jc w:val="center"/>
              <w:rPr>
                <w:rFonts w:ascii="仿宋_GB2312" w:hAnsi="仿宋_GB2312" w:eastAsia="仿宋_GB2312" w:cs="仿宋_GB2312"/>
                <w:b/>
                <w:bCs/>
                <w:sz w:val="24"/>
                <w:szCs w:val="24"/>
              </w:rPr>
            </w:pP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F42299">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负责根据需要足额采购中心办公用品、会议用品、小型设施设备等中心基本运行所需，保障中心日常办公费、会议费、小型接待等费用支出。负责支付中心建设成本28.5万元/年、村集体资产租金4.84万元/年及乡创客市集软装成本4万/年。</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C30DB">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采购办公用品、会议用品、小型设施设备等费用支出清单明细，支付中心建设成本及租金相关支付票据等。</w:t>
            </w:r>
          </w:p>
        </w:tc>
      </w:tr>
      <w:tr w14:paraId="783B87D1">
        <w:tblPrEx>
          <w:tblCellMar>
            <w:top w:w="0" w:type="dxa"/>
            <w:left w:w="108" w:type="dxa"/>
            <w:bottom w:w="0" w:type="dxa"/>
            <w:right w:w="108" w:type="dxa"/>
          </w:tblCellMar>
        </w:tblPrEx>
        <w:trPr>
          <w:trHeight w:val="2706" w:hRule="atLeast"/>
        </w:trPr>
        <w:tc>
          <w:tcPr>
            <w:tcW w:w="741" w:type="dxa"/>
            <w:vMerge w:val="restart"/>
            <w:tcBorders>
              <w:top w:val="single" w:color="000000" w:sz="4" w:space="0"/>
              <w:left w:val="single" w:color="000000" w:sz="4" w:space="0"/>
              <w:right w:val="single" w:color="000000" w:sz="4" w:space="0"/>
            </w:tcBorders>
            <w:shd w:val="clear" w:color="auto" w:fill="auto"/>
            <w:vAlign w:val="center"/>
          </w:tcPr>
          <w:p w14:paraId="3D2E1A97">
            <w:pPr>
              <w:ind w:left="0" w:leftChars="0" w:firstLine="0" w:firstLineChars="0"/>
              <w:jc w:val="center"/>
            </w:pPr>
            <w:r>
              <w:rPr>
                <w:rFonts w:hint="eastAsia" w:ascii="仿宋_GB2312" w:hAnsi="仿宋_GB2312" w:eastAsia="仿宋_GB2312" w:cs="仿宋_GB2312"/>
                <w:b/>
                <w:bCs/>
                <w:sz w:val="24"/>
                <w:szCs w:val="24"/>
              </w:rPr>
              <w:t>空间运营</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（8分）</w:t>
            </w:r>
          </w:p>
        </w:tc>
        <w:tc>
          <w:tcPr>
            <w:tcW w:w="438" w:type="dxa"/>
            <w:vMerge w:val="restart"/>
            <w:tcBorders>
              <w:top w:val="single" w:color="000000" w:sz="4" w:space="0"/>
              <w:left w:val="single" w:color="000000" w:sz="4" w:space="0"/>
              <w:right w:val="single" w:color="000000" w:sz="4" w:space="0"/>
            </w:tcBorders>
            <w:shd w:val="clear" w:color="auto" w:fill="auto"/>
            <w:vAlign w:val="center"/>
          </w:tcPr>
          <w:p w14:paraId="058FDA28">
            <w:pPr>
              <w:pStyle w:val="2"/>
              <w:ind w:left="0" w:leftChars="0" w:firstLine="0" w:firstLineChars="0"/>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1</w:t>
            </w:r>
          </w:p>
        </w:tc>
        <w:tc>
          <w:tcPr>
            <w:tcW w:w="412" w:type="dxa"/>
            <w:vMerge w:val="restart"/>
            <w:tcBorders>
              <w:top w:val="single" w:color="000000" w:sz="4" w:space="0"/>
              <w:left w:val="single" w:color="000000" w:sz="4" w:space="0"/>
              <w:right w:val="single" w:color="000000" w:sz="4" w:space="0"/>
            </w:tcBorders>
            <w:shd w:val="clear" w:color="auto" w:fill="auto"/>
            <w:vAlign w:val="center"/>
          </w:tcPr>
          <w:p w14:paraId="552DB8EC">
            <w:pPr>
              <w:pStyle w:val="2"/>
              <w:ind w:left="0" w:leftChars="0" w:firstLine="0" w:firstLineChars="0"/>
              <w:jc w:val="center"/>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8分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A3934F">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负责青年乡创客服务中心全年运行保障，实行每日开放不少于8小时、节假日正常开放、全年无休制度，确保项目稳定高效运转。重点完善服务中心综合服务功能，主要服务数字游民社群及乡创客群体，满足日常交流、活动开展、便民服务等常态化需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EB366">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乡创客服务中心运营讲座会务、开放日志、值班表、监控记录等相关图片资料。</w:t>
            </w:r>
          </w:p>
        </w:tc>
      </w:tr>
      <w:tr w14:paraId="623533E5">
        <w:tblPrEx>
          <w:tblCellMar>
            <w:top w:w="0" w:type="dxa"/>
            <w:left w:w="108" w:type="dxa"/>
            <w:bottom w:w="0" w:type="dxa"/>
            <w:right w:w="108" w:type="dxa"/>
          </w:tblCellMar>
        </w:tblPrEx>
        <w:trPr>
          <w:trHeight w:val="2939"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8B263">
            <w:pPr>
              <w:pStyle w:val="2"/>
              <w:ind w:firstLine="482"/>
              <w:jc w:val="center"/>
              <w:rPr>
                <w:rFonts w:ascii="仿宋_GB2312" w:hAnsi="仿宋_GB2312" w:eastAsia="仿宋_GB2312" w:cs="仿宋_GB2312"/>
                <w:b/>
                <w:bCs/>
                <w:sz w:val="24"/>
                <w:szCs w:val="24"/>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A031F">
            <w:pPr>
              <w:pStyle w:val="2"/>
              <w:ind w:firstLine="482"/>
              <w:jc w:val="center"/>
              <w:rPr>
                <w:rFonts w:ascii="仿宋_GB2312" w:hAnsi="仿宋_GB2312" w:eastAsia="仿宋_GB2312" w:cs="仿宋_GB2312"/>
                <w:b/>
                <w:bCs/>
                <w:sz w:val="24"/>
                <w:szCs w:val="24"/>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C957C">
            <w:pPr>
              <w:pStyle w:val="2"/>
              <w:ind w:firstLine="482"/>
              <w:jc w:val="center"/>
              <w:rPr>
                <w:rFonts w:ascii="仿宋_GB2312" w:hAnsi="仿宋_GB2312" w:eastAsia="仿宋_GB2312" w:cs="仿宋_GB2312"/>
                <w:b/>
                <w:bCs/>
                <w:sz w:val="24"/>
                <w:szCs w:val="24"/>
              </w:rPr>
            </w:pP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AD326C">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负责乡创客市集全年正常运行，优先用于拓展乡创客服务中心服务空间，有效承载乡村创业人员共享办公、乡创项目孵化培育，满足乡创客服务中心举办大型创客会议、讲座会务、产业路演、办公配套等需求。</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C78B7">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乡创客市集日常运行、大型创客会议、讲座会务等相关图片资料。</w:t>
            </w:r>
          </w:p>
        </w:tc>
      </w:tr>
      <w:tr w14:paraId="5EB73A85">
        <w:tblPrEx>
          <w:tblCellMar>
            <w:top w:w="0" w:type="dxa"/>
            <w:left w:w="108" w:type="dxa"/>
            <w:bottom w:w="0" w:type="dxa"/>
            <w:right w:w="108" w:type="dxa"/>
          </w:tblCellMar>
        </w:tblPrEx>
        <w:trPr>
          <w:trHeight w:val="1984"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57F9F">
            <w:pPr>
              <w:pStyle w:val="2"/>
              <w:ind w:firstLine="482"/>
              <w:jc w:val="center"/>
              <w:rPr>
                <w:rFonts w:ascii="仿宋_GB2312" w:hAnsi="仿宋_GB2312" w:eastAsia="仿宋_GB2312" w:cs="仿宋_GB2312"/>
                <w:b/>
                <w:bCs/>
                <w:sz w:val="24"/>
                <w:szCs w:val="24"/>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989A2">
            <w:pPr>
              <w:pStyle w:val="2"/>
              <w:ind w:firstLine="482"/>
              <w:jc w:val="center"/>
              <w:rPr>
                <w:rFonts w:ascii="仿宋_GB2312" w:hAnsi="仿宋_GB2312" w:eastAsia="仿宋_GB2312" w:cs="仿宋_GB2312"/>
                <w:b/>
                <w:bCs/>
                <w:sz w:val="24"/>
                <w:szCs w:val="24"/>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9C6FD">
            <w:pPr>
              <w:pStyle w:val="2"/>
              <w:ind w:firstLine="482"/>
              <w:jc w:val="center"/>
              <w:rPr>
                <w:rFonts w:ascii="仿宋_GB2312" w:hAnsi="仿宋_GB2312" w:eastAsia="仿宋_GB2312" w:cs="仿宋_GB2312"/>
                <w:b/>
                <w:bCs/>
                <w:sz w:val="24"/>
                <w:szCs w:val="24"/>
              </w:rPr>
            </w:pP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493744">
            <w:pPr>
              <w:pStyle w:val="2"/>
              <w:ind w:firstLine="48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完善办公设备、活动场地等硬件设施，确保所有硬件可正常使用，保障日常运营与活动开展。</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CE466">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设施巡检记录、维修台账。</w:t>
            </w:r>
          </w:p>
        </w:tc>
      </w:tr>
      <w:tr w14:paraId="19B05965">
        <w:tblPrEx>
          <w:tblCellMar>
            <w:top w:w="0" w:type="dxa"/>
            <w:left w:w="108" w:type="dxa"/>
            <w:bottom w:w="0" w:type="dxa"/>
            <w:right w:w="108" w:type="dxa"/>
          </w:tblCellMar>
        </w:tblPrEx>
        <w:trPr>
          <w:trHeight w:val="3230"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E1D824">
            <w:pPr>
              <w:pStyle w:val="2"/>
              <w:ind w:firstLine="0" w:firstLineChars="0"/>
              <w:jc w:val="center"/>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职能定位，发挥鄠邑乡创客服务中心“六大中心”职能</w:t>
            </w:r>
            <w:r>
              <w:rPr>
                <w:rFonts w:hint="eastAsia" w:ascii="仿宋_GB2312" w:hAnsi="仿宋_GB2312" w:eastAsia="仿宋_GB2312" w:cs="仿宋_GB2312"/>
                <w:b/>
                <w:bCs/>
                <w:color w:val="000000" w:themeColor="text1"/>
                <w:sz w:val="24"/>
                <w:szCs w:val="24"/>
                <w14:textFill>
                  <w14:solidFill>
                    <w14:schemeClr w14:val="tx1"/>
                  </w14:solidFill>
                </w14:textFill>
              </w:rPr>
              <w:br w:type="textWrapping"/>
            </w:r>
            <w:r>
              <w:rPr>
                <w:rFonts w:hint="eastAsia" w:ascii="仿宋_GB2312" w:hAnsi="仿宋_GB2312" w:eastAsia="仿宋_GB2312" w:cs="仿宋_GB2312"/>
                <w:b/>
                <w:bCs/>
                <w:color w:val="000000" w:themeColor="text1"/>
                <w:sz w:val="24"/>
                <w:szCs w:val="24"/>
                <w14:textFill>
                  <w14:solidFill>
                    <w14:schemeClr w14:val="tx1"/>
                  </w14:solidFill>
                </w14:textFill>
              </w:rPr>
              <w:t>（3分）</w:t>
            </w:r>
          </w:p>
        </w:tc>
        <w:tc>
          <w:tcPr>
            <w:tcW w:w="4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B523A4">
            <w:pPr>
              <w:pStyle w:val="2"/>
              <w:ind w:firstLine="0" w:firstLineChars="0"/>
              <w:jc w:val="center"/>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2</w:t>
            </w: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7A6207">
            <w:pPr>
              <w:pStyle w:val="2"/>
              <w:ind w:firstLine="0" w:firstLineChars="0"/>
              <w:jc w:val="center"/>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3分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B5DED5">
            <w:pPr>
              <w:pStyle w:val="2"/>
              <w:ind w:firstLine="482"/>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（1）乡村创客展示和流量中心：</w:t>
            </w:r>
            <w:r>
              <w:rPr>
                <w:rFonts w:hint="eastAsia" w:ascii="仿宋_GB2312" w:hAnsi="仿宋_GB2312" w:eastAsia="仿宋_GB2312" w:cs="仿宋_GB2312"/>
                <w:color w:val="000000" w:themeColor="text1"/>
                <w:sz w:val="24"/>
                <w:szCs w:val="24"/>
                <w14:textFill>
                  <w14:solidFill>
                    <w14:schemeClr w14:val="tx1"/>
                  </w14:solidFill>
                </w14:textFill>
              </w:rPr>
              <w:t>编制专业讲解案例、材料，通过音视频、展板等形式进行展示，讲好乡创故事、宣传乡创政策，吸引青年乡村创业者进入“乡创意向线索池”，成为有意向到鄠邑区乡村创业青年的导入窗口和流量分发中心；</w:t>
            </w:r>
          </w:p>
        </w:tc>
        <w:tc>
          <w:tcPr>
            <w:tcW w:w="2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86FC5">
            <w:pPr>
              <w:pStyle w:val="2"/>
              <w:ind w:firstLine="48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乡创客服务中心总体职责、组织架构、六大中心工作开展情况及活动资料。</w:t>
            </w:r>
          </w:p>
        </w:tc>
      </w:tr>
      <w:tr w14:paraId="74D2872A">
        <w:tblPrEx>
          <w:tblCellMar>
            <w:top w:w="0" w:type="dxa"/>
            <w:left w:w="108" w:type="dxa"/>
            <w:bottom w:w="0" w:type="dxa"/>
            <w:right w:w="108" w:type="dxa"/>
          </w:tblCellMar>
        </w:tblPrEx>
        <w:trPr>
          <w:trHeight w:val="3162"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C5422">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0E3D2">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13166">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8EBB66">
            <w:pPr>
              <w:pStyle w:val="2"/>
              <w:ind w:firstLine="482"/>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（2）乡创项目路演评审中心：</w:t>
            </w:r>
            <w:r>
              <w:rPr>
                <w:rFonts w:hint="eastAsia" w:ascii="仿宋_GB2312" w:hAnsi="仿宋_GB2312" w:eastAsia="仿宋_GB2312" w:cs="仿宋_GB2312"/>
                <w:color w:val="000000" w:themeColor="text1"/>
                <w:sz w:val="24"/>
                <w:szCs w:val="24"/>
                <w14:textFill>
                  <w14:solidFill>
                    <w14:schemeClr w14:val="tx1"/>
                  </w14:solidFill>
                </w14:textFill>
              </w:rPr>
              <w:t>为青年乡村创业提供路演场景、评审服务，从创业种子到商业计划全程跟踪指导服务，开展商业计划评审，提供专家、资源、资金、政策对接；将路演成功的企业导入乡创孵化器或分发至全区相关产业聚集区域；</w:t>
            </w:r>
          </w:p>
        </w:tc>
        <w:tc>
          <w:tcPr>
            <w:tcW w:w="2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70473">
            <w:pPr>
              <w:pStyle w:val="2"/>
              <w:ind w:firstLine="480"/>
              <w:rPr>
                <w:rFonts w:ascii="仿宋_GB2312" w:hAnsi="仿宋_GB2312" w:eastAsia="仿宋_GB2312" w:cs="仿宋_GB2312"/>
                <w:color w:val="000000" w:themeColor="text1"/>
                <w:sz w:val="24"/>
                <w:szCs w:val="24"/>
                <w14:textFill>
                  <w14:solidFill>
                    <w14:schemeClr w14:val="tx1"/>
                  </w14:solidFill>
                </w14:textFill>
              </w:rPr>
            </w:pPr>
          </w:p>
        </w:tc>
      </w:tr>
      <w:tr w14:paraId="22D3597E">
        <w:tblPrEx>
          <w:tblCellMar>
            <w:top w:w="0" w:type="dxa"/>
            <w:left w:w="108" w:type="dxa"/>
            <w:bottom w:w="0" w:type="dxa"/>
            <w:right w:w="108" w:type="dxa"/>
          </w:tblCellMar>
        </w:tblPrEx>
        <w:trPr>
          <w:trHeight w:val="2084"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A2CEC">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0AB334">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F2F3A">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914C87">
            <w:pPr>
              <w:pStyle w:val="2"/>
              <w:ind w:firstLine="482"/>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（3）乡村创业共享办公中心：</w:t>
            </w:r>
            <w:r>
              <w:rPr>
                <w:rFonts w:hint="eastAsia" w:ascii="仿宋_GB2312" w:hAnsi="仿宋_GB2312" w:eastAsia="仿宋_GB2312" w:cs="仿宋_GB2312"/>
                <w:color w:val="000000" w:themeColor="text1"/>
                <w:sz w:val="24"/>
                <w:szCs w:val="24"/>
                <w14:textFill>
                  <w14:solidFill>
                    <w14:schemeClr w14:val="tx1"/>
                  </w14:solidFill>
                </w14:textFill>
              </w:rPr>
              <w:t>通过体验场景、工作区域的提供，让创业青年体验鄠邑乡村生活，实现从乡村体验者变为乡村创业者的转变；</w:t>
            </w:r>
          </w:p>
        </w:tc>
        <w:tc>
          <w:tcPr>
            <w:tcW w:w="2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4BE77">
            <w:pPr>
              <w:pStyle w:val="2"/>
              <w:ind w:firstLine="480"/>
              <w:rPr>
                <w:rFonts w:ascii="仿宋_GB2312" w:hAnsi="仿宋_GB2312" w:eastAsia="仿宋_GB2312" w:cs="仿宋_GB2312"/>
                <w:color w:val="000000" w:themeColor="text1"/>
                <w:sz w:val="24"/>
                <w:szCs w:val="24"/>
                <w14:textFill>
                  <w14:solidFill>
                    <w14:schemeClr w14:val="tx1"/>
                  </w14:solidFill>
                </w14:textFill>
              </w:rPr>
            </w:pPr>
          </w:p>
        </w:tc>
      </w:tr>
      <w:tr w14:paraId="3C5C21EB">
        <w:tblPrEx>
          <w:tblCellMar>
            <w:top w:w="0" w:type="dxa"/>
            <w:left w:w="108" w:type="dxa"/>
            <w:bottom w:w="0" w:type="dxa"/>
            <w:right w:w="108" w:type="dxa"/>
          </w:tblCellMar>
        </w:tblPrEx>
        <w:trPr>
          <w:trHeight w:val="3086" w:hRule="atLeast"/>
        </w:trPr>
        <w:tc>
          <w:tcPr>
            <w:tcW w:w="741" w:type="dxa"/>
            <w:vMerge w:val="restart"/>
            <w:tcBorders>
              <w:top w:val="single" w:color="000000" w:sz="4" w:space="0"/>
              <w:left w:val="single" w:color="000000" w:sz="4" w:space="0"/>
              <w:right w:val="single" w:color="000000" w:sz="4" w:space="0"/>
            </w:tcBorders>
            <w:shd w:val="clear" w:color="auto" w:fill="auto"/>
            <w:vAlign w:val="center"/>
          </w:tcPr>
          <w:p w14:paraId="3D4C58B6">
            <w:pPr>
              <w:pStyle w:val="2"/>
              <w:ind w:firstLine="0" w:firstLineChars="0"/>
              <w:jc w:val="center"/>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职能定位，发挥鄠邑乡创客服务中心“六大中心”职能</w:t>
            </w:r>
            <w:r>
              <w:rPr>
                <w:rFonts w:hint="eastAsia" w:ascii="仿宋_GB2312" w:hAnsi="仿宋_GB2312" w:eastAsia="仿宋_GB2312" w:cs="仿宋_GB2312"/>
                <w:b/>
                <w:bCs/>
                <w:color w:val="000000" w:themeColor="text1"/>
                <w:sz w:val="24"/>
                <w:szCs w:val="24"/>
                <w14:textFill>
                  <w14:solidFill>
                    <w14:schemeClr w14:val="tx1"/>
                  </w14:solidFill>
                </w14:textFill>
              </w:rPr>
              <w:br w:type="textWrapping"/>
            </w:r>
            <w:r>
              <w:rPr>
                <w:rFonts w:hint="eastAsia" w:ascii="仿宋_GB2312" w:hAnsi="仿宋_GB2312" w:eastAsia="仿宋_GB2312" w:cs="仿宋_GB2312"/>
                <w:b/>
                <w:bCs/>
                <w:color w:val="000000" w:themeColor="text1"/>
                <w:sz w:val="24"/>
                <w:szCs w:val="24"/>
                <w14:textFill>
                  <w14:solidFill>
                    <w14:schemeClr w14:val="tx1"/>
                  </w14:solidFill>
                </w14:textFill>
              </w:rPr>
              <w:t>（3分）</w:t>
            </w:r>
          </w:p>
        </w:tc>
        <w:tc>
          <w:tcPr>
            <w:tcW w:w="438" w:type="dxa"/>
            <w:vMerge w:val="restart"/>
            <w:tcBorders>
              <w:top w:val="single" w:color="000000" w:sz="4" w:space="0"/>
              <w:left w:val="single" w:color="000000" w:sz="4" w:space="0"/>
              <w:right w:val="single" w:color="000000" w:sz="4" w:space="0"/>
            </w:tcBorders>
            <w:shd w:val="clear" w:color="auto" w:fill="auto"/>
            <w:vAlign w:val="center"/>
          </w:tcPr>
          <w:p w14:paraId="479EC11E">
            <w:pPr>
              <w:pStyle w:val="2"/>
              <w:ind w:firstLine="0" w:firstLineChars="0"/>
              <w:jc w:val="center"/>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2</w:t>
            </w:r>
          </w:p>
        </w:tc>
        <w:tc>
          <w:tcPr>
            <w:tcW w:w="412" w:type="dxa"/>
            <w:vMerge w:val="restart"/>
            <w:tcBorders>
              <w:top w:val="single" w:color="000000" w:sz="4" w:space="0"/>
              <w:left w:val="single" w:color="000000" w:sz="4" w:space="0"/>
              <w:right w:val="single" w:color="000000" w:sz="4" w:space="0"/>
            </w:tcBorders>
            <w:shd w:val="clear" w:color="auto" w:fill="auto"/>
            <w:vAlign w:val="center"/>
          </w:tcPr>
          <w:p w14:paraId="26F8C38F">
            <w:pPr>
              <w:pStyle w:val="2"/>
              <w:ind w:firstLine="0" w:firstLineChars="0"/>
              <w:jc w:val="center"/>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3分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01F24F">
            <w:pPr>
              <w:pStyle w:val="2"/>
              <w:ind w:firstLine="482" w:firstLineChars="200"/>
              <w:rPr>
                <w:rFonts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（4）乡村创业宣传推广中心：</w:t>
            </w:r>
            <w:r>
              <w:rPr>
                <w:rFonts w:hint="eastAsia" w:ascii="仿宋_GB2312" w:hAnsi="仿宋_GB2312" w:eastAsia="仿宋_GB2312" w:cs="仿宋_GB2312"/>
                <w:color w:val="000000" w:themeColor="text1"/>
                <w:sz w:val="24"/>
                <w:szCs w:val="24"/>
                <w14:textFill>
                  <w14:solidFill>
                    <w14:schemeClr w14:val="tx1"/>
                  </w14:solidFill>
                </w14:textFill>
              </w:rPr>
              <w:t>负责向外界传递鄠邑乡村创业的最新动态，包括乡村建设、直播信息、活动咨询、商务合作、文稿宣传等，提升鄠邑乡村的影响力；对鄠邑乡村创业相关的重大事件和活动进行及时有效的宣传报道，配合区委区政府和相关部门做好乡村振兴领域的宣传工作；</w:t>
            </w:r>
          </w:p>
        </w:tc>
        <w:tc>
          <w:tcPr>
            <w:tcW w:w="2588" w:type="dxa"/>
            <w:vMerge w:val="restart"/>
            <w:tcBorders>
              <w:top w:val="single" w:color="000000" w:sz="4" w:space="0"/>
              <w:left w:val="single" w:color="000000" w:sz="4" w:space="0"/>
              <w:right w:val="single" w:color="000000" w:sz="4" w:space="0"/>
            </w:tcBorders>
            <w:shd w:val="clear" w:color="auto" w:fill="auto"/>
            <w:vAlign w:val="center"/>
          </w:tcPr>
          <w:p w14:paraId="67250888">
            <w:pPr>
              <w:pStyle w:val="2"/>
              <w:ind w:firstLine="480" w:firstLineChars="200"/>
              <w:rPr>
                <w:rFonts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乡创客服务中心总体职责、组织架构、六大中心工作开展情况及活动资料。</w:t>
            </w:r>
          </w:p>
        </w:tc>
      </w:tr>
      <w:tr w14:paraId="6A1D620E">
        <w:tblPrEx>
          <w:tblCellMar>
            <w:top w:w="0" w:type="dxa"/>
            <w:left w:w="108" w:type="dxa"/>
            <w:bottom w:w="0" w:type="dxa"/>
            <w:right w:w="108" w:type="dxa"/>
          </w:tblCellMar>
        </w:tblPrEx>
        <w:trPr>
          <w:trHeight w:val="2358" w:hRule="atLeast"/>
        </w:trPr>
        <w:tc>
          <w:tcPr>
            <w:tcW w:w="741" w:type="dxa"/>
            <w:vMerge w:val="continue"/>
            <w:tcBorders>
              <w:left w:val="single" w:color="000000" w:sz="4" w:space="0"/>
              <w:right w:val="single" w:color="000000" w:sz="4" w:space="0"/>
            </w:tcBorders>
            <w:shd w:val="clear" w:color="auto" w:fill="auto"/>
            <w:vAlign w:val="center"/>
          </w:tcPr>
          <w:p w14:paraId="4E3B910C">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38" w:type="dxa"/>
            <w:vMerge w:val="continue"/>
            <w:tcBorders>
              <w:left w:val="single" w:color="000000" w:sz="4" w:space="0"/>
              <w:right w:val="single" w:color="000000" w:sz="4" w:space="0"/>
            </w:tcBorders>
            <w:shd w:val="clear" w:color="auto" w:fill="auto"/>
            <w:vAlign w:val="center"/>
          </w:tcPr>
          <w:p w14:paraId="74A6D8B5">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12" w:type="dxa"/>
            <w:vMerge w:val="continue"/>
            <w:tcBorders>
              <w:left w:val="single" w:color="000000" w:sz="4" w:space="0"/>
              <w:right w:val="single" w:color="000000" w:sz="4" w:space="0"/>
            </w:tcBorders>
            <w:shd w:val="clear" w:color="auto" w:fill="auto"/>
            <w:vAlign w:val="center"/>
          </w:tcPr>
          <w:p w14:paraId="185FE25F">
            <w:pPr>
              <w:pStyle w:val="2"/>
              <w:ind w:firstLine="482"/>
              <w:jc w:val="center"/>
              <w:rPr>
                <w:rFonts w:ascii="仿宋_GB2312" w:hAnsi="仿宋_GB2312" w:eastAsia="仿宋_GB2312" w:cs="仿宋_GB2312"/>
                <w:b/>
                <w:bCs/>
                <w:color w:val="000000" w:themeColor="text1"/>
                <w:sz w:val="24"/>
                <w:szCs w:val="24"/>
                <w14:textFill>
                  <w14:solidFill>
                    <w14:schemeClr w14:val="tx1"/>
                  </w14:solidFill>
                </w14:textFill>
              </w:rPr>
            </w:pP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2311E9">
            <w:pPr>
              <w:pStyle w:val="2"/>
              <w:ind w:firstLine="482"/>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（5）鄠邑乡创品牌运营中心：</w:t>
            </w:r>
            <w:r>
              <w:rPr>
                <w:rFonts w:hint="eastAsia" w:ascii="仿宋_GB2312" w:hAnsi="仿宋_GB2312" w:eastAsia="仿宋_GB2312" w:cs="仿宋_GB2312"/>
                <w:color w:val="000000" w:themeColor="text1"/>
                <w:sz w:val="24"/>
                <w:szCs w:val="24"/>
                <w14:textFill>
                  <w14:solidFill>
                    <w14:schemeClr w14:val="tx1"/>
                  </w14:solidFill>
                </w14:textFill>
              </w:rPr>
              <w:t>制定鄠邑乡创品牌发展战略，对中心进行包装，负责中心的品牌推广活动，策划组织各种展会活动；为区域公共品牌的建设和发展提供支持，向地方企业提供品牌升级服务；</w:t>
            </w:r>
          </w:p>
        </w:tc>
        <w:tc>
          <w:tcPr>
            <w:tcW w:w="2588" w:type="dxa"/>
            <w:vMerge w:val="continue"/>
            <w:tcBorders>
              <w:left w:val="single" w:color="000000" w:sz="4" w:space="0"/>
              <w:right w:val="single" w:color="000000" w:sz="4" w:space="0"/>
            </w:tcBorders>
            <w:shd w:val="clear" w:color="auto" w:fill="auto"/>
            <w:vAlign w:val="center"/>
          </w:tcPr>
          <w:p w14:paraId="1B2B4A86">
            <w:pPr>
              <w:pStyle w:val="2"/>
              <w:ind w:firstLine="480"/>
              <w:rPr>
                <w:rFonts w:ascii="仿宋_GB2312" w:hAnsi="仿宋_GB2312" w:eastAsia="仿宋_GB2312" w:cs="仿宋_GB2312"/>
                <w:color w:val="000000" w:themeColor="text1"/>
                <w:sz w:val="24"/>
                <w:szCs w:val="24"/>
                <w14:textFill>
                  <w14:solidFill>
                    <w14:schemeClr w14:val="tx1"/>
                  </w14:solidFill>
                </w14:textFill>
              </w:rPr>
            </w:pPr>
          </w:p>
        </w:tc>
      </w:tr>
      <w:tr w14:paraId="78E5D8B5">
        <w:tblPrEx>
          <w:tblCellMar>
            <w:top w:w="0" w:type="dxa"/>
            <w:left w:w="108" w:type="dxa"/>
            <w:bottom w:w="0" w:type="dxa"/>
            <w:right w:w="108" w:type="dxa"/>
          </w:tblCellMar>
        </w:tblPrEx>
        <w:trPr>
          <w:trHeight w:val="2582" w:hRule="atLeast"/>
        </w:trPr>
        <w:tc>
          <w:tcPr>
            <w:tcW w:w="741" w:type="dxa"/>
            <w:vMerge w:val="continue"/>
            <w:tcBorders>
              <w:left w:val="single" w:color="000000" w:sz="4" w:space="0"/>
              <w:bottom w:val="single" w:color="000000" w:sz="4" w:space="0"/>
              <w:right w:val="single" w:color="000000" w:sz="4" w:space="0"/>
            </w:tcBorders>
            <w:shd w:val="clear" w:color="auto" w:fill="auto"/>
            <w:vAlign w:val="center"/>
          </w:tcPr>
          <w:p w14:paraId="3A0ACCEF">
            <w:pPr>
              <w:pStyle w:val="2"/>
              <w:ind w:firstLine="482"/>
              <w:jc w:val="center"/>
              <w:rPr>
                <w:rFonts w:ascii="仿宋_GB2312" w:hAnsi="仿宋_GB2312" w:eastAsia="仿宋_GB2312" w:cs="仿宋_GB2312"/>
                <w:b/>
                <w:bCs/>
                <w:sz w:val="24"/>
                <w:szCs w:val="24"/>
              </w:rPr>
            </w:pPr>
          </w:p>
        </w:tc>
        <w:tc>
          <w:tcPr>
            <w:tcW w:w="438" w:type="dxa"/>
            <w:vMerge w:val="continue"/>
            <w:tcBorders>
              <w:left w:val="single" w:color="000000" w:sz="4" w:space="0"/>
              <w:bottom w:val="single" w:color="000000" w:sz="4" w:space="0"/>
              <w:right w:val="single" w:color="000000" w:sz="4" w:space="0"/>
            </w:tcBorders>
            <w:shd w:val="clear" w:color="auto" w:fill="auto"/>
            <w:vAlign w:val="center"/>
          </w:tcPr>
          <w:p w14:paraId="0C835497">
            <w:pPr>
              <w:pStyle w:val="2"/>
              <w:ind w:firstLine="482"/>
              <w:jc w:val="center"/>
              <w:rPr>
                <w:rFonts w:ascii="仿宋_GB2312" w:hAnsi="仿宋_GB2312" w:eastAsia="仿宋_GB2312" w:cs="仿宋_GB2312"/>
                <w:b/>
                <w:bCs/>
                <w:sz w:val="24"/>
                <w:szCs w:val="24"/>
              </w:rPr>
            </w:pPr>
          </w:p>
        </w:tc>
        <w:tc>
          <w:tcPr>
            <w:tcW w:w="412" w:type="dxa"/>
            <w:vMerge w:val="continue"/>
            <w:tcBorders>
              <w:left w:val="single" w:color="000000" w:sz="4" w:space="0"/>
              <w:bottom w:val="single" w:color="000000" w:sz="4" w:space="0"/>
              <w:right w:val="single" w:color="000000" w:sz="4" w:space="0"/>
            </w:tcBorders>
            <w:shd w:val="clear" w:color="auto" w:fill="auto"/>
            <w:vAlign w:val="center"/>
          </w:tcPr>
          <w:p w14:paraId="7F3F8B24">
            <w:pPr>
              <w:pStyle w:val="2"/>
              <w:ind w:firstLine="482"/>
              <w:jc w:val="center"/>
              <w:rPr>
                <w:rFonts w:ascii="仿宋_GB2312" w:hAnsi="仿宋_GB2312" w:eastAsia="仿宋_GB2312" w:cs="仿宋_GB2312"/>
                <w:b/>
                <w:bCs/>
                <w:sz w:val="24"/>
                <w:szCs w:val="24"/>
              </w:rPr>
            </w:pP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D18EF5">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（6）乡创青年联络共促中心：</w:t>
            </w:r>
            <w:r>
              <w:rPr>
                <w:rFonts w:hint="eastAsia" w:ascii="仿宋_GB2312" w:hAnsi="仿宋_GB2312" w:eastAsia="仿宋_GB2312" w:cs="仿宋_GB2312"/>
                <w:sz w:val="24"/>
                <w:szCs w:val="24"/>
              </w:rPr>
              <w:t>建立鄠邑乡创客联盟的总部基地，全国乡村产业融合发展联盟以及其他乡村振兴相关学会、协会、基金会等非盈利机构的鄠邑区乡村创业联络中心。</w:t>
            </w:r>
          </w:p>
        </w:tc>
        <w:tc>
          <w:tcPr>
            <w:tcW w:w="2588" w:type="dxa"/>
            <w:vMerge w:val="continue"/>
            <w:tcBorders>
              <w:left w:val="single" w:color="000000" w:sz="4" w:space="0"/>
              <w:bottom w:val="single" w:color="000000" w:sz="4" w:space="0"/>
              <w:right w:val="single" w:color="000000" w:sz="4" w:space="0"/>
            </w:tcBorders>
            <w:shd w:val="clear" w:color="auto" w:fill="auto"/>
            <w:vAlign w:val="center"/>
          </w:tcPr>
          <w:p w14:paraId="1257BEC1">
            <w:pPr>
              <w:pStyle w:val="2"/>
              <w:ind w:firstLine="480"/>
              <w:rPr>
                <w:rFonts w:ascii="仿宋_GB2312" w:hAnsi="仿宋_GB2312" w:eastAsia="仿宋_GB2312" w:cs="仿宋_GB2312"/>
                <w:sz w:val="24"/>
                <w:szCs w:val="24"/>
              </w:rPr>
            </w:pPr>
          </w:p>
        </w:tc>
      </w:tr>
      <w:tr w14:paraId="318684CD">
        <w:tblPrEx>
          <w:tblCellMar>
            <w:top w:w="0" w:type="dxa"/>
            <w:left w:w="108" w:type="dxa"/>
            <w:bottom w:w="0" w:type="dxa"/>
            <w:right w:w="108" w:type="dxa"/>
          </w:tblCellMar>
        </w:tblPrEx>
        <w:trPr>
          <w:trHeight w:val="2835"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835296">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基础工作指标</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（59分）</w:t>
            </w:r>
          </w:p>
        </w:tc>
        <w:tc>
          <w:tcPr>
            <w:tcW w:w="4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887329">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3</w:t>
            </w:r>
          </w:p>
        </w:tc>
        <w:tc>
          <w:tcPr>
            <w:tcW w:w="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7C348">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5分</w:t>
            </w:r>
          </w:p>
        </w:tc>
        <w:tc>
          <w:tcPr>
            <w:tcW w:w="461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8FB1B">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482" w:firstLineChars="200"/>
              <w:textAlignment w:val="auto"/>
              <w:rPr>
                <w:rFonts w:hint="eastAsia" w:ascii="仿宋_GB2312" w:hAnsi="仿宋_GB2312" w:eastAsia="仿宋_GB2312" w:cs="仿宋_GB2312"/>
                <w:b/>
                <w:bCs/>
                <w:sz w:val="24"/>
                <w:szCs w:val="24"/>
                <w:highlight w:val="none"/>
                <w:lang w:eastAsia="zh-CN"/>
              </w:rPr>
            </w:pPr>
            <w:r>
              <w:rPr>
                <w:rFonts w:hint="eastAsia" w:ascii="仿宋_GB2312" w:hAnsi="仿宋_GB2312" w:eastAsia="仿宋_GB2312" w:cs="仿宋_GB2312"/>
                <w:b/>
                <w:bCs/>
                <w:sz w:val="24"/>
                <w:szCs w:val="24"/>
                <w:highlight w:val="none"/>
              </w:rPr>
              <w:t>品牌赋能及新媒体运营</w:t>
            </w:r>
            <w:r>
              <w:rPr>
                <w:rFonts w:hint="eastAsia" w:ascii="仿宋_GB2312" w:hAnsi="仿宋_GB2312" w:eastAsia="仿宋_GB2312" w:cs="仿宋_GB2312"/>
                <w:b/>
                <w:bCs/>
                <w:sz w:val="24"/>
                <w:szCs w:val="24"/>
                <w:highlight w:val="none"/>
                <w:lang w:eastAsia="zh-CN"/>
              </w:rPr>
              <w:t>：</w:t>
            </w:r>
          </w:p>
          <w:p w14:paraId="4266D446">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kern w:val="2"/>
                <w:sz w:val="24"/>
                <w:szCs w:val="24"/>
                <w:highlight w:val="none"/>
                <w:lang w:val="en-US" w:eastAsia="zh-CN" w:bidi="ar-SA"/>
              </w:rPr>
              <w:t>以“剪鸭村”品牌为依托，赋能各类经营业态发展，宣传推介全区创业青年，引导创业青年</w:t>
            </w:r>
            <w:r>
              <w:rPr>
                <w:rFonts w:hint="eastAsia" w:ascii="仿宋_GB2312" w:hAnsi="仿宋_GB2312" w:eastAsia="仿宋_GB2312" w:cs="仿宋_GB2312"/>
                <w:sz w:val="24"/>
                <w:szCs w:val="24"/>
                <w:highlight w:val="none"/>
              </w:rPr>
              <w:t>反哺品牌、联动引流、内容共创，推动品牌与业态深度融合、双向赋能，实现抱团发展、整体提升。</w:t>
            </w:r>
          </w:p>
          <w:p w14:paraId="1C63220E">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运营公众号、抖音、小红书等新媒体平台，负责运营“鄠邑区青年乡创客服务中心”小红书账号，“秦托邦青年社区”小红书、公众号、视频号、抖音账号，定期发布以下内容：</w:t>
            </w:r>
          </w:p>
          <w:p w14:paraId="7F865846">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0" w:firstLineChars="0"/>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（1）栗峪口村及全区创业青年与经营业态宣传引流</w:t>
            </w:r>
            <w:r>
              <w:rPr>
                <w:rFonts w:hint="eastAsia" w:ascii="仿宋_GB2312" w:hAnsi="仿宋_GB2312" w:eastAsia="仿宋_GB2312" w:cs="仿宋_GB2312"/>
                <w:sz w:val="24"/>
                <w:szCs w:val="24"/>
                <w:highlight w:val="none"/>
                <w:lang w:eastAsia="zh-CN"/>
              </w:rPr>
              <w:t>（全年不少于</w:t>
            </w:r>
            <w:r>
              <w:rPr>
                <w:rFonts w:hint="eastAsia" w:ascii="仿宋_GB2312" w:hAnsi="仿宋_GB2312" w:eastAsia="仿宋_GB2312" w:cs="仿宋_GB2312"/>
                <w:sz w:val="24"/>
                <w:szCs w:val="24"/>
                <w:highlight w:val="none"/>
                <w:lang w:val="en-US" w:eastAsia="zh-CN"/>
              </w:rPr>
              <w:t>30条</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w:t>
            </w:r>
          </w:p>
          <w:p w14:paraId="4A6CC6B9">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（2）乡创政策解读、创业故事、项目推介；</w:t>
            </w:r>
          </w:p>
          <w:p w14:paraId="61B7EC06">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（3）活动预告、培训课程、路演信息；</w:t>
            </w:r>
          </w:p>
          <w:p w14:paraId="37BF9B43">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（4）鄠邑乡村创业动态和重大事件报道；</w:t>
            </w:r>
          </w:p>
          <w:p w14:paraId="79E077BA">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0"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（5）打造乡创人才故事系列内容。</w:t>
            </w:r>
          </w:p>
          <w:p w14:paraId="3B3C5F95">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left="0" w:leftChars="0" w:firstLine="0" w:firstLineChars="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每个账号每月发布内容不少于5条，每季度直播场数至少7场（每场直播时长不低于90分钟），全年相关话题阅读量至少20万。</w:t>
            </w:r>
          </w:p>
        </w:tc>
        <w:tc>
          <w:tcPr>
            <w:tcW w:w="2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982C07">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发布数据、宣传稿件、发布截图、账号后台数据截图、增长明细。</w:t>
            </w:r>
          </w:p>
        </w:tc>
      </w:tr>
      <w:tr w14:paraId="28E87BA5">
        <w:tblPrEx>
          <w:tblCellMar>
            <w:top w:w="0" w:type="dxa"/>
            <w:left w:w="108" w:type="dxa"/>
            <w:bottom w:w="0" w:type="dxa"/>
            <w:right w:w="108" w:type="dxa"/>
          </w:tblCellMar>
        </w:tblPrEx>
        <w:trPr>
          <w:trHeight w:val="468"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50451">
            <w:pPr>
              <w:pStyle w:val="2"/>
              <w:ind w:firstLine="482"/>
              <w:jc w:val="center"/>
              <w:rPr>
                <w:rFonts w:ascii="仿宋_GB2312" w:hAnsi="仿宋_GB2312" w:eastAsia="仿宋_GB2312" w:cs="仿宋_GB2312"/>
                <w:b/>
                <w:bCs/>
                <w:sz w:val="24"/>
                <w:szCs w:val="24"/>
              </w:rPr>
            </w:pPr>
          </w:p>
        </w:tc>
        <w:tc>
          <w:tcPr>
            <w:tcW w:w="4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89431">
            <w:pPr>
              <w:pStyle w:val="2"/>
              <w:ind w:firstLine="482"/>
              <w:jc w:val="center"/>
              <w:rPr>
                <w:rFonts w:ascii="仿宋_GB2312" w:hAnsi="仿宋_GB2312" w:eastAsia="仿宋_GB2312" w:cs="仿宋_GB2312"/>
                <w:b/>
                <w:bCs/>
                <w:sz w:val="24"/>
                <w:szCs w:val="24"/>
              </w:rPr>
            </w:pPr>
          </w:p>
        </w:tc>
        <w:tc>
          <w:tcPr>
            <w:tcW w:w="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6C088">
            <w:pPr>
              <w:pStyle w:val="2"/>
              <w:ind w:firstLine="482"/>
              <w:jc w:val="center"/>
              <w:rPr>
                <w:rFonts w:ascii="仿宋_GB2312" w:hAnsi="仿宋_GB2312" w:eastAsia="仿宋_GB2312" w:cs="仿宋_GB2312"/>
                <w:b/>
                <w:bCs/>
                <w:sz w:val="24"/>
                <w:szCs w:val="24"/>
              </w:rPr>
            </w:pPr>
          </w:p>
        </w:tc>
        <w:tc>
          <w:tcPr>
            <w:tcW w:w="461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3ADD5">
            <w:pPr>
              <w:pStyle w:val="2"/>
              <w:ind w:firstLine="480"/>
              <w:rPr>
                <w:rFonts w:ascii="仿宋_GB2312" w:hAnsi="仿宋_GB2312" w:eastAsia="仿宋_GB2312" w:cs="仿宋_GB2312"/>
                <w:sz w:val="24"/>
                <w:szCs w:val="24"/>
              </w:rPr>
            </w:pPr>
          </w:p>
        </w:tc>
        <w:tc>
          <w:tcPr>
            <w:tcW w:w="2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7194C">
            <w:pPr>
              <w:pStyle w:val="2"/>
              <w:ind w:firstLine="480"/>
              <w:rPr>
                <w:rFonts w:ascii="仿宋_GB2312" w:hAnsi="仿宋_GB2312" w:eastAsia="仿宋_GB2312" w:cs="仿宋_GB2312"/>
                <w:sz w:val="24"/>
                <w:szCs w:val="24"/>
              </w:rPr>
            </w:pPr>
          </w:p>
        </w:tc>
      </w:tr>
      <w:tr w14:paraId="4EE1A773">
        <w:tblPrEx>
          <w:tblCellMar>
            <w:top w:w="0" w:type="dxa"/>
            <w:left w:w="108" w:type="dxa"/>
            <w:bottom w:w="0" w:type="dxa"/>
            <w:right w:w="108" w:type="dxa"/>
          </w:tblCellMar>
        </w:tblPrEx>
        <w:trPr>
          <w:trHeight w:val="2376"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CF6DB">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C7B34">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4</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58773">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4分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CD02BC">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专业培训课程：</w:t>
            </w:r>
            <w:r>
              <w:rPr>
                <w:rFonts w:hint="eastAsia" w:ascii="仿宋_GB2312" w:hAnsi="仿宋_GB2312" w:eastAsia="仿宋_GB2312" w:cs="仿宋_GB2312"/>
                <w:sz w:val="24"/>
                <w:szCs w:val="24"/>
              </w:rPr>
              <w:t>全年开展面向全区青年创业领域专业培训不少于5场，每季度不少于一场，涵盖新媒体、财务、法务、融资等创业相关领域，每场培训不少于20人参加，提升创业者的专业技能和管理能力。</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57EEB">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全年培训计划、服务台账、签到记录。</w:t>
            </w:r>
          </w:p>
        </w:tc>
      </w:tr>
      <w:tr w14:paraId="0168CBA6">
        <w:tblPrEx>
          <w:tblCellMar>
            <w:top w:w="0" w:type="dxa"/>
            <w:left w:w="108" w:type="dxa"/>
            <w:bottom w:w="0" w:type="dxa"/>
            <w:right w:w="108" w:type="dxa"/>
          </w:tblCellMar>
        </w:tblPrEx>
        <w:trPr>
          <w:trHeight w:val="2854" w:hRule="atLeast"/>
        </w:trPr>
        <w:tc>
          <w:tcPr>
            <w:tcW w:w="741" w:type="dxa"/>
            <w:vMerge w:val="restart"/>
            <w:tcBorders>
              <w:top w:val="single" w:color="000000" w:sz="4" w:space="0"/>
              <w:left w:val="single" w:color="000000" w:sz="4" w:space="0"/>
              <w:right w:val="single" w:color="000000" w:sz="4" w:space="0"/>
            </w:tcBorders>
            <w:shd w:val="clear" w:color="auto" w:fill="auto"/>
            <w:vAlign w:val="center"/>
          </w:tcPr>
          <w:p w14:paraId="69A93684">
            <w:pPr>
              <w:ind w:left="0" w:leftChars="0" w:firstLine="0" w:firstLineChars="0"/>
              <w:jc w:val="center"/>
            </w:pPr>
            <w:r>
              <w:rPr>
                <w:rFonts w:hint="eastAsia" w:ascii="仿宋_GB2312" w:hAnsi="仿宋_GB2312" w:eastAsia="仿宋_GB2312" w:cs="仿宋_GB2312"/>
                <w:b/>
                <w:bCs/>
                <w:sz w:val="24"/>
                <w:szCs w:val="24"/>
              </w:rPr>
              <w:t>基础工作指标</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（59分）</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49BD6">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5</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0E5C1">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3分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F7FE65">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青年分享交流活动：</w:t>
            </w:r>
            <w:r>
              <w:rPr>
                <w:rFonts w:hint="eastAsia" w:ascii="仿宋_GB2312" w:hAnsi="仿宋_GB2312" w:eastAsia="仿宋_GB2312" w:cs="仿宋_GB2312"/>
                <w:sz w:val="24"/>
                <w:szCs w:val="24"/>
              </w:rPr>
              <w:t>全年策划开展不少于15场青年分享交流活动，其中面向全区开展的分享交流活动不少于5场，每场活动参与人数不少于20人，邀请各相关单位参加，活动主题涵盖数字游民、乡村创业、城乡融合等领域。</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04CBA">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全年活动计划、服务台账、签到记录、活动照片/视频、活动宣传资料。</w:t>
            </w:r>
          </w:p>
        </w:tc>
      </w:tr>
      <w:tr w14:paraId="4809F5EB">
        <w:tblPrEx>
          <w:tblCellMar>
            <w:top w:w="0" w:type="dxa"/>
            <w:left w:w="108" w:type="dxa"/>
            <w:bottom w:w="0" w:type="dxa"/>
            <w:right w:w="108" w:type="dxa"/>
          </w:tblCellMar>
        </w:tblPrEx>
        <w:trPr>
          <w:trHeight w:val="2343"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2AD00">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C785">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6</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6C3C">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5分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900C6E">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青年夜校：</w:t>
            </w:r>
            <w:r>
              <w:rPr>
                <w:rFonts w:hint="eastAsia" w:ascii="仿宋_GB2312" w:hAnsi="仿宋_GB2312" w:eastAsia="仿宋_GB2312" w:cs="仿宋_GB2312"/>
                <w:sz w:val="24"/>
                <w:szCs w:val="24"/>
              </w:rPr>
              <w:t>依托秦托邦数字游民社区青年夜校阵地，围绕青年关注的领域开设相关青年夜校项目。全年至少举办40节青年夜校课程，参与人员不少于238人次。</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5AD46">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课程台账、活动照片、学员信息表。</w:t>
            </w:r>
          </w:p>
        </w:tc>
      </w:tr>
      <w:tr w14:paraId="5863F3AA">
        <w:tblPrEx>
          <w:tblCellMar>
            <w:top w:w="0" w:type="dxa"/>
            <w:left w:w="108" w:type="dxa"/>
            <w:bottom w:w="0" w:type="dxa"/>
            <w:right w:w="108" w:type="dxa"/>
          </w:tblCellMar>
        </w:tblPrEx>
        <w:trPr>
          <w:trHeight w:val="2980"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5350D">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9AFCB">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7</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A52C">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4分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D18362">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项目库建设：</w:t>
            </w:r>
            <w:r>
              <w:rPr>
                <w:rFonts w:hint="eastAsia" w:ascii="仿宋_GB2312" w:hAnsi="仿宋_GB2312" w:eastAsia="仿宋_GB2312" w:cs="仿宋_GB2312"/>
                <w:sz w:val="24"/>
                <w:szCs w:val="24"/>
              </w:rPr>
              <w:t>面向全国征集优质创业项目，优先导入乡创客服务中心孵化，确保全年不少于60个有效项目入库，服务中心资源库内无法匹配的项目联系上级部门进行资源匹配。</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779D">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项目库及评分表。</w:t>
            </w:r>
          </w:p>
        </w:tc>
      </w:tr>
      <w:tr w14:paraId="53F662D2">
        <w:tblPrEx>
          <w:tblCellMar>
            <w:top w:w="0" w:type="dxa"/>
            <w:left w:w="108" w:type="dxa"/>
            <w:bottom w:w="0" w:type="dxa"/>
            <w:right w:w="108" w:type="dxa"/>
          </w:tblCellMar>
        </w:tblPrEx>
        <w:trPr>
          <w:trHeight w:val="2398"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9A3D4B">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基础工作指标</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（59分）</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70CC">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8</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BCF1A">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5分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33E3D2">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项目路演：</w:t>
            </w:r>
            <w:r>
              <w:rPr>
                <w:rFonts w:hint="eastAsia" w:ascii="仿宋_GB2312" w:hAnsi="仿宋_GB2312" w:eastAsia="仿宋_GB2312" w:cs="仿宋_GB2312"/>
                <w:sz w:val="24"/>
                <w:szCs w:val="24"/>
              </w:rPr>
              <w:t>全年开展线下青年乡村创业项目路演活动不少于12场，每季度不少于3场，每场参与路演项目不少于10个。提前发布路演预告，邀请各相关单位参加，提升项目曝光度，对接潜在投资。</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4D91B">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路演方案，邀请凭证，项目材料，现场照片。</w:t>
            </w:r>
          </w:p>
        </w:tc>
      </w:tr>
      <w:tr w14:paraId="22C41CA6">
        <w:tblPrEx>
          <w:tblCellMar>
            <w:top w:w="0" w:type="dxa"/>
            <w:left w:w="108" w:type="dxa"/>
            <w:bottom w:w="0" w:type="dxa"/>
            <w:right w:w="108" w:type="dxa"/>
          </w:tblCellMar>
        </w:tblPrEx>
        <w:trPr>
          <w:trHeight w:val="2896"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03A82">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D9C94">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9</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FBCA7">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5分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F5FE5E">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数字游民引进：</w:t>
            </w:r>
            <w:r>
              <w:rPr>
                <w:rFonts w:hint="eastAsia" w:ascii="仿宋_GB2312" w:hAnsi="仿宋_GB2312" w:eastAsia="仿宋_GB2312" w:cs="仿宋_GB2312"/>
                <w:sz w:val="24"/>
                <w:szCs w:val="24"/>
              </w:rPr>
              <w:t>全年累计吸引并服务远程办公、自由职业类数字游民群体超375人次（含鄠邑本地户籍人员），完成所有注册人员身份信息备案，实现数字游民初步集聚，人均停留时长≥7天，打造具有吸引力的青年创新社群。</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F4BC8">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注册台账、身份信息备案、数字游民报名表及住宿凭证、缴费凭证等。</w:t>
            </w:r>
          </w:p>
        </w:tc>
      </w:tr>
      <w:tr w14:paraId="348E61ED">
        <w:tblPrEx>
          <w:tblCellMar>
            <w:top w:w="0" w:type="dxa"/>
            <w:left w:w="108" w:type="dxa"/>
            <w:bottom w:w="0" w:type="dxa"/>
            <w:right w:w="108" w:type="dxa"/>
          </w:tblCellMar>
        </w:tblPrEx>
        <w:trPr>
          <w:trHeight w:val="1660"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B534E">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9C24E">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10</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4DF50">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5分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3939F5">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长期驻留人员比例：</w:t>
            </w:r>
            <w:r>
              <w:rPr>
                <w:rFonts w:hint="eastAsia" w:ascii="仿宋_GB2312" w:hAnsi="仿宋_GB2312" w:eastAsia="仿宋_GB2312" w:cs="仿宋_GB2312"/>
                <w:sz w:val="24"/>
                <w:szCs w:val="24"/>
              </w:rPr>
              <w:t>驻留超1个月人才占当年新引进总数不少于15%，全年不少于57人。</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D29F3">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报名表单及住宿凭证、缴费凭证。</w:t>
            </w:r>
          </w:p>
        </w:tc>
      </w:tr>
      <w:tr w14:paraId="428DC8C2">
        <w:tblPrEx>
          <w:tblCellMar>
            <w:top w:w="0" w:type="dxa"/>
            <w:left w:w="108" w:type="dxa"/>
            <w:bottom w:w="0" w:type="dxa"/>
            <w:right w:w="108" w:type="dxa"/>
          </w:tblCellMar>
        </w:tblPrEx>
        <w:trPr>
          <w:trHeight w:val="1480"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B2232">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BFC88">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11</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2A701">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3分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E2DB02">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人才库规模：</w:t>
            </w:r>
            <w:r>
              <w:rPr>
                <w:rFonts w:hint="eastAsia" w:ascii="仿宋_GB2312" w:hAnsi="仿宋_GB2312" w:eastAsia="仿宋_GB2312" w:cs="仿宋_GB2312"/>
                <w:sz w:val="24"/>
                <w:szCs w:val="24"/>
              </w:rPr>
              <w:t>建立覆盖全区的乡村创客/数字游民人才库，全年入库人数不少于250人。</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637D">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人才库表单信息。</w:t>
            </w:r>
          </w:p>
        </w:tc>
      </w:tr>
      <w:tr w14:paraId="1476B990">
        <w:tblPrEx>
          <w:tblCellMar>
            <w:top w:w="0" w:type="dxa"/>
            <w:left w:w="108" w:type="dxa"/>
            <w:bottom w:w="0" w:type="dxa"/>
            <w:right w:w="108" w:type="dxa"/>
          </w:tblCellMar>
        </w:tblPrEx>
        <w:trPr>
          <w:trHeight w:val="90" w:hRule="atLeast"/>
        </w:trPr>
        <w:tc>
          <w:tcPr>
            <w:tcW w:w="741" w:type="dxa"/>
            <w:vMerge w:val="restart"/>
            <w:tcBorders>
              <w:top w:val="single" w:color="000000" w:sz="4" w:space="0"/>
              <w:left w:val="single" w:color="000000" w:sz="4" w:space="0"/>
              <w:right w:val="single" w:color="000000" w:sz="4" w:space="0"/>
            </w:tcBorders>
            <w:shd w:val="clear" w:color="auto" w:fill="auto"/>
            <w:vAlign w:val="top"/>
          </w:tcPr>
          <w:p w14:paraId="5DB0B2F4">
            <w:pPr>
              <w:pStyle w:val="3"/>
              <w:jc w:val="center"/>
              <w:rPr>
                <w:rFonts w:hint="eastAsia" w:ascii="仿宋_GB2312" w:hAnsi="仿宋_GB2312" w:eastAsia="仿宋_GB2312" w:cs="仿宋_GB2312"/>
                <w:b/>
                <w:bCs/>
                <w:sz w:val="24"/>
                <w:szCs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-31750</wp:posOffset>
                      </wp:positionH>
                      <wp:positionV relativeFrom="paragraph">
                        <wp:posOffset>281305</wp:posOffset>
                      </wp:positionV>
                      <wp:extent cx="488950" cy="2745105"/>
                      <wp:effectExtent l="0" t="0" r="0" b="0"/>
                      <wp:wrapNone/>
                      <wp:docPr id="28" name="文本框 5"/>
                      <wp:cNvGraphicFramePr/>
                      <a:graphic xmlns:a="http://schemas.openxmlformats.org/drawingml/2006/main">
                        <a:graphicData uri="http://schemas.microsoft.com/office/word/2010/wordprocessingShape">
                          <wps:wsp>
                            <wps:cNvSpPr txBox="1"/>
                            <wps:spPr>
                              <a:xfrm>
                                <a:off x="0" y="0"/>
                                <a:ext cx="488950" cy="2745105"/>
                              </a:xfrm>
                              <a:prstGeom prst="rect">
                                <a:avLst/>
                              </a:prstGeom>
                              <a:noFill/>
                              <a:ln>
                                <a:noFill/>
                              </a:ln>
                            </wps:spPr>
                            <wps:txbx>
                              <w:txbxContent>
                                <w:p w14:paraId="1412CB3C">
                                  <w:pPr>
                                    <w:ind w:left="0" w:leftChars="0" w:firstLine="0" w:firstLineChars="0"/>
                                    <w:jc w:val="center"/>
                                  </w:pPr>
                                  <w:r>
                                    <w:rPr>
                                      <w:rFonts w:hint="eastAsia" w:ascii="仿宋_GB2312" w:hAnsi="仿宋_GB2312" w:eastAsia="仿宋_GB2312" w:cs="仿宋_GB2312"/>
                                      <w:b/>
                                      <w:bCs/>
                                      <w:sz w:val="24"/>
                                      <w:szCs w:val="24"/>
                                    </w:rPr>
                                    <w:t>基础工作指标</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（59分）</w:t>
                                  </w:r>
                                </w:p>
                              </w:txbxContent>
                            </wps:txbx>
                            <wps:bodyPr vert="horz" anchor="t" anchorCtr="0" upright="1"/>
                          </wps:wsp>
                        </a:graphicData>
                      </a:graphic>
                    </wp:anchor>
                  </w:drawing>
                </mc:Choice>
                <mc:Fallback>
                  <w:pict>
                    <v:shape id="文本框 5" o:spid="_x0000_s1026" o:spt="202" type="#_x0000_t202" style="position:absolute;left:0pt;margin-left:-2.5pt;margin-top:22.15pt;height:216.15pt;width:38.5pt;z-index:251660288;mso-width-relative:page;mso-height-relative:page;" filled="f" stroked="f" coordsize="21600,21600" o:gfxdata="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Dd7G07XAAAACQEAAA8AAAAAAAAAAQAgAAAAIgAAAGRycy9kb3ducmV2Lnht&#10;bFBLAQIUABQAAAAIAIdO4kBz+CfxwQEAAHMDAAAOAAAAAAAAAAEAIAAAACYBAABkcnMvZTJvRG9j&#10;LnhtbFBLBQYAAAAABgAGAFkBAABZBQAAAAA=&#10;">
                      <v:fill on="f" focussize="0,0"/>
                      <v:stroke on="f"/>
                      <v:imagedata o:title=""/>
                      <o:lock v:ext="edit" aspectratio="f"/>
                      <v:textbox>
                        <w:txbxContent>
                          <w:p w14:paraId="1412CB3C">
                            <w:pPr>
                              <w:ind w:left="0" w:leftChars="0" w:firstLine="0" w:firstLineChars="0"/>
                              <w:jc w:val="center"/>
                            </w:pPr>
                            <w:r>
                              <w:rPr>
                                <w:rFonts w:hint="eastAsia" w:ascii="仿宋_GB2312" w:hAnsi="仿宋_GB2312" w:eastAsia="仿宋_GB2312" w:cs="仿宋_GB2312"/>
                                <w:b/>
                                <w:bCs/>
                                <w:sz w:val="24"/>
                                <w:szCs w:val="24"/>
                              </w:rPr>
                              <w:t>基础工作指标</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（59分）</w:t>
                            </w:r>
                          </w:p>
                        </w:txbxContent>
                      </v:textbox>
                    </v:shape>
                  </w:pict>
                </mc:Fallback>
              </mc:AlternateContent>
            </w:r>
            <w:r>
              <w:rPr>
                <w:rFonts w:hint="eastAsia" w:ascii="仿宋_GB2312" w:hAnsi="仿宋_GB2312" w:eastAsia="仿宋_GB2312" w:cs="仿宋_GB2312"/>
                <w:b/>
                <w:bCs/>
                <w:sz w:val="24"/>
                <w:szCs w:val="24"/>
              </w:rPr>
              <w:t>基础工作标</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（59分）</w:t>
            </w:r>
          </w:p>
          <w:p w14:paraId="25B81B2C">
            <w:pPr>
              <w:pStyle w:val="2"/>
              <w:ind w:firstLine="0" w:firstLineChars="0"/>
              <w:jc w:val="both"/>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7397C">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12</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B4952">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45E5FE">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textAlignment w:val="auto"/>
              <w:rPr>
                <w:rFonts w:ascii="仿宋_GB2312" w:hAnsi="仿宋_GB2312" w:eastAsia="仿宋_GB2312" w:cs="仿宋_GB2312"/>
                <w:sz w:val="24"/>
                <w:szCs w:val="24"/>
              </w:rPr>
            </w:pPr>
            <w:r>
              <w:rPr>
                <w:rFonts w:hint="eastAsia" w:ascii="仿宋_GB2312" w:hAnsi="仿宋_GB2312" w:eastAsia="仿宋_GB2312" w:cs="仿宋_GB2312"/>
                <w:b/>
                <w:bCs/>
                <w:sz w:val="24"/>
                <w:szCs w:val="24"/>
              </w:rPr>
              <w:t>人才分析报告:</w:t>
            </w:r>
            <w:r>
              <w:rPr>
                <w:rFonts w:hint="eastAsia" w:ascii="仿宋_GB2312" w:hAnsi="仿宋_GB2312" w:eastAsia="仿宋_GB2312" w:cs="仿宋_GB2312"/>
                <w:sz w:val="24"/>
                <w:szCs w:val="24"/>
              </w:rPr>
              <w:t>每季度撰写1篇高质量人才动态分析报告。</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0FB6">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20" w:lineRule="exact"/>
              <w:ind w:firstLine="48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人才分析报告。</w:t>
            </w:r>
          </w:p>
        </w:tc>
      </w:tr>
      <w:tr w14:paraId="31FACD69">
        <w:tblPrEx>
          <w:tblCellMar>
            <w:top w:w="0" w:type="dxa"/>
            <w:left w:w="108" w:type="dxa"/>
            <w:bottom w:w="0" w:type="dxa"/>
            <w:right w:w="108" w:type="dxa"/>
          </w:tblCellMar>
        </w:tblPrEx>
        <w:trPr>
          <w:trHeight w:val="1201" w:hRule="atLeast"/>
        </w:trPr>
        <w:tc>
          <w:tcPr>
            <w:tcW w:w="741" w:type="dxa"/>
            <w:vMerge w:val="continue"/>
            <w:tcBorders>
              <w:left w:val="single" w:color="000000" w:sz="4" w:space="0"/>
              <w:right w:val="single" w:color="000000" w:sz="4" w:space="0"/>
            </w:tcBorders>
            <w:shd w:val="clear" w:color="auto" w:fill="auto"/>
            <w:vAlign w:val="center"/>
          </w:tcPr>
          <w:p w14:paraId="30AAE914">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A7F47">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13</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B2249">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3分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834040">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textAlignment w:val="auto"/>
              <w:rPr>
                <w:rFonts w:ascii="仿宋_GB2312" w:hAnsi="仿宋_GB2312" w:eastAsia="仿宋_GB2312" w:cs="仿宋_GB2312"/>
                <w:sz w:val="24"/>
                <w:szCs w:val="24"/>
              </w:rPr>
            </w:pPr>
            <w:r>
              <w:rPr>
                <w:rFonts w:hint="eastAsia" w:ascii="仿宋_GB2312" w:hAnsi="仿宋_GB2312" w:eastAsia="仿宋_GB2312" w:cs="仿宋_GB2312"/>
                <w:b/>
                <w:bCs/>
                <w:sz w:val="24"/>
                <w:szCs w:val="24"/>
              </w:rPr>
              <w:t>企业服务：</w:t>
            </w:r>
            <w:r>
              <w:rPr>
                <w:rFonts w:hint="eastAsia" w:ascii="仿宋_GB2312" w:hAnsi="仿宋_GB2312" w:eastAsia="仿宋_GB2312" w:cs="仿宋_GB2312"/>
                <w:sz w:val="24"/>
                <w:szCs w:val="24"/>
              </w:rPr>
              <w:t>为30名在鄠乡创客及其企业提供从创意--项目--企业--产业的全生命周期服务。</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237FD">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20" w:lineRule="exact"/>
              <w:ind w:firstLine="48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乡创客及企业名单，服务台账、照片等资料。</w:t>
            </w:r>
          </w:p>
        </w:tc>
      </w:tr>
      <w:tr w14:paraId="5BD0B434">
        <w:tblPrEx>
          <w:tblCellMar>
            <w:top w:w="0" w:type="dxa"/>
            <w:left w:w="108" w:type="dxa"/>
            <w:bottom w:w="0" w:type="dxa"/>
            <w:right w:w="108" w:type="dxa"/>
          </w:tblCellMar>
        </w:tblPrEx>
        <w:trPr>
          <w:trHeight w:val="1027" w:hRule="atLeast"/>
        </w:trPr>
        <w:tc>
          <w:tcPr>
            <w:tcW w:w="741" w:type="dxa"/>
            <w:vMerge w:val="continue"/>
            <w:tcBorders>
              <w:left w:val="single" w:color="000000" w:sz="4" w:space="0"/>
              <w:right w:val="single" w:color="000000" w:sz="4" w:space="0"/>
            </w:tcBorders>
            <w:shd w:val="clear" w:color="auto" w:fill="auto"/>
            <w:vAlign w:val="center"/>
          </w:tcPr>
          <w:p w14:paraId="646B7416">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DA582">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14</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2ABE">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3分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A7C897">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textAlignment w:val="auto"/>
              <w:rPr>
                <w:rFonts w:ascii="仿宋_GB2312" w:hAnsi="仿宋_GB2312" w:eastAsia="仿宋_GB2312" w:cs="仿宋_GB2312"/>
                <w:sz w:val="24"/>
                <w:szCs w:val="24"/>
              </w:rPr>
            </w:pPr>
            <w:r>
              <w:rPr>
                <w:rFonts w:hint="eastAsia" w:ascii="仿宋_GB2312" w:hAnsi="仿宋_GB2312" w:eastAsia="仿宋_GB2312" w:cs="仿宋_GB2312"/>
                <w:b/>
                <w:bCs/>
                <w:sz w:val="24"/>
                <w:szCs w:val="24"/>
              </w:rPr>
              <w:t>吸引青年创新创业人才：</w:t>
            </w:r>
            <w:r>
              <w:rPr>
                <w:rFonts w:hint="eastAsia" w:ascii="仿宋_GB2312" w:hAnsi="仿宋_GB2312" w:eastAsia="仿宋_GB2312" w:cs="仿宋_GB2312"/>
                <w:sz w:val="24"/>
                <w:szCs w:val="24"/>
              </w:rPr>
              <w:t>通过提供创业支持服务，年度接待创业咨询≥180人次。</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86C4">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20" w:lineRule="exact"/>
              <w:ind w:firstLine="48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创业咨询名单，咨询记录（照片、网上信息数据等资料）。</w:t>
            </w:r>
          </w:p>
        </w:tc>
      </w:tr>
      <w:tr w14:paraId="1E20A087">
        <w:tblPrEx>
          <w:tblCellMar>
            <w:top w:w="0" w:type="dxa"/>
            <w:left w:w="108" w:type="dxa"/>
            <w:bottom w:w="0" w:type="dxa"/>
            <w:right w:w="108" w:type="dxa"/>
          </w:tblCellMar>
        </w:tblPrEx>
        <w:trPr>
          <w:trHeight w:val="1935" w:hRule="atLeast"/>
        </w:trPr>
        <w:tc>
          <w:tcPr>
            <w:tcW w:w="741" w:type="dxa"/>
            <w:vMerge w:val="continue"/>
            <w:tcBorders>
              <w:left w:val="single" w:color="000000" w:sz="4" w:space="0"/>
              <w:right w:val="single" w:color="000000" w:sz="4" w:space="0"/>
            </w:tcBorders>
            <w:shd w:val="clear" w:color="auto" w:fill="auto"/>
            <w:vAlign w:val="center"/>
          </w:tcPr>
          <w:p w14:paraId="3B4A2207">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19A49">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15</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58ED7">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549123">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textAlignment w:val="auto"/>
              <w:rPr>
                <w:rFonts w:ascii="仿宋_GB2312" w:hAnsi="仿宋_GB2312" w:eastAsia="仿宋_GB2312" w:cs="仿宋_GB2312"/>
                <w:sz w:val="24"/>
                <w:szCs w:val="24"/>
              </w:rPr>
            </w:pPr>
            <w:r>
              <w:rPr>
                <w:rFonts w:hint="eastAsia" w:ascii="仿宋_GB2312" w:hAnsi="仿宋_GB2312" w:eastAsia="仿宋_GB2312" w:cs="仿宋_GB2312"/>
                <w:b/>
                <w:bCs/>
                <w:sz w:val="24"/>
                <w:szCs w:val="24"/>
              </w:rPr>
              <w:t>志愿者服务：</w:t>
            </w:r>
            <w:r>
              <w:rPr>
                <w:rFonts w:hint="eastAsia" w:ascii="仿宋_GB2312" w:hAnsi="仿宋_GB2312" w:eastAsia="仿宋_GB2312" w:cs="仿宋_GB2312"/>
                <w:sz w:val="24"/>
                <w:szCs w:val="24"/>
              </w:rPr>
              <w:t>招募志愿者参与中心的日常运行、活动策划和执行等工作，志愿者年度累计志愿服务时长不少于1000小时，做好志愿者交通、用餐等基本保障。</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AB24">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20" w:lineRule="exact"/>
              <w:ind w:firstLine="48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志愿者名单、服务时长记录、签到表及志愿者参与日常运行、活动策划和执行等工作的相关活动照片。</w:t>
            </w:r>
          </w:p>
        </w:tc>
      </w:tr>
      <w:tr w14:paraId="380585F0">
        <w:tblPrEx>
          <w:tblCellMar>
            <w:top w:w="0" w:type="dxa"/>
            <w:left w:w="108" w:type="dxa"/>
            <w:bottom w:w="0" w:type="dxa"/>
            <w:right w:w="108" w:type="dxa"/>
          </w:tblCellMar>
        </w:tblPrEx>
        <w:trPr>
          <w:trHeight w:val="1535" w:hRule="atLeast"/>
        </w:trPr>
        <w:tc>
          <w:tcPr>
            <w:tcW w:w="741" w:type="dxa"/>
            <w:vMerge w:val="continue"/>
            <w:tcBorders>
              <w:left w:val="single" w:color="000000" w:sz="4" w:space="0"/>
              <w:right w:val="single" w:color="000000" w:sz="4" w:space="0"/>
            </w:tcBorders>
            <w:shd w:val="clear" w:color="auto" w:fill="auto"/>
            <w:vAlign w:val="center"/>
          </w:tcPr>
          <w:p w14:paraId="4CF3F76A">
            <w:pPr>
              <w:pStyle w:val="2"/>
              <w:ind w:firstLine="0" w:firstLineChars="0"/>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630EB">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16</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EA776">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20B65A">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482"/>
              <w:textAlignment w:val="auto"/>
              <w:rPr>
                <w:rFonts w:ascii="仿宋_GB2312" w:hAnsi="仿宋_GB2312" w:eastAsia="仿宋_GB2312" w:cs="仿宋_GB2312"/>
                <w:sz w:val="24"/>
                <w:szCs w:val="24"/>
              </w:rPr>
            </w:pPr>
            <w:r>
              <w:rPr>
                <w:rFonts w:hint="eastAsia" w:ascii="仿宋_GB2312" w:hAnsi="仿宋_GB2312" w:eastAsia="仿宋_GB2312" w:cs="仿宋_GB2312"/>
                <w:b/>
                <w:bCs/>
                <w:sz w:val="24"/>
                <w:szCs w:val="24"/>
              </w:rPr>
              <w:t>区域调研：</w:t>
            </w:r>
            <w:r>
              <w:rPr>
                <w:rFonts w:hint="eastAsia" w:ascii="仿宋_GB2312" w:hAnsi="仿宋_GB2312" w:eastAsia="仿宋_GB2312" w:cs="仿宋_GB2312"/>
                <w:sz w:val="24"/>
                <w:szCs w:val="24"/>
              </w:rPr>
              <w:t>积极协助省市各级的调研考察工作，提供乡创客服务中心运营及乡村创新创业数据和经验分享，提升项目影响力。</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B4A58">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exact"/>
              <w:ind w:firstLine="48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调研服务台账、现场调研照片。</w:t>
            </w:r>
          </w:p>
        </w:tc>
      </w:tr>
      <w:tr w14:paraId="3EF1E592">
        <w:tblPrEx>
          <w:tblCellMar>
            <w:top w:w="0" w:type="dxa"/>
            <w:left w:w="108" w:type="dxa"/>
            <w:bottom w:w="0" w:type="dxa"/>
            <w:right w:w="108" w:type="dxa"/>
          </w:tblCellMar>
        </w:tblPrEx>
        <w:trPr>
          <w:trHeight w:val="1611" w:hRule="atLeast"/>
        </w:trPr>
        <w:tc>
          <w:tcPr>
            <w:tcW w:w="741" w:type="dxa"/>
            <w:vMerge w:val="continue"/>
            <w:tcBorders>
              <w:left w:val="single" w:color="000000" w:sz="4" w:space="0"/>
              <w:bottom w:val="single" w:color="000000" w:sz="4" w:space="0"/>
              <w:right w:val="single" w:color="000000" w:sz="4" w:space="0"/>
            </w:tcBorders>
            <w:shd w:val="clear" w:color="auto" w:fill="auto"/>
            <w:vAlign w:val="center"/>
          </w:tcPr>
          <w:p w14:paraId="7A2BC322">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9D35">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17</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91B3">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8分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551515">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firstLine="482"/>
              <w:textAlignment w:val="auto"/>
              <w:rPr>
                <w:rFonts w:ascii="仿宋_GB2312" w:hAnsi="仿宋_GB2312" w:eastAsia="仿宋_GB2312" w:cs="仿宋_GB2312"/>
                <w:sz w:val="24"/>
                <w:szCs w:val="24"/>
              </w:rPr>
            </w:pPr>
            <w:r>
              <w:rPr>
                <w:rFonts w:hint="eastAsia" w:ascii="仿宋_GB2312" w:hAnsi="仿宋_GB2312" w:eastAsia="仿宋_GB2312" w:cs="仿宋_GB2312"/>
                <w:b/>
                <w:bCs/>
                <w:sz w:val="24"/>
                <w:szCs w:val="24"/>
              </w:rPr>
              <w:t>资料及财务台账管理：</w:t>
            </w:r>
            <w:r>
              <w:rPr>
                <w:rFonts w:hint="eastAsia" w:ascii="仿宋_GB2312" w:hAnsi="仿宋_GB2312" w:eastAsia="仿宋_GB2312" w:cs="仿宋_GB2312"/>
                <w:sz w:val="24"/>
                <w:szCs w:val="24"/>
              </w:rPr>
              <w:t>配合相关单位做好资料整理、归集与报送工作，按季度做好财务预算与财务决算，规范留存相关财务票据。</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C379">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40" w:lineRule="exact"/>
              <w:ind w:firstLine="48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配合相关单位所收集的资料、报告，财务预算、财务决算等财务票据。</w:t>
            </w:r>
          </w:p>
        </w:tc>
      </w:tr>
      <w:tr w14:paraId="3F23348B">
        <w:tblPrEx>
          <w:tblCellMar>
            <w:top w:w="0" w:type="dxa"/>
            <w:left w:w="108" w:type="dxa"/>
            <w:bottom w:w="0" w:type="dxa"/>
            <w:right w:w="108" w:type="dxa"/>
          </w:tblCellMar>
        </w:tblPrEx>
        <w:trPr>
          <w:trHeight w:val="1654"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A0810F">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核心效能指标</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（15分）</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6755D">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18</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AB43">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5分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65EB21">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带动村民就业：</w:t>
            </w:r>
            <w:r>
              <w:rPr>
                <w:rFonts w:hint="eastAsia" w:ascii="仿宋_GB2312" w:hAnsi="仿宋_GB2312" w:eastAsia="仿宋_GB2312" w:cs="仿宋_GB2312"/>
                <w:sz w:val="24"/>
                <w:szCs w:val="24"/>
              </w:rPr>
              <w:t>依托项目合作、岗位聘用等渠道吸纳劳动力，每年带动本村及周边群众稳岗增收，年稳定就业（连续在岗3个月以上）人数不低于20人。</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1674">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招聘村民名单，务工考勤表（村民签字）、工资表，工资支付凭证等资料。</w:t>
            </w:r>
          </w:p>
        </w:tc>
      </w:tr>
      <w:tr w14:paraId="602A1772">
        <w:tblPrEx>
          <w:tblCellMar>
            <w:top w:w="0" w:type="dxa"/>
            <w:left w:w="108" w:type="dxa"/>
            <w:bottom w:w="0" w:type="dxa"/>
            <w:right w:w="108" w:type="dxa"/>
          </w:tblCellMar>
        </w:tblPrEx>
        <w:trPr>
          <w:trHeight w:val="1428"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BEEAA">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65E6">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19</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73EA2">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10分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327AB6">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乡创项目引进：</w:t>
            </w:r>
            <w:r>
              <w:rPr>
                <w:rFonts w:hint="eastAsia" w:ascii="仿宋_GB2312" w:hAnsi="仿宋_GB2312" w:eastAsia="仿宋_GB2312" w:cs="仿宋_GB2312"/>
                <w:sz w:val="24"/>
                <w:szCs w:val="24"/>
              </w:rPr>
              <w:t>全年引入不少于6个乡创项目落地，投资总额不少于500万元。</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C1AC0">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项目落地相关资料（照片及数据），投资金额须由投资方出具有效凭证。</w:t>
            </w:r>
          </w:p>
        </w:tc>
      </w:tr>
      <w:tr w14:paraId="007E17CE">
        <w:tblPrEx>
          <w:tblCellMar>
            <w:top w:w="0" w:type="dxa"/>
            <w:left w:w="108" w:type="dxa"/>
            <w:bottom w:w="0" w:type="dxa"/>
            <w:right w:w="108" w:type="dxa"/>
          </w:tblCellMar>
        </w:tblPrEx>
        <w:trPr>
          <w:trHeight w:val="1901" w:hRule="atLeast"/>
        </w:trPr>
        <w:tc>
          <w:tcPr>
            <w:tcW w:w="7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FF6F6">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创新突破指标</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（15分）</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9B45">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20</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5CCA7">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8C7CB7">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线上招商平台：</w:t>
            </w:r>
            <w:r>
              <w:rPr>
                <w:rFonts w:hint="eastAsia" w:ascii="仿宋_GB2312" w:hAnsi="仿宋_GB2312" w:eastAsia="仿宋_GB2312" w:cs="仿宋_GB2312"/>
                <w:sz w:val="24"/>
                <w:szCs w:val="24"/>
              </w:rPr>
              <w:t>建立青年乡创客服务中心线上招商平台，展示中心优势、政策支持和入驻项目。提供线上项目申报、咨询和对接服务，方便创业者了解和入驻。</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553D8">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小红书、抖音、视频号、公众号线上平台咨询记录及截图等相关资料。</w:t>
            </w:r>
          </w:p>
        </w:tc>
      </w:tr>
      <w:tr w14:paraId="28226DBF">
        <w:tblPrEx>
          <w:tblCellMar>
            <w:top w:w="0" w:type="dxa"/>
            <w:left w:w="108" w:type="dxa"/>
            <w:bottom w:w="0" w:type="dxa"/>
            <w:right w:w="108" w:type="dxa"/>
          </w:tblCellMar>
        </w:tblPrEx>
        <w:trPr>
          <w:trHeight w:val="1529"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15A29">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5DB66">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21</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5EB57">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3分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531B41">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鄠邑乡创分享交流会：</w:t>
            </w:r>
            <w:r>
              <w:rPr>
                <w:rFonts w:hint="eastAsia" w:ascii="仿宋_GB2312" w:hAnsi="仿宋_GB2312" w:eastAsia="仿宋_GB2312" w:cs="仿宋_GB2312"/>
                <w:sz w:val="24"/>
                <w:szCs w:val="24"/>
              </w:rPr>
              <w:t>全年至少策划一场立足全区、面向全市的乡村创业交流分享</w:t>
            </w:r>
            <w:r>
              <w:rPr>
                <w:rFonts w:hint="eastAsia" w:ascii="仿宋_GB2312" w:hAnsi="仿宋_GB2312" w:eastAsia="仿宋_GB2312" w:cs="仿宋_GB2312"/>
                <w:sz w:val="24"/>
                <w:szCs w:val="24"/>
                <w:lang w:eastAsia="zh-CN"/>
              </w:rPr>
              <w:t>会</w:t>
            </w:r>
            <w:r>
              <w:rPr>
                <w:rFonts w:hint="eastAsia" w:ascii="仿宋_GB2312" w:hAnsi="仿宋_GB2312" w:eastAsia="仿宋_GB2312" w:cs="仿宋_GB2312"/>
                <w:sz w:val="24"/>
                <w:szCs w:val="24"/>
              </w:rPr>
              <w:t>，邀请各相关单位参加，由青年乡创客服务中心负责组织、执行。</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47F8F">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乡创分享交流会方案、开展情况等资料。</w:t>
            </w:r>
          </w:p>
        </w:tc>
      </w:tr>
      <w:tr w14:paraId="1B8E1C15">
        <w:tblPrEx>
          <w:tblCellMar>
            <w:top w:w="0" w:type="dxa"/>
            <w:left w:w="108" w:type="dxa"/>
            <w:bottom w:w="0" w:type="dxa"/>
            <w:right w:w="108" w:type="dxa"/>
          </w:tblCellMar>
        </w:tblPrEx>
        <w:trPr>
          <w:trHeight w:val="1926" w:hRule="atLeast"/>
        </w:trPr>
        <w:tc>
          <w:tcPr>
            <w:tcW w:w="7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1961B">
            <w:pPr>
              <w:pStyle w:val="2"/>
              <w:ind w:firstLine="482"/>
              <w:jc w:val="center"/>
              <w:rPr>
                <w:rFonts w:ascii="仿宋_GB2312" w:hAnsi="仿宋_GB2312" w:eastAsia="仿宋_GB2312" w:cs="仿宋_GB2312"/>
                <w:b/>
                <w:bCs/>
                <w:sz w:val="24"/>
                <w:szCs w:val="24"/>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89708">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22</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40FEA">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10分</w:t>
            </w:r>
          </w:p>
        </w:tc>
        <w:tc>
          <w:tcPr>
            <w:tcW w:w="4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2BB9F0">
            <w:pPr>
              <w:pStyle w:val="2"/>
              <w:ind w:firstLine="482"/>
              <w:rPr>
                <w:rFonts w:ascii="仿宋_GB2312" w:hAnsi="仿宋_GB2312" w:eastAsia="仿宋_GB2312" w:cs="仿宋_GB2312"/>
                <w:sz w:val="24"/>
                <w:szCs w:val="24"/>
              </w:rPr>
            </w:pPr>
            <w:r>
              <w:rPr>
                <w:rFonts w:hint="eastAsia" w:ascii="仿宋_GB2312" w:hAnsi="仿宋_GB2312" w:eastAsia="仿宋_GB2312" w:cs="仿宋_GB2312"/>
                <w:b/>
                <w:bCs/>
                <w:sz w:val="24"/>
                <w:szCs w:val="24"/>
              </w:rPr>
              <w:t>经验总结：</w:t>
            </w:r>
            <w:r>
              <w:rPr>
                <w:rFonts w:hint="eastAsia" w:ascii="仿宋_GB2312" w:hAnsi="仿宋_GB2312" w:eastAsia="仿宋_GB2312" w:cs="仿宋_GB2312"/>
                <w:sz w:val="24"/>
                <w:szCs w:val="24"/>
              </w:rPr>
              <w:t>每半年对运行机制、服务模式、空间管理与协同方式等进行梳理，围绕数字游民与城乡融合发展，打造鄠邑数字游民特色品牌，完成阶段性经验总结报告，形成1-2个可推广的典型案例。</w:t>
            </w:r>
          </w:p>
        </w:tc>
        <w:tc>
          <w:tcPr>
            <w:tcW w:w="2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83D4A">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经验总结报告、典型案例材料、品牌建设方案。</w:t>
            </w:r>
          </w:p>
        </w:tc>
      </w:tr>
      <w:tr w14:paraId="4EC912FE">
        <w:tblPrEx>
          <w:tblCellMar>
            <w:top w:w="0" w:type="dxa"/>
            <w:left w:w="108" w:type="dxa"/>
            <w:bottom w:w="0" w:type="dxa"/>
            <w:right w:w="108" w:type="dxa"/>
          </w:tblCellMar>
        </w:tblPrEx>
        <w:trPr>
          <w:trHeight w:val="4004" w:hRule="atLeast"/>
        </w:trPr>
        <w:tc>
          <w:tcPr>
            <w:tcW w:w="741" w:type="dxa"/>
            <w:tcBorders>
              <w:top w:val="single" w:color="000000" w:sz="4" w:space="0"/>
              <w:left w:val="single" w:color="000000" w:sz="4" w:space="0"/>
              <w:bottom w:val="nil"/>
              <w:right w:val="single" w:color="000000" w:sz="4" w:space="0"/>
            </w:tcBorders>
            <w:shd w:val="clear" w:color="auto" w:fill="auto"/>
            <w:vAlign w:val="center"/>
          </w:tcPr>
          <w:p w14:paraId="388EFDA5">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其他工作内容</w:t>
            </w:r>
            <w:r>
              <w:rPr>
                <w:rFonts w:hint="eastAsia" w:ascii="仿宋_GB2312" w:hAnsi="仿宋_GB2312" w:eastAsia="仿宋_GB2312" w:cs="仿宋_GB2312"/>
                <w:b/>
                <w:bCs/>
                <w:sz w:val="24"/>
                <w:szCs w:val="24"/>
              </w:rPr>
              <w:br w:type="textWrapping"/>
            </w:r>
            <w:r>
              <w:rPr>
                <w:rFonts w:hint="eastAsia" w:ascii="仿宋_GB2312" w:hAnsi="仿宋_GB2312" w:eastAsia="仿宋_GB2312" w:cs="仿宋_GB2312"/>
                <w:b/>
                <w:bCs/>
                <w:sz w:val="24"/>
                <w:szCs w:val="24"/>
              </w:rPr>
              <w:t>（0分）</w:t>
            </w:r>
          </w:p>
        </w:tc>
        <w:tc>
          <w:tcPr>
            <w:tcW w:w="438" w:type="dxa"/>
            <w:tcBorders>
              <w:top w:val="single" w:color="000000" w:sz="4" w:space="0"/>
              <w:left w:val="single" w:color="000000" w:sz="4" w:space="0"/>
              <w:bottom w:val="nil"/>
              <w:right w:val="single" w:color="000000" w:sz="4" w:space="0"/>
            </w:tcBorders>
            <w:shd w:val="clear" w:color="auto" w:fill="auto"/>
            <w:vAlign w:val="center"/>
          </w:tcPr>
          <w:p w14:paraId="387F911F">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23</w:t>
            </w:r>
          </w:p>
        </w:tc>
        <w:tc>
          <w:tcPr>
            <w:tcW w:w="412" w:type="dxa"/>
            <w:tcBorders>
              <w:top w:val="single" w:color="000000" w:sz="4" w:space="0"/>
              <w:left w:val="single" w:color="000000" w:sz="4" w:space="0"/>
              <w:bottom w:val="single" w:color="auto" w:sz="4" w:space="0"/>
              <w:right w:val="single" w:color="000000" w:sz="4" w:space="0"/>
            </w:tcBorders>
            <w:shd w:val="clear" w:color="auto" w:fill="auto"/>
            <w:vAlign w:val="center"/>
          </w:tcPr>
          <w:p w14:paraId="3118BDBF">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0分</w:t>
            </w:r>
          </w:p>
        </w:tc>
        <w:tc>
          <w:tcPr>
            <w:tcW w:w="4618"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14:paraId="5F41D13E">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为满足青年创业者的多样化需求，允许运行团队通过招商的方式确定经营单位，在中心内开展适度配套性经营服务，经营业态限定为咖啡茶饮等各类饮品和茶点、糕点类，补充青年乡创客服务中心运行费用。</w:t>
            </w:r>
          </w:p>
        </w:tc>
        <w:tc>
          <w:tcPr>
            <w:tcW w:w="2588" w:type="dxa"/>
            <w:tcBorders>
              <w:top w:val="single" w:color="000000" w:sz="4" w:space="0"/>
              <w:left w:val="single" w:color="000000" w:sz="4" w:space="0"/>
              <w:bottom w:val="single" w:color="auto" w:sz="4" w:space="0"/>
              <w:right w:val="single" w:color="000000" w:sz="4" w:space="0"/>
            </w:tcBorders>
            <w:shd w:val="clear" w:color="auto" w:fill="auto"/>
            <w:vAlign w:val="center"/>
          </w:tcPr>
          <w:p w14:paraId="292E4C5F">
            <w:pPr>
              <w:pStyle w:val="2"/>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招商公告、运营协议、经营单位资质（包括营业执照）、营收情况。</w:t>
            </w:r>
          </w:p>
        </w:tc>
      </w:tr>
      <w:tr w14:paraId="7E818146">
        <w:tblPrEx>
          <w:tblCellMar>
            <w:top w:w="0" w:type="dxa"/>
            <w:left w:w="108" w:type="dxa"/>
            <w:bottom w:w="0" w:type="dxa"/>
            <w:right w:w="108" w:type="dxa"/>
          </w:tblCellMar>
        </w:tblPrEx>
        <w:trPr>
          <w:trHeight w:val="614" w:hRule="atLeast"/>
        </w:trPr>
        <w:tc>
          <w:tcPr>
            <w:tcW w:w="2216" w:type="dxa"/>
            <w:gridSpan w:val="4"/>
            <w:tcBorders>
              <w:top w:val="single" w:color="000000" w:sz="4" w:space="0"/>
              <w:left w:val="single" w:color="000000" w:sz="4" w:space="0"/>
              <w:bottom w:val="single" w:color="000000" w:sz="4" w:space="0"/>
              <w:right w:val="single" w:color="auto" w:sz="4" w:space="0"/>
            </w:tcBorders>
            <w:shd w:val="clear" w:color="auto" w:fill="auto"/>
            <w:noWrap/>
            <w:vAlign w:val="center"/>
          </w:tcPr>
          <w:p w14:paraId="761A6D74">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合计</w:t>
            </w:r>
          </w:p>
        </w:tc>
        <w:tc>
          <w:tcPr>
            <w:tcW w:w="700" w:type="dxa"/>
            <w:tcBorders>
              <w:top w:val="single" w:color="auto" w:sz="4" w:space="0"/>
              <w:left w:val="single" w:color="auto" w:sz="4" w:space="0"/>
              <w:bottom w:val="single" w:color="auto" w:sz="4" w:space="0"/>
              <w:right w:val="single" w:color="auto" w:sz="4" w:space="0"/>
            </w:tcBorders>
            <w:shd w:val="clear" w:color="auto" w:fill="auto"/>
            <w:vAlign w:val="center"/>
          </w:tcPr>
          <w:p w14:paraId="24C3DC3C">
            <w:pPr>
              <w:pStyle w:val="2"/>
              <w:ind w:firstLine="0" w:firstLineChars="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100分</w:t>
            </w:r>
          </w:p>
        </w:tc>
        <w:tc>
          <w:tcPr>
            <w:tcW w:w="58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C4EF9C">
            <w:pPr>
              <w:pStyle w:val="2"/>
              <w:ind w:firstLine="0" w:firstLineChars="0"/>
              <w:jc w:val="center"/>
              <w:rPr>
                <w:rFonts w:ascii="仿宋_GB2312" w:hAnsi="仿宋_GB2312" w:eastAsia="仿宋_GB2312" w:cs="仿宋_GB2312"/>
                <w:sz w:val="24"/>
                <w:szCs w:val="24"/>
              </w:rPr>
            </w:pPr>
            <w:r>
              <w:rPr>
                <w:rFonts w:hint="eastAsia" w:ascii="仿宋_GB2312" w:hAnsi="仿宋_GB2312" w:eastAsia="仿宋_GB2312" w:cs="仿宋_GB2312"/>
                <w:b/>
                <w:bCs/>
                <w:sz w:val="24"/>
                <w:szCs w:val="24"/>
              </w:rPr>
              <w:t>/</w:t>
            </w:r>
          </w:p>
        </w:tc>
      </w:tr>
      <w:tr w14:paraId="4C2CE6E8">
        <w:tblPrEx>
          <w:tblCellMar>
            <w:top w:w="0" w:type="dxa"/>
            <w:left w:w="108" w:type="dxa"/>
            <w:bottom w:w="0" w:type="dxa"/>
            <w:right w:w="108" w:type="dxa"/>
          </w:tblCellMar>
        </w:tblPrEx>
        <w:trPr>
          <w:trHeight w:val="2933" w:hRule="atLeast"/>
        </w:trPr>
        <w:tc>
          <w:tcPr>
            <w:tcW w:w="87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46FC4F6">
            <w:pPr>
              <w:pStyle w:val="2"/>
              <w:ind w:firstLine="0" w:firstLineChars="0"/>
              <w:jc w:val="left"/>
              <w:rPr>
                <w:rFonts w:ascii="仿宋_GB2312" w:hAnsi="仿宋_GB2312" w:eastAsia="仿宋_GB2312" w:cs="仿宋_GB2312"/>
                <w:sz w:val="24"/>
                <w:szCs w:val="24"/>
              </w:rPr>
            </w:pPr>
            <w:r>
              <w:rPr>
                <w:rFonts w:hint="eastAsia" w:ascii="仿宋_GB2312" w:hAnsi="仿宋_GB2312" w:eastAsia="仿宋_GB2312" w:cs="仿宋_GB2312"/>
                <w:b/>
                <w:bCs/>
                <w:sz w:val="24"/>
                <w:szCs w:val="24"/>
              </w:rPr>
              <w:drawing>
                <wp:anchor distT="0" distB="0" distL="114300" distR="114300" simplePos="0" relativeHeight="251659264" behindDoc="0" locked="0" layoutInCell="1" allowOverlap="1">
                  <wp:simplePos x="0" y="0"/>
                  <wp:positionH relativeFrom="column">
                    <wp:posOffset>27571065</wp:posOffset>
                  </wp:positionH>
                  <wp:positionV relativeFrom="paragraph">
                    <wp:posOffset>2259965</wp:posOffset>
                  </wp:positionV>
                  <wp:extent cx="8528050" cy="1246505"/>
                  <wp:effectExtent l="0" t="0" r="0" b="0"/>
                  <wp:wrapNone/>
                  <wp:docPr id="5" name="文本框_1"/>
                  <wp:cNvGraphicFramePr/>
                  <a:graphic xmlns:a="http://schemas.openxmlformats.org/drawingml/2006/main">
                    <a:graphicData uri="http://schemas.openxmlformats.org/drawingml/2006/picture">
                      <pic:pic xmlns:pic="http://schemas.openxmlformats.org/drawingml/2006/picture">
                        <pic:nvPicPr>
                          <pic:cNvPr id="5" name="文本框_1"/>
                          <pic:cNvPicPr/>
                        </pic:nvPicPr>
                        <pic:blipFill>
                          <a:blip r:embed="rId5" cstate="print"/>
                          <a:stretch>
                            <a:fillRect/>
                          </a:stretch>
                        </pic:blipFill>
                        <pic:spPr>
                          <a:xfrm>
                            <a:off x="0" y="0"/>
                            <a:ext cx="8528050" cy="1246505"/>
                          </a:xfrm>
                          <a:prstGeom prst="rect">
                            <a:avLst/>
                          </a:prstGeom>
                          <a:noFill/>
                          <a:ln>
                            <a:noFill/>
                          </a:ln>
                        </pic:spPr>
                      </pic:pic>
                    </a:graphicData>
                  </a:graphic>
                </wp:anchor>
              </w:drawing>
            </w:r>
            <w:r>
              <w:rPr>
                <w:rFonts w:hint="eastAsia" w:ascii="仿宋_GB2312" w:hAnsi="仿宋_GB2312" w:eastAsia="仿宋_GB2312" w:cs="仿宋_GB2312"/>
                <w:b/>
                <w:bCs/>
                <w:sz w:val="24"/>
                <w:szCs w:val="24"/>
              </w:rPr>
              <w:t>备注：</w:t>
            </w:r>
            <w:r>
              <w:rPr>
                <w:rFonts w:hint="eastAsia" w:ascii="仿宋_GB2312" w:hAnsi="仿宋_GB2312" w:eastAsia="仿宋_GB2312" w:cs="仿宋_GB2312"/>
                <w:sz w:val="24"/>
                <w:szCs w:val="24"/>
              </w:rPr>
              <w:t>1.实行季度考核制度，由各相关单位负责评分，考核结果取各单位打分平均值。</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      2.考核分值80分及以上，全额拨付当季项目经费，由各相关单位积极为乡创客服务中心争取资金、荣誉、培训、挂牌等政策支持与激励保障。</w:t>
            </w:r>
            <w:r>
              <w:rPr>
                <w:rFonts w:hint="eastAsia" w:ascii="仿宋_GB2312" w:hAnsi="仿宋_GB2312" w:eastAsia="仿宋_GB2312" w:cs="仿宋_GB2312"/>
                <w:sz w:val="24"/>
                <w:szCs w:val="24"/>
              </w:rPr>
              <w:br w:type="textWrapping"/>
            </w:r>
            <w:r>
              <w:rPr>
                <w:rFonts w:hint="eastAsia" w:ascii="仿宋_GB2312" w:hAnsi="仿宋_GB2312" w:eastAsia="仿宋_GB2312" w:cs="仿宋_GB2312"/>
                <w:sz w:val="24"/>
                <w:szCs w:val="24"/>
              </w:rPr>
              <w:t xml:space="preserve">      3.考核分值80分以下，按照分值差额比例相应扣减当季项目经费,实际应发金额按以下公式</w:t>
            </w:r>
            <w:r>
              <w:rPr>
                <w:rFonts w:hint="eastAsia" w:ascii="仿宋_GB2312" w:hAnsi="仿宋_GB2312" w:eastAsia="仿宋_GB2312" w:cs="仿宋_GB2312"/>
                <w:sz w:val="24"/>
                <w:szCs w:val="24"/>
                <w:lang w:eastAsia="zh-CN"/>
              </w:rPr>
              <w:t>计</w:t>
            </w:r>
            <w:r>
              <w:rPr>
                <w:rFonts w:hint="eastAsia" w:ascii="仿宋_GB2312" w:hAnsi="仿宋_GB2312" w:eastAsia="仿宋_GB2312" w:cs="仿宋_GB2312"/>
                <w:sz w:val="24"/>
                <w:szCs w:val="24"/>
              </w:rPr>
              <w:t>算：</w:t>
            </w:r>
            <w:r>
              <w:rPr>
                <w:rFonts w:hint="eastAsia" w:ascii="仿宋_GB2312" w:hAnsi="仿宋_GB2312" w:eastAsia="仿宋_GB2312" w:cs="仿宋_GB2312"/>
                <w:position w:val="-24"/>
                <w:sz w:val="24"/>
                <w:szCs w:val="24"/>
              </w:rPr>
              <w:object>
                <v:shape id="_x0000_i1025" o:spt="75" type="#_x0000_t75" style="height:32.25pt;width:194.5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仿宋_GB2312" w:hAnsi="仿宋_GB2312" w:eastAsia="仿宋_GB2312" w:cs="仿宋_GB2312"/>
                <w:sz w:val="24"/>
                <w:szCs w:val="24"/>
              </w:rPr>
              <w:t>。若全年考核平均分值达到80分及以上，此前扣减的项目经费予以补发。</w:t>
            </w:r>
          </w:p>
        </w:tc>
      </w:tr>
    </w:tbl>
    <w:p w14:paraId="46D4A66F">
      <w:pPr>
        <w:keepNext w:val="0"/>
        <w:keepLines w:val="0"/>
        <w:pageBreakBefore w:val="0"/>
        <w:numPr>
          <w:ilvl w:val="-1"/>
          <w:numId w:val="0"/>
        </w:numPr>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三、检查验收</w:t>
      </w:r>
    </w:p>
    <w:p w14:paraId="279519AA">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为规范</w:t>
      </w:r>
      <w:r>
        <w:rPr>
          <w:rFonts w:hint="eastAsia" w:ascii="仿宋" w:hAnsi="仿宋" w:eastAsia="仿宋" w:cs="仿宋"/>
          <w:sz w:val="32"/>
          <w:szCs w:val="32"/>
          <w:lang w:eastAsia="zh-CN"/>
        </w:rPr>
        <w:t>受托方的</w:t>
      </w:r>
      <w:r>
        <w:rPr>
          <w:rFonts w:hint="eastAsia" w:ascii="仿宋" w:hAnsi="仿宋" w:eastAsia="仿宋" w:cs="仿宋"/>
          <w:sz w:val="32"/>
          <w:szCs w:val="32"/>
          <w:lang w:val="en-US" w:eastAsia="zh-CN"/>
        </w:rPr>
        <w:t>运行</w:t>
      </w:r>
      <w:r>
        <w:rPr>
          <w:rFonts w:hint="eastAsia" w:ascii="仿宋" w:hAnsi="仿宋" w:eastAsia="仿宋" w:cs="仿宋"/>
          <w:sz w:val="32"/>
          <w:szCs w:val="32"/>
        </w:rPr>
        <w:t>行为，确保服务质量达到预期效果，</w:t>
      </w:r>
      <w:r>
        <w:rPr>
          <w:rFonts w:hint="eastAsia" w:ascii="仿宋" w:hAnsi="仿宋" w:eastAsia="仿宋" w:cs="仿宋"/>
          <w:sz w:val="32"/>
          <w:szCs w:val="32"/>
          <w:lang w:val="en-US" w:eastAsia="zh-CN"/>
        </w:rPr>
        <w:t>受托</w:t>
      </w:r>
      <w:r>
        <w:rPr>
          <w:rFonts w:hint="eastAsia" w:ascii="仿宋" w:hAnsi="仿宋" w:eastAsia="仿宋" w:cs="仿宋"/>
          <w:sz w:val="32"/>
          <w:szCs w:val="32"/>
          <w:lang w:eastAsia="zh-CN"/>
        </w:rPr>
        <w:t>方应提供自检报告</w:t>
      </w:r>
      <w:r>
        <w:rPr>
          <w:rFonts w:hint="eastAsia" w:ascii="仿宋" w:hAnsi="仿宋" w:eastAsia="仿宋" w:cs="仿宋"/>
          <w:sz w:val="32"/>
          <w:szCs w:val="32"/>
          <w:lang w:val="en-US" w:eastAsia="zh-CN"/>
        </w:rPr>
        <w:t>及</w:t>
      </w:r>
      <w:r>
        <w:rPr>
          <w:rFonts w:hint="eastAsia" w:ascii="仿宋" w:hAnsi="仿宋" w:eastAsia="仿宋" w:cs="仿宋"/>
          <w:sz w:val="32"/>
          <w:szCs w:val="32"/>
          <w:lang w:eastAsia="zh-CN"/>
        </w:rPr>
        <w:t>相关佐证材料，</w:t>
      </w:r>
      <w:r>
        <w:rPr>
          <w:rFonts w:hint="eastAsia" w:ascii="仿宋" w:hAnsi="仿宋" w:eastAsia="仿宋" w:cs="仿宋"/>
          <w:sz w:val="32"/>
          <w:szCs w:val="32"/>
          <w:lang w:val="en-US" w:eastAsia="zh-CN"/>
        </w:rPr>
        <w:t>委托</w:t>
      </w:r>
      <w:r>
        <w:rPr>
          <w:rFonts w:hint="eastAsia" w:ascii="仿宋" w:hAnsi="仿宋" w:eastAsia="仿宋" w:cs="仿宋"/>
          <w:sz w:val="32"/>
          <w:szCs w:val="32"/>
          <w:lang w:eastAsia="zh-CN"/>
        </w:rPr>
        <w:t>方可在</w:t>
      </w:r>
      <w:r>
        <w:rPr>
          <w:rFonts w:hint="eastAsia" w:ascii="仿宋" w:hAnsi="仿宋" w:eastAsia="仿宋" w:cs="仿宋"/>
          <w:sz w:val="32"/>
          <w:szCs w:val="32"/>
          <w:lang w:val="en-US" w:eastAsia="zh-CN"/>
        </w:rPr>
        <w:t>服务期间</w:t>
      </w:r>
      <w:r>
        <w:rPr>
          <w:rFonts w:hint="eastAsia" w:ascii="仿宋" w:hAnsi="仿宋" w:eastAsia="仿宋" w:cs="仿宋"/>
          <w:sz w:val="32"/>
          <w:szCs w:val="32"/>
          <w:lang w:eastAsia="zh-CN"/>
        </w:rPr>
        <w:t>采用日常现场考察、文件查阅、记录核实、服务对象访谈等方式对</w:t>
      </w:r>
      <w:r>
        <w:rPr>
          <w:rFonts w:hint="eastAsia" w:ascii="仿宋" w:hAnsi="仿宋" w:eastAsia="仿宋" w:cs="仿宋"/>
          <w:sz w:val="32"/>
          <w:szCs w:val="32"/>
          <w:lang w:val="en-US" w:eastAsia="zh-CN"/>
        </w:rPr>
        <w:t>受托</w:t>
      </w:r>
      <w:r>
        <w:rPr>
          <w:rFonts w:hint="eastAsia" w:ascii="仿宋" w:hAnsi="仿宋" w:eastAsia="仿宋" w:cs="仿宋"/>
          <w:sz w:val="32"/>
          <w:szCs w:val="32"/>
          <w:lang w:eastAsia="zh-CN"/>
        </w:rPr>
        <w:t>方的</w:t>
      </w:r>
      <w:r>
        <w:rPr>
          <w:rFonts w:hint="eastAsia" w:ascii="仿宋" w:hAnsi="仿宋" w:eastAsia="仿宋" w:cs="仿宋"/>
          <w:sz w:val="32"/>
          <w:szCs w:val="32"/>
          <w:lang w:val="en-US" w:eastAsia="zh-CN"/>
        </w:rPr>
        <w:t>运行</w:t>
      </w:r>
      <w:r>
        <w:rPr>
          <w:rFonts w:hint="eastAsia" w:ascii="仿宋" w:hAnsi="仿宋" w:eastAsia="仿宋" w:cs="仿宋"/>
          <w:sz w:val="32"/>
          <w:szCs w:val="32"/>
          <w:lang w:eastAsia="zh-CN"/>
        </w:rPr>
        <w:t>服务质量进行检查评估，</w:t>
      </w:r>
      <w:r>
        <w:rPr>
          <w:rFonts w:hint="eastAsia" w:ascii="仿宋" w:hAnsi="仿宋" w:eastAsia="仿宋" w:cs="仿宋"/>
          <w:sz w:val="32"/>
          <w:szCs w:val="32"/>
          <w:lang w:val="en-US" w:eastAsia="zh-CN"/>
        </w:rPr>
        <w:t>包括委托</w:t>
      </w:r>
      <w:r>
        <w:rPr>
          <w:rFonts w:hint="eastAsia" w:ascii="仿宋" w:hAnsi="仿宋" w:eastAsia="仿宋" w:cs="仿宋"/>
          <w:sz w:val="32"/>
          <w:szCs w:val="32"/>
          <w:lang w:eastAsia="zh-CN"/>
        </w:rPr>
        <w:t>方可</w:t>
      </w:r>
      <w:r>
        <w:rPr>
          <w:rFonts w:hint="eastAsia" w:ascii="仿宋" w:hAnsi="仿宋" w:eastAsia="仿宋" w:cs="仿宋"/>
          <w:sz w:val="32"/>
          <w:szCs w:val="32"/>
          <w:lang w:val="en-US" w:eastAsia="zh-CN"/>
        </w:rPr>
        <w:t>通过</w:t>
      </w:r>
      <w:r>
        <w:rPr>
          <w:rFonts w:hint="eastAsia" w:ascii="仿宋" w:hAnsi="仿宋" w:eastAsia="仿宋" w:cs="仿宋"/>
          <w:sz w:val="32"/>
          <w:szCs w:val="32"/>
          <w:lang w:eastAsia="zh-CN"/>
        </w:rPr>
        <w:t>联合其他部门</w:t>
      </w:r>
      <w:r>
        <w:rPr>
          <w:rFonts w:hint="eastAsia" w:ascii="仿宋" w:hAnsi="仿宋" w:eastAsia="仿宋" w:cs="仿宋"/>
          <w:sz w:val="32"/>
          <w:szCs w:val="32"/>
          <w:lang w:val="en-US" w:eastAsia="zh-CN"/>
        </w:rPr>
        <w:t>的方式，</w:t>
      </w:r>
      <w:r>
        <w:rPr>
          <w:rFonts w:hint="eastAsia" w:ascii="仿宋" w:hAnsi="仿宋" w:eastAsia="仿宋" w:cs="仿宋"/>
          <w:sz w:val="32"/>
          <w:szCs w:val="32"/>
          <w:lang w:eastAsia="zh-CN"/>
        </w:rPr>
        <w:t>对</w:t>
      </w:r>
      <w:r>
        <w:rPr>
          <w:rFonts w:hint="eastAsia" w:ascii="仿宋" w:hAnsi="仿宋" w:eastAsia="仿宋" w:cs="仿宋"/>
          <w:sz w:val="32"/>
          <w:szCs w:val="32"/>
          <w:lang w:val="en-US" w:eastAsia="zh-CN"/>
        </w:rPr>
        <w:t>受托</w:t>
      </w:r>
      <w:r>
        <w:rPr>
          <w:rFonts w:hint="eastAsia" w:ascii="仿宋" w:hAnsi="仿宋" w:eastAsia="仿宋" w:cs="仿宋"/>
          <w:sz w:val="32"/>
          <w:szCs w:val="32"/>
          <w:lang w:eastAsia="zh-CN"/>
        </w:rPr>
        <w:t>方的服务质量进行</w:t>
      </w:r>
      <w:r>
        <w:rPr>
          <w:rFonts w:hint="eastAsia" w:ascii="仿宋" w:hAnsi="仿宋" w:eastAsia="仿宋" w:cs="仿宋"/>
          <w:sz w:val="32"/>
          <w:szCs w:val="32"/>
          <w:lang w:val="en-US" w:eastAsia="zh-CN"/>
        </w:rPr>
        <w:t>验收评估</w:t>
      </w:r>
      <w:r>
        <w:rPr>
          <w:rFonts w:hint="eastAsia" w:ascii="仿宋" w:hAnsi="仿宋" w:eastAsia="仿宋" w:cs="仿宋"/>
          <w:sz w:val="32"/>
          <w:szCs w:val="32"/>
          <w:lang w:eastAsia="zh-CN"/>
        </w:rPr>
        <w:t>。</w:t>
      </w:r>
    </w:p>
    <w:p w14:paraId="01B6447D">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u w:val="none"/>
          <w:lang w:val="en-US" w:eastAsia="zh-CN"/>
        </w:rPr>
      </w:pPr>
      <w:r>
        <w:rPr>
          <w:rFonts w:hint="eastAsia" w:ascii="仿宋" w:hAnsi="仿宋" w:eastAsia="仿宋" w:cs="仿宋"/>
          <w:sz w:val="32"/>
          <w:szCs w:val="32"/>
          <w:lang w:val="en-US" w:eastAsia="zh-CN"/>
        </w:rPr>
        <w:t>受托</w:t>
      </w:r>
      <w:r>
        <w:rPr>
          <w:rFonts w:hint="eastAsia" w:ascii="仿宋" w:hAnsi="仿宋" w:eastAsia="仿宋" w:cs="仿宋"/>
          <w:sz w:val="32"/>
          <w:szCs w:val="32"/>
          <w:lang w:eastAsia="zh-CN"/>
        </w:rPr>
        <w:t>方</w:t>
      </w:r>
      <w:r>
        <w:rPr>
          <w:rFonts w:hint="eastAsia" w:ascii="仿宋" w:hAnsi="仿宋" w:eastAsia="仿宋" w:cs="仿宋"/>
          <w:sz w:val="32"/>
          <w:szCs w:val="32"/>
          <w:u w:val="none"/>
          <w:lang w:eastAsia="zh-CN"/>
        </w:rPr>
        <w:t>在运行期</w:t>
      </w:r>
      <w:r>
        <w:rPr>
          <w:rFonts w:hint="eastAsia" w:ascii="仿宋" w:hAnsi="仿宋" w:eastAsia="仿宋" w:cs="仿宋"/>
          <w:sz w:val="32"/>
          <w:szCs w:val="32"/>
          <w:u w:val="none"/>
          <w:lang w:val="en-US" w:eastAsia="zh-CN"/>
        </w:rPr>
        <w:t>内，</w:t>
      </w:r>
      <w:r>
        <w:rPr>
          <w:rFonts w:hint="eastAsia" w:ascii="仿宋" w:hAnsi="仿宋" w:eastAsia="仿宋" w:cs="仿宋"/>
          <w:sz w:val="32"/>
          <w:szCs w:val="32"/>
          <w:u w:val="none"/>
          <w:lang w:eastAsia="zh-CN"/>
        </w:rPr>
        <w:t>完成合同约定的服务事项后，委托方</w:t>
      </w:r>
      <w:r>
        <w:rPr>
          <w:rFonts w:hint="eastAsia" w:ascii="仿宋" w:hAnsi="仿宋" w:eastAsia="仿宋" w:cs="仿宋"/>
          <w:sz w:val="32"/>
          <w:szCs w:val="32"/>
          <w:u w:val="none"/>
          <w:lang w:val="en-US" w:eastAsia="zh-CN"/>
        </w:rPr>
        <w:t>应在服务期内按季度对受托方的</w:t>
      </w:r>
      <w:r>
        <w:rPr>
          <w:rFonts w:hint="eastAsia" w:ascii="仿宋" w:hAnsi="仿宋" w:eastAsia="仿宋" w:cs="仿宋"/>
          <w:sz w:val="32"/>
          <w:szCs w:val="32"/>
          <w:u w:val="none"/>
          <w:lang w:eastAsia="zh-CN"/>
        </w:rPr>
        <w:t>服务内容、数量、质量、服务要求等</w:t>
      </w:r>
      <w:r>
        <w:rPr>
          <w:rFonts w:hint="eastAsia" w:ascii="仿宋" w:hAnsi="仿宋" w:eastAsia="仿宋" w:cs="仿宋"/>
          <w:sz w:val="32"/>
          <w:szCs w:val="32"/>
          <w:u w:val="none"/>
          <w:lang w:val="en-US" w:eastAsia="zh-CN"/>
        </w:rPr>
        <w:t>方面进行验收并出具验收意见，委托方验收不合格时，应向受托方出具书面的验收意见，受托方可根据验收意见进行整改。</w:t>
      </w:r>
    </w:p>
    <w:p w14:paraId="370C977F">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方</w:t>
      </w:r>
      <w:r>
        <w:rPr>
          <w:rFonts w:hint="eastAsia" w:ascii="黑体" w:hAnsi="黑体" w:eastAsia="黑体" w:cs="黑体"/>
          <w:sz w:val="32"/>
          <w:szCs w:val="32"/>
        </w:rPr>
        <w:t>的权利和义务</w:t>
      </w:r>
    </w:p>
    <w:p w14:paraId="1EC1DF2B">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委托方</w:t>
      </w:r>
      <w:r>
        <w:rPr>
          <w:rFonts w:hint="eastAsia" w:ascii="仿宋" w:hAnsi="仿宋" w:eastAsia="仿宋" w:cs="仿宋"/>
          <w:sz w:val="32"/>
          <w:szCs w:val="32"/>
        </w:rPr>
        <w:t>应在本协议生效后及时以书面或电子文件的形式向</w:t>
      </w:r>
      <w:r>
        <w:rPr>
          <w:rFonts w:hint="eastAsia" w:ascii="仿宋" w:hAnsi="仿宋" w:eastAsia="仿宋" w:cs="仿宋"/>
          <w:sz w:val="32"/>
          <w:szCs w:val="32"/>
          <w:lang w:eastAsia="zh-CN"/>
        </w:rPr>
        <w:t>受托方</w:t>
      </w:r>
      <w:r>
        <w:rPr>
          <w:rFonts w:hint="eastAsia" w:ascii="仿宋" w:hAnsi="仿宋" w:eastAsia="仿宋" w:cs="仿宋"/>
          <w:sz w:val="32"/>
          <w:szCs w:val="32"/>
        </w:rPr>
        <w:t>提供开展该项目</w:t>
      </w:r>
      <w:r>
        <w:rPr>
          <w:rFonts w:hint="eastAsia" w:ascii="仿宋" w:hAnsi="仿宋" w:eastAsia="仿宋" w:cs="仿宋"/>
          <w:sz w:val="32"/>
          <w:szCs w:val="32"/>
          <w:lang w:eastAsia="zh-CN"/>
        </w:rPr>
        <w:t>运行</w:t>
      </w:r>
      <w:r>
        <w:rPr>
          <w:rFonts w:hint="eastAsia" w:ascii="仿宋" w:hAnsi="仿宋" w:eastAsia="仿宋" w:cs="仿宋"/>
          <w:sz w:val="32"/>
          <w:szCs w:val="32"/>
        </w:rPr>
        <w:t>工作的相关资料。</w:t>
      </w:r>
    </w:p>
    <w:p w14:paraId="710B55A8">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在服务期间，</w:t>
      </w:r>
      <w:r>
        <w:rPr>
          <w:rFonts w:hint="eastAsia" w:ascii="仿宋" w:hAnsi="仿宋" w:eastAsia="仿宋" w:cs="仿宋"/>
          <w:sz w:val="32"/>
          <w:szCs w:val="32"/>
          <w:lang w:eastAsia="zh-CN"/>
        </w:rPr>
        <w:t>委托方</w:t>
      </w:r>
      <w:r>
        <w:rPr>
          <w:rFonts w:hint="eastAsia" w:ascii="仿宋" w:hAnsi="仿宋" w:eastAsia="仿宋" w:cs="仿宋"/>
          <w:sz w:val="32"/>
          <w:szCs w:val="32"/>
        </w:rPr>
        <w:t>有权对</w:t>
      </w:r>
      <w:r>
        <w:rPr>
          <w:rFonts w:hint="eastAsia" w:ascii="仿宋" w:hAnsi="仿宋" w:eastAsia="仿宋" w:cs="仿宋"/>
          <w:sz w:val="32"/>
          <w:szCs w:val="32"/>
          <w:lang w:eastAsia="zh-CN"/>
        </w:rPr>
        <w:t>受托方</w:t>
      </w:r>
      <w:r>
        <w:rPr>
          <w:rFonts w:hint="eastAsia" w:ascii="仿宋" w:hAnsi="仿宋" w:eastAsia="仿宋" w:cs="仿宋"/>
          <w:sz w:val="32"/>
          <w:szCs w:val="32"/>
        </w:rPr>
        <w:t>进行</w:t>
      </w:r>
      <w:r>
        <w:rPr>
          <w:rFonts w:hint="eastAsia" w:ascii="仿宋" w:hAnsi="仿宋" w:eastAsia="仿宋" w:cs="仿宋"/>
          <w:sz w:val="32"/>
          <w:szCs w:val="32"/>
          <w:lang w:val="en-US" w:eastAsia="zh-CN"/>
        </w:rPr>
        <w:t>检查</w:t>
      </w:r>
      <w:r>
        <w:rPr>
          <w:rFonts w:hint="eastAsia" w:ascii="仿宋" w:hAnsi="仿宋" w:eastAsia="仿宋" w:cs="仿宋"/>
          <w:sz w:val="32"/>
          <w:szCs w:val="32"/>
        </w:rPr>
        <w:t>，</w:t>
      </w:r>
      <w:r>
        <w:rPr>
          <w:rFonts w:hint="eastAsia" w:ascii="仿宋" w:hAnsi="仿宋" w:eastAsia="仿宋" w:cs="仿宋"/>
          <w:sz w:val="32"/>
          <w:szCs w:val="32"/>
          <w:lang w:eastAsia="zh-CN"/>
        </w:rPr>
        <w:t>受托方</w:t>
      </w:r>
      <w:r>
        <w:rPr>
          <w:rFonts w:hint="eastAsia" w:ascii="仿宋" w:hAnsi="仿宋" w:eastAsia="仿宋" w:cs="仿宋"/>
          <w:sz w:val="32"/>
          <w:szCs w:val="32"/>
        </w:rPr>
        <w:t>应积极配合。如服务内容不合适、运行支出不合格、验收不达标，</w:t>
      </w:r>
      <w:r>
        <w:rPr>
          <w:rFonts w:hint="eastAsia" w:ascii="仿宋" w:hAnsi="仿宋" w:eastAsia="仿宋" w:cs="仿宋"/>
          <w:sz w:val="32"/>
          <w:szCs w:val="32"/>
          <w:lang w:eastAsia="zh-CN"/>
        </w:rPr>
        <w:t>委托方</w:t>
      </w:r>
      <w:r>
        <w:rPr>
          <w:rFonts w:hint="eastAsia" w:ascii="仿宋" w:hAnsi="仿宋" w:eastAsia="仿宋" w:cs="仿宋"/>
          <w:sz w:val="32"/>
          <w:szCs w:val="32"/>
        </w:rPr>
        <w:t>有权要求</w:t>
      </w:r>
      <w:r>
        <w:rPr>
          <w:rFonts w:hint="eastAsia" w:ascii="仿宋" w:hAnsi="仿宋" w:eastAsia="仿宋" w:cs="仿宋"/>
          <w:sz w:val="32"/>
          <w:szCs w:val="32"/>
          <w:lang w:eastAsia="zh-CN"/>
        </w:rPr>
        <w:t>受托方</w:t>
      </w:r>
      <w:r>
        <w:rPr>
          <w:rFonts w:hint="eastAsia" w:ascii="仿宋" w:hAnsi="仿宋" w:eastAsia="仿宋" w:cs="仿宋"/>
          <w:sz w:val="32"/>
          <w:szCs w:val="32"/>
        </w:rPr>
        <w:t>整改并提出</w:t>
      </w:r>
      <w:r>
        <w:rPr>
          <w:rFonts w:hint="eastAsia" w:ascii="仿宋" w:hAnsi="仿宋" w:eastAsia="仿宋" w:cs="仿宋"/>
          <w:sz w:val="32"/>
          <w:szCs w:val="32"/>
          <w:lang w:eastAsia="zh-CN"/>
        </w:rPr>
        <w:t>运行</w:t>
      </w:r>
      <w:r>
        <w:rPr>
          <w:rFonts w:hint="eastAsia" w:ascii="仿宋" w:hAnsi="仿宋" w:eastAsia="仿宋" w:cs="仿宋"/>
          <w:sz w:val="32"/>
          <w:szCs w:val="32"/>
        </w:rPr>
        <w:t>要求，如</w:t>
      </w:r>
      <w:r>
        <w:rPr>
          <w:rFonts w:hint="eastAsia" w:ascii="仿宋" w:hAnsi="仿宋" w:eastAsia="仿宋" w:cs="仿宋"/>
          <w:sz w:val="32"/>
          <w:szCs w:val="32"/>
          <w:lang w:eastAsia="zh-CN"/>
        </w:rPr>
        <w:t>受托方</w:t>
      </w:r>
      <w:r>
        <w:rPr>
          <w:rFonts w:hint="eastAsia" w:ascii="仿宋" w:hAnsi="仿宋" w:eastAsia="仿宋" w:cs="仿宋"/>
          <w:sz w:val="32"/>
          <w:szCs w:val="32"/>
        </w:rPr>
        <w:t>不配合整改及提升</w:t>
      </w:r>
      <w:r>
        <w:rPr>
          <w:rFonts w:hint="eastAsia" w:ascii="仿宋" w:hAnsi="仿宋" w:eastAsia="仿宋" w:cs="仿宋"/>
          <w:sz w:val="32"/>
          <w:szCs w:val="32"/>
          <w:lang w:eastAsia="zh-CN"/>
        </w:rPr>
        <w:t>运行</w:t>
      </w:r>
      <w:r>
        <w:rPr>
          <w:rFonts w:hint="eastAsia" w:ascii="仿宋" w:hAnsi="仿宋" w:eastAsia="仿宋" w:cs="仿宋"/>
          <w:sz w:val="32"/>
          <w:szCs w:val="32"/>
        </w:rPr>
        <w:t>服务</w:t>
      </w:r>
      <w:r>
        <w:rPr>
          <w:rFonts w:hint="eastAsia" w:ascii="仿宋" w:hAnsi="仿宋" w:eastAsia="仿宋" w:cs="仿宋"/>
          <w:sz w:val="32"/>
          <w:szCs w:val="32"/>
          <w:lang w:eastAsia="zh-CN"/>
        </w:rPr>
        <w:t>，委托方</w:t>
      </w:r>
      <w:r>
        <w:rPr>
          <w:rFonts w:hint="eastAsia" w:ascii="仿宋" w:hAnsi="仿宋" w:eastAsia="仿宋" w:cs="仿宋"/>
          <w:sz w:val="32"/>
          <w:szCs w:val="32"/>
        </w:rPr>
        <w:t>有权要求</w:t>
      </w:r>
      <w:r>
        <w:rPr>
          <w:rFonts w:hint="eastAsia" w:ascii="仿宋" w:hAnsi="仿宋" w:eastAsia="仿宋" w:cs="仿宋"/>
          <w:sz w:val="32"/>
          <w:szCs w:val="32"/>
          <w:lang w:eastAsia="zh-CN"/>
        </w:rPr>
        <w:t>受托方</w:t>
      </w:r>
      <w:r>
        <w:rPr>
          <w:rFonts w:hint="eastAsia" w:ascii="仿宋" w:hAnsi="仿宋" w:eastAsia="仿宋" w:cs="仿宋"/>
          <w:sz w:val="32"/>
          <w:szCs w:val="32"/>
        </w:rPr>
        <w:t>按比例退还委托运行服务费，并重新审定是否继续和</w:t>
      </w:r>
      <w:r>
        <w:rPr>
          <w:rFonts w:hint="eastAsia" w:ascii="仿宋" w:hAnsi="仿宋" w:eastAsia="仿宋" w:cs="仿宋"/>
          <w:sz w:val="32"/>
          <w:szCs w:val="32"/>
          <w:lang w:eastAsia="zh-CN"/>
        </w:rPr>
        <w:t>受托方</w:t>
      </w:r>
      <w:r>
        <w:rPr>
          <w:rFonts w:hint="eastAsia" w:ascii="仿宋" w:hAnsi="仿宋" w:eastAsia="仿宋" w:cs="仿宋"/>
          <w:sz w:val="32"/>
          <w:szCs w:val="32"/>
        </w:rPr>
        <w:t>合作。</w:t>
      </w:r>
    </w:p>
    <w:p w14:paraId="4BB92172">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w:t>
      </w:r>
      <w:r>
        <w:rPr>
          <w:rFonts w:hint="eastAsia" w:ascii="仿宋" w:hAnsi="仿宋" w:eastAsia="仿宋" w:cs="仿宋"/>
          <w:sz w:val="32"/>
          <w:szCs w:val="32"/>
          <w:lang w:eastAsia="zh-CN"/>
        </w:rPr>
        <w:t>委托方</w:t>
      </w:r>
      <w:r>
        <w:rPr>
          <w:rFonts w:hint="eastAsia" w:ascii="仿宋" w:hAnsi="仿宋" w:eastAsia="仿宋" w:cs="仿宋"/>
          <w:sz w:val="32"/>
          <w:szCs w:val="32"/>
        </w:rPr>
        <w:t>如有需要</w:t>
      </w:r>
      <w:r>
        <w:rPr>
          <w:rFonts w:hint="eastAsia" w:ascii="仿宋" w:hAnsi="仿宋" w:eastAsia="仿宋" w:cs="仿宋"/>
          <w:sz w:val="32"/>
          <w:szCs w:val="32"/>
          <w:lang w:eastAsia="zh-CN"/>
        </w:rPr>
        <w:t>受托方</w:t>
      </w:r>
      <w:r>
        <w:rPr>
          <w:rFonts w:hint="eastAsia" w:ascii="仿宋" w:hAnsi="仿宋" w:eastAsia="仿宋" w:cs="仿宋"/>
          <w:sz w:val="32"/>
          <w:szCs w:val="32"/>
        </w:rPr>
        <w:t>对服务内容进行调整，应以书面形式提交</w:t>
      </w:r>
      <w:r>
        <w:rPr>
          <w:rFonts w:hint="eastAsia" w:ascii="仿宋" w:hAnsi="仿宋" w:eastAsia="仿宋" w:cs="仿宋"/>
          <w:sz w:val="32"/>
          <w:szCs w:val="32"/>
          <w:lang w:eastAsia="zh-CN"/>
        </w:rPr>
        <w:t>受托方</w:t>
      </w:r>
      <w:r>
        <w:rPr>
          <w:rFonts w:hint="eastAsia" w:ascii="仿宋" w:hAnsi="仿宋" w:eastAsia="仿宋" w:cs="仿宋"/>
          <w:sz w:val="32"/>
          <w:szCs w:val="32"/>
        </w:rPr>
        <w:t>，</w:t>
      </w:r>
      <w:r>
        <w:rPr>
          <w:rFonts w:hint="eastAsia" w:ascii="仿宋" w:hAnsi="仿宋" w:eastAsia="仿宋" w:cs="仿宋"/>
          <w:sz w:val="32"/>
          <w:szCs w:val="32"/>
          <w:lang w:eastAsia="zh-CN"/>
        </w:rPr>
        <w:t>受托方</w:t>
      </w:r>
      <w:r>
        <w:rPr>
          <w:rFonts w:hint="eastAsia" w:ascii="仿宋" w:hAnsi="仿宋" w:eastAsia="仿宋" w:cs="仿宋"/>
          <w:sz w:val="32"/>
          <w:szCs w:val="32"/>
        </w:rPr>
        <w:t>收到调整意见后，应在5个工作日内给出调整方案或合理解释。如</w:t>
      </w:r>
      <w:r>
        <w:rPr>
          <w:rFonts w:hint="eastAsia" w:ascii="仿宋" w:hAnsi="仿宋" w:eastAsia="仿宋" w:cs="仿宋"/>
          <w:sz w:val="32"/>
          <w:szCs w:val="32"/>
          <w:lang w:eastAsia="zh-CN"/>
        </w:rPr>
        <w:t>委托方</w:t>
      </w:r>
      <w:r>
        <w:rPr>
          <w:rFonts w:hint="eastAsia" w:ascii="仿宋" w:hAnsi="仿宋" w:eastAsia="仿宋" w:cs="仿宋"/>
          <w:sz w:val="32"/>
          <w:szCs w:val="32"/>
        </w:rPr>
        <w:t>在收到</w:t>
      </w:r>
      <w:r>
        <w:rPr>
          <w:rFonts w:hint="eastAsia" w:ascii="仿宋" w:hAnsi="仿宋" w:eastAsia="仿宋" w:cs="仿宋"/>
          <w:sz w:val="32"/>
          <w:szCs w:val="32"/>
          <w:lang w:eastAsia="zh-CN"/>
        </w:rPr>
        <w:t>受托方</w:t>
      </w:r>
      <w:r>
        <w:rPr>
          <w:rFonts w:hint="eastAsia" w:ascii="仿宋" w:hAnsi="仿宋" w:eastAsia="仿宋" w:cs="仿宋"/>
          <w:sz w:val="32"/>
          <w:szCs w:val="32"/>
        </w:rPr>
        <w:t>报告后3个工作日内没有给予任何形式的书面回复，或修改需求，默认为</w:t>
      </w:r>
      <w:r>
        <w:rPr>
          <w:rFonts w:hint="eastAsia" w:ascii="仿宋" w:hAnsi="仿宋" w:eastAsia="仿宋" w:cs="仿宋"/>
          <w:sz w:val="32"/>
          <w:szCs w:val="32"/>
          <w:lang w:eastAsia="zh-CN"/>
        </w:rPr>
        <w:t>委托方</w:t>
      </w:r>
      <w:r>
        <w:rPr>
          <w:rFonts w:hint="eastAsia" w:ascii="仿宋" w:hAnsi="仿宋" w:eastAsia="仿宋" w:cs="仿宋"/>
          <w:sz w:val="32"/>
          <w:szCs w:val="32"/>
        </w:rPr>
        <w:t>同意</w:t>
      </w:r>
      <w:r>
        <w:rPr>
          <w:rFonts w:hint="eastAsia" w:ascii="仿宋" w:hAnsi="仿宋" w:eastAsia="仿宋" w:cs="仿宋"/>
          <w:sz w:val="32"/>
          <w:szCs w:val="32"/>
          <w:lang w:eastAsia="zh-CN"/>
        </w:rPr>
        <w:t>受托方</w:t>
      </w:r>
      <w:r>
        <w:rPr>
          <w:rFonts w:hint="eastAsia" w:ascii="仿宋" w:hAnsi="仿宋" w:eastAsia="仿宋" w:cs="仿宋"/>
          <w:sz w:val="32"/>
          <w:szCs w:val="32"/>
        </w:rPr>
        <w:t>调整方案。</w:t>
      </w:r>
    </w:p>
    <w:p w14:paraId="5E01E279">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委托方</w:t>
      </w:r>
      <w:r>
        <w:rPr>
          <w:rFonts w:hint="eastAsia" w:ascii="仿宋" w:hAnsi="仿宋" w:eastAsia="仿宋" w:cs="仿宋"/>
          <w:sz w:val="32"/>
          <w:szCs w:val="32"/>
        </w:rPr>
        <w:t>应按照本协议约定的付款方式、付款时间及金额向</w:t>
      </w:r>
      <w:r>
        <w:rPr>
          <w:rFonts w:hint="eastAsia" w:ascii="仿宋" w:hAnsi="仿宋" w:eastAsia="仿宋" w:cs="仿宋"/>
          <w:sz w:val="32"/>
          <w:szCs w:val="32"/>
          <w:lang w:eastAsia="zh-CN"/>
        </w:rPr>
        <w:t>受托方</w:t>
      </w:r>
      <w:r>
        <w:rPr>
          <w:rFonts w:hint="eastAsia" w:ascii="仿宋" w:hAnsi="仿宋" w:eastAsia="仿宋" w:cs="仿宋"/>
          <w:sz w:val="32"/>
          <w:szCs w:val="32"/>
          <w:lang w:val="en-US" w:eastAsia="zh-CN"/>
        </w:rPr>
        <w:t>及时足额的</w:t>
      </w:r>
      <w:r>
        <w:rPr>
          <w:rFonts w:hint="eastAsia" w:ascii="仿宋" w:hAnsi="仿宋" w:eastAsia="仿宋" w:cs="仿宋"/>
          <w:sz w:val="32"/>
          <w:szCs w:val="32"/>
        </w:rPr>
        <w:t>支付费用。</w:t>
      </w:r>
    </w:p>
    <w:p w14:paraId="395FF3B0">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eastAsia="zh-CN"/>
        </w:rPr>
        <w:t>受托方</w:t>
      </w:r>
      <w:r>
        <w:rPr>
          <w:rFonts w:hint="eastAsia" w:ascii="仿宋" w:hAnsi="仿宋" w:eastAsia="仿宋" w:cs="仿宋"/>
          <w:sz w:val="32"/>
          <w:szCs w:val="32"/>
        </w:rPr>
        <w:t>应按照</w:t>
      </w:r>
      <w:r>
        <w:rPr>
          <w:rFonts w:hint="eastAsia" w:ascii="仿宋" w:hAnsi="仿宋" w:eastAsia="仿宋" w:cs="仿宋"/>
          <w:sz w:val="32"/>
          <w:szCs w:val="32"/>
          <w:lang w:eastAsia="zh-CN"/>
        </w:rPr>
        <w:t>委托方</w:t>
      </w:r>
      <w:r>
        <w:rPr>
          <w:rFonts w:hint="eastAsia" w:ascii="仿宋" w:hAnsi="仿宋" w:eastAsia="仿宋" w:cs="仿宋"/>
          <w:sz w:val="32"/>
          <w:szCs w:val="32"/>
        </w:rPr>
        <w:t>要求做好服务工作，并按</w:t>
      </w:r>
      <w:r>
        <w:rPr>
          <w:rFonts w:hint="eastAsia" w:ascii="仿宋" w:hAnsi="仿宋" w:eastAsia="仿宋" w:cs="仿宋"/>
          <w:sz w:val="32"/>
          <w:szCs w:val="32"/>
          <w:lang w:eastAsia="zh-CN"/>
        </w:rPr>
        <w:t>验收要求给予</w:t>
      </w:r>
      <w:r>
        <w:rPr>
          <w:rFonts w:hint="eastAsia" w:ascii="仿宋" w:hAnsi="仿宋" w:eastAsia="仿宋" w:cs="仿宋"/>
          <w:sz w:val="32"/>
          <w:szCs w:val="32"/>
        </w:rPr>
        <w:t>积极配合。</w:t>
      </w:r>
    </w:p>
    <w:p w14:paraId="1AB97126">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w:t>
      </w:r>
      <w:r>
        <w:rPr>
          <w:rFonts w:hint="eastAsia" w:ascii="仿宋" w:hAnsi="仿宋" w:eastAsia="仿宋" w:cs="仿宋"/>
          <w:sz w:val="32"/>
          <w:szCs w:val="32"/>
          <w:lang w:eastAsia="zh-CN"/>
        </w:rPr>
        <w:t>受托方</w:t>
      </w:r>
      <w:r>
        <w:rPr>
          <w:rFonts w:hint="eastAsia" w:ascii="仿宋" w:hAnsi="仿宋" w:eastAsia="仿宋" w:cs="仿宋"/>
          <w:sz w:val="32"/>
          <w:szCs w:val="32"/>
        </w:rPr>
        <w:t>按运行目标内容，如未能及时全面地提供服务或完成工作内容，</w:t>
      </w:r>
      <w:r>
        <w:rPr>
          <w:rFonts w:hint="eastAsia" w:ascii="仿宋" w:hAnsi="仿宋" w:eastAsia="仿宋" w:cs="仿宋"/>
          <w:sz w:val="32"/>
          <w:szCs w:val="32"/>
          <w:lang w:eastAsia="zh-CN"/>
        </w:rPr>
        <w:t>受托方</w:t>
      </w:r>
      <w:r>
        <w:rPr>
          <w:rFonts w:hint="eastAsia" w:ascii="仿宋" w:hAnsi="仿宋" w:eastAsia="仿宋" w:cs="仿宋"/>
          <w:sz w:val="32"/>
          <w:szCs w:val="32"/>
        </w:rPr>
        <w:t>对此应承担违约责任。</w:t>
      </w:r>
    </w:p>
    <w:p w14:paraId="6ED53BD7">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eastAsia="zh-CN"/>
        </w:rPr>
        <w:t>受托方</w:t>
      </w:r>
      <w:r>
        <w:rPr>
          <w:rFonts w:hint="eastAsia" w:ascii="仿宋" w:hAnsi="仿宋" w:eastAsia="仿宋" w:cs="仿宋"/>
          <w:sz w:val="32"/>
          <w:szCs w:val="32"/>
        </w:rPr>
        <w:t>有义务保证其工作成果的完整性、适用性、针对性和可实施性。</w:t>
      </w:r>
    </w:p>
    <w:p w14:paraId="60964F67">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五、合同价款</w:t>
      </w:r>
    </w:p>
    <w:p w14:paraId="33D3DF1D">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总服务费用</w:t>
      </w:r>
      <w:r>
        <w:rPr>
          <w:rFonts w:hint="eastAsia" w:ascii="仿宋" w:hAnsi="仿宋" w:eastAsia="仿宋" w:cs="仿宋"/>
          <w:sz w:val="32"/>
          <w:szCs w:val="32"/>
          <w:highlight w:val="none"/>
        </w:rPr>
        <w:t>为</w:t>
      </w:r>
      <w:r>
        <w:rPr>
          <w:rFonts w:hint="default" w:ascii="Arial" w:hAnsi="Arial" w:eastAsia="仿宋" w:cs="Arial"/>
          <w:sz w:val="32"/>
          <w:szCs w:val="32"/>
          <w:highlight w:val="none"/>
        </w:rPr>
        <w:t>¥</w:t>
      </w:r>
      <w:r>
        <w:rPr>
          <w:rFonts w:hint="eastAsia" w:ascii="仿宋" w:hAnsi="仿宋" w:eastAsia="仿宋" w:cs="仿宋"/>
          <w:sz w:val="32"/>
          <w:szCs w:val="32"/>
          <w:highlight w:val="none"/>
          <w:lang w:val="en-US" w:eastAsia="zh-CN"/>
        </w:rPr>
        <w:t xml:space="preserve">       元（大写：</w:t>
      </w:r>
      <w:r>
        <w:rPr>
          <w:rFonts w:hint="eastAsia" w:ascii="仿宋" w:hAnsi="仿宋" w:eastAsia="仿宋" w:cs="仿宋"/>
          <w:sz w:val="32"/>
          <w:szCs w:val="32"/>
          <w:highlight w:val="none"/>
          <w:u w:val="none"/>
          <w:lang w:val="en-US" w:eastAsia="zh-CN"/>
        </w:rPr>
        <w:t xml:space="preserve">      ）。</w:t>
      </w:r>
      <w:r>
        <w:rPr>
          <w:rFonts w:hint="eastAsia" w:ascii="仿宋" w:hAnsi="仿宋" w:eastAsia="仿宋" w:cs="仿宋"/>
          <w:sz w:val="32"/>
          <w:szCs w:val="32"/>
          <w:highlight w:val="none"/>
          <w:lang w:eastAsia="zh-CN"/>
        </w:rPr>
        <w:t>受托方</w:t>
      </w:r>
      <w:r>
        <w:rPr>
          <w:rFonts w:hint="eastAsia" w:ascii="仿宋" w:hAnsi="仿宋" w:eastAsia="仿宋" w:cs="仿宋"/>
          <w:sz w:val="32"/>
          <w:szCs w:val="32"/>
          <w:highlight w:val="none"/>
        </w:rPr>
        <w:t>在</w:t>
      </w:r>
      <w:r>
        <w:rPr>
          <w:rFonts w:hint="eastAsia" w:ascii="仿宋" w:hAnsi="仿宋" w:eastAsia="仿宋" w:cs="仿宋"/>
          <w:sz w:val="32"/>
          <w:szCs w:val="32"/>
          <w:highlight w:val="none"/>
          <w:lang w:eastAsia="zh-CN"/>
        </w:rPr>
        <w:t>委托方</w:t>
      </w:r>
      <w:r>
        <w:rPr>
          <w:rFonts w:hint="eastAsia" w:ascii="仿宋" w:hAnsi="仿宋" w:eastAsia="仿宋" w:cs="仿宋"/>
          <w:sz w:val="32"/>
          <w:szCs w:val="32"/>
          <w:highlight w:val="none"/>
        </w:rPr>
        <w:t>付款前</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向</w:t>
      </w:r>
      <w:r>
        <w:rPr>
          <w:rFonts w:hint="eastAsia" w:ascii="仿宋" w:hAnsi="仿宋" w:eastAsia="仿宋" w:cs="仿宋"/>
          <w:sz w:val="32"/>
          <w:szCs w:val="32"/>
          <w:highlight w:val="none"/>
          <w:lang w:eastAsia="zh-CN"/>
        </w:rPr>
        <w:t>委托方</w:t>
      </w:r>
      <w:r>
        <w:rPr>
          <w:rFonts w:hint="eastAsia" w:ascii="仿宋" w:hAnsi="仿宋" w:eastAsia="仿宋" w:cs="仿宋"/>
          <w:sz w:val="32"/>
          <w:szCs w:val="32"/>
          <w:highlight w:val="none"/>
        </w:rPr>
        <w:t>开具合法有效的增值税发票，进行结算。</w:t>
      </w:r>
    </w:p>
    <w:p w14:paraId="3B5C6F38">
      <w:pPr>
        <w:pStyle w:val="4"/>
        <w:keepNext w:val="0"/>
        <w:keepLines w:val="0"/>
        <w:pageBreakBefore w:val="0"/>
        <w:kinsoku/>
        <w:wordWrap/>
        <w:topLinePunct w:val="0"/>
        <w:autoSpaceDE/>
        <w:autoSpaceDN/>
        <w:bidi w:val="0"/>
        <w:adjustRightInd/>
        <w:snapToGrid/>
        <w:spacing w:beforeAutospacing="0" w:afterAutospacing="0" w:line="560" w:lineRule="exact"/>
        <w:ind w:left="0"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六、管理职责</w:t>
      </w:r>
    </w:p>
    <w:p w14:paraId="75E26816">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一)团区委职责:1.拟定项目采购内容清单;2.负责日常监督运行管理;3.组织联合验收小组对项目进行季度验收(由项目实施单位每季度自查后，向团区委提请验收)，并依据联合验收单出具验收报告;4.做好项目资料收集等工作;</w:t>
      </w:r>
    </w:p>
    <w:p w14:paraId="46BF796A">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二)区农业农村局职责:1.每年做好财政预算;2.做好项目政府采购工作(依据区政府审定后的项目内容清单进行采购)3.区农业农村局依据验收报告(团区委以正式函告区农业农村局)，向区财政局履行资金拨付手续工作。</w:t>
      </w:r>
    </w:p>
    <w:p w14:paraId="0CE8FA98">
      <w:pPr>
        <w:pStyle w:val="4"/>
        <w:keepNext w:val="0"/>
        <w:keepLines w:val="0"/>
        <w:pageBreakBefore w:val="0"/>
        <w:kinsoku/>
        <w:wordWrap/>
        <w:topLinePunct w:val="0"/>
        <w:autoSpaceDE/>
        <w:autoSpaceDN/>
        <w:bidi w:val="0"/>
        <w:adjustRightInd/>
        <w:snapToGrid/>
        <w:spacing w:beforeAutospacing="0" w:afterAutospacing="0" w:line="560" w:lineRule="exact"/>
        <w:ind w:left="0"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七、结算方式</w:t>
      </w:r>
    </w:p>
    <w:p w14:paraId="28E11E0B">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区农业农村局依据验收报告（团区委依据项目运行成本预算表验收合格后，正式函告区农业农村局）向区财政局履行资金拨付手续工作，区财政局按要求支付服务费用。</w:t>
      </w:r>
    </w:p>
    <w:p w14:paraId="42CCCE84">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1.实行季度考核制度，由各相关单位负责评分，考核结果取各单位打分平均值。</w:t>
      </w:r>
      <w:r>
        <w:rPr>
          <w:rFonts w:hint="eastAsia" w:ascii="仿宋_GB2312" w:hAnsi="仿宋_GB2312" w:eastAsia="仿宋_GB2312" w:cs="仿宋_GB2312"/>
          <w:b w:val="0"/>
          <w:bCs w:val="0"/>
          <w:i w:val="0"/>
          <w:iCs w:val="0"/>
          <w:caps w:val="0"/>
          <w:color w:val="000000"/>
          <w:spacing w:val="0"/>
          <w:kern w:val="2"/>
          <w:sz w:val="32"/>
          <w:szCs w:val="32"/>
          <w:lang w:val="en-US" w:eastAsia="zh-CN" w:bidi="ar-SA"/>
        </w:rPr>
        <w:br w:type="textWrapping"/>
      </w:r>
      <w:r>
        <w:rPr>
          <w:rFonts w:hint="eastAsia" w:ascii="仿宋_GB2312" w:hAnsi="仿宋_GB2312" w:eastAsia="仿宋_GB2312" w:cs="仿宋_GB2312"/>
          <w:b w:val="0"/>
          <w:bCs w:val="0"/>
          <w:i w:val="0"/>
          <w:iCs w:val="0"/>
          <w:caps w:val="0"/>
          <w:color w:val="000000"/>
          <w:spacing w:val="0"/>
          <w:kern w:val="2"/>
          <w:sz w:val="32"/>
          <w:szCs w:val="32"/>
          <w:lang w:val="en-US" w:eastAsia="zh-CN" w:bidi="ar-SA"/>
        </w:rPr>
        <w:t xml:space="preserve">    2.考核分值80分及以上，全额拨付当季项目经费，由各相关单位积极为乡创客服务中心争取资金、荣誉、培训、挂牌等政策支持与激励保障。</w:t>
      </w:r>
      <w:r>
        <w:rPr>
          <w:rFonts w:hint="eastAsia" w:ascii="仿宋_GB2312" w:hAnsi="仿宋_GB2312" w:eastAsia="仿宋_GB2312" w:cs="仿宋_GB2312"/>
          <w:b w:val="0"/>
          <w:bCs w:val="0"/>
          <w:i w:val="0"/>
          <w:iCs w:val="0"/>
          <w:caps w:val="0"/>
          <w:color w:val="000000"/>
          <w:spacing w:val="0"/>
          <w:kern w:val="2"/>
          <w:sz w:val="32"/>
          <w:szCs w:val="32"/>
          <w:lang w:val="en-US" w:eastAsia="zh-CN" w:bidi="ar-SA"/>
        </w:rPr>
        <w:br w:type="textWrapping"/>
      </w:r>
      <w:r>
        <w:rPr>
          <w:rFonts w:hint="eastAsia" w:ascii="仿宋_GB2312" w:hAnsi="仿宋_GB2312" w:eastAsia="仿宋_GB2312" w:cs="仿宋_GB2312"/>
          <w:b w:val="0"/>
          <w:bCs w:val="0"/>
          <w:i w:val="0"/>
          <w:iCs w:val="0"/>
          <w:caps w:val="0"/>
          <w:color w:val="000000"/>
          <w:spacing w:val="0"/>
          <w:kern w:val="2"/>
          <w:sz w:val="32"/>
          <w:szCs w:val="32"/>
          <w:lang w:val="en-US" w:eastAsia="zh-CN" w:bidi="ar-SA"/>
        </w:rPr>
        <w:t xml:space="preserve">    3.考核分值80分以下，按照分值差额比例相应扣减当季项目经费,实际应发金额按以下公式计算：实发数额=应发数额*（当季考核分数/80）。若全年考核平均分值达到80分及以上，此前扣减的项目经费予以补发。</w:t>
      </w:r>
    </w:p>
    <w:p w14:paraId="0BD8D8D4">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、保密条款</w:t>
      </w:r>
    </w:p>
    <w:p w14:paraId="6420A5E3">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1.委托方向受托方提供的经营、业务等所有相关的各种形式的文件、图纸、信息等资料，双方有义务负责保密，并应采取一切合理的措施以使其所接受的上述资料免于散发、传播、披露、复制、滥用及被无关人员接触。若因任一方原因出现泄密，由违约方全权负责。</w:t>
      </w:r>
    </w:p>
    <w:p w14:paraId="470095AE">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2.委托方向受托方付清全部费用之前，受托方向委托方提供的各种形式的文件、资料、图纸、信息、软件、系统等资料仅限于委托方内部用于本项目的用途，双方有义务负责保密，并应采取一切合理的措施以使其所接受的上述资料免于散发、传播、披露、复制、滥用及被无关人员接触。</w:t>
      </w:r>
    </w:p>
    <w:p w14:paraId="7A1C12DC">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、违约责任</w:t>
      </w:r>
    </w:p>
    <w:p w14:paraId="3DAFE6C7">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1.如非因受托方原因，导致受托方未能按时完成各阶段或服务工作，受托方不承担违约责任。</w:t>
      </w:r>
    </w:p>
    <w:p w14:paraId="02A89177">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2.在协议履行期间，委托方如因自身原因单方解除协议，委托方应结清协议期内委托方应支付受托方的费用。</w:t>
      </w:r>
    </w:p>
    <w:p w14:paraId="3E403C3C">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3.在协议履行期间，受托方如因自身原因未能按时依约完成服务工作，一切经济损失由受托方负责，受托方应按比例退回委托方已支付的费用。</w:t>
      </w:r>
    </w:p>
    <w:p w14:paraId="76ACC8BA">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rPr>
        <w:t>、不可抗力</w:t>
      </w:r>
    </w:p>
    <w:p w14:paraId="6C2B0EB6">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1.“不可抗力”指超出本协议三方控制范围、无法预见、无法避免或无法克服、使得本协议一方部分或完全不能履行本协议的事件。这类事件包括但不限于地震、台风、洪水、火灾、战争、罢工、政府行为、法律规定或其适用的变化，或者其它任何无法预见、无法避免或者无法控制的客观情况。</w:t>
      </w:r>
    </w:p>
    <w:p w14:paraId="7F8005BF">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2.受不可抗力影响的一方应于不可抗力事件发生后及时书面通知另一方，并且在不可抗力事件发生后10个工作日内向另一方提供政府部门或公证部门出具的不可抗力发生以及持续期间的充分证据。提出受不可抗力影响的一方还应尽一切合理努力使损失降低至最低限度。</w:t>
      </w:r>
    </w:p>
    <w:p w14:paraId="6692A0E1">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3.发生不可抗力时，三方应立即进行磋商，寻求公正解决方案，并且要尽一切合理努力使损失降低至最低限度。</w:t>
      </w:r>
    </w:p>
    <w:p w14:paraId="2B04135C">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4.发生不可抗力导致该协议不能继续履行的，该协议终止。</w:t>
      </w:r>
    </w:p>
    <w:p w14:paraId="7699EC01">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w:t>
      </w:r>
      <w:r>
        <w:rPr>
          <w:rFonts w:hint="eastAsia" w:ascii="黑体" w:hAnsi="黑体" w:eastAsia="黑体" w:cs="黑体"/>
          <w:sz w:val="32"/>
          <w:szCs w:val="32"/>
        </w:rPr>
        <w:t>、其他</w:t>
      </w:r>
    </w:p>
    <w:p w14:paraId="3234B108">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bookmarkStart w:id="0" w:name="_GoBack"/>
      <w:r>
        <w:rPr>
          <w:rFonts w:hint="eastAsia" w:ascii="仿宋_GB2312" w:hAnsi="仿宋_GB2312" w:eastAsia="仿宋_GB2312" w:cs="仿宋_GB2312"/>
          <w:b w:val="0"/>
          <w:bCs w:val="0"/>
          <w:i w:val="0"/>
          <w:iCs w:val="0"/>
          <w:caps w:val="0"/>
          <w:color w:val="000000"/>
          <w:spacing w:val="0"/>
          <w:kern w:val="2"/>
          <w:sz w:val="32"/>
          <w:szCs w:val="32"/>
          <w:lang w:val="en-US" w:eastAsia="zh-CN" w:bidi="ar-SA"/>
        </w:rPr>
        <w:t>1.本合同自甲、乙、丙三方的法定代表人（或授权代理人）在合同书上签字并加盖本单位公章或合同专用章之日起生效。</w:t>
      </w:r>
    </w:p>
    <w:p w14:paraId="3D4E3D9A">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2.因本协议履行产生的所有争议,甲、乙、丙三方应友好协商解决,协商不成的，三方均可向项目所在地人民法院提起诉讼。</w:t>
      </w:r>
    </w:p>
    <w:p w14:paraId="6E9AF7A6">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3.本协议的所有附件是本协议不可分割的组成部分,与协议具有同等法律效力。</w:t>
      </w:r>
    </w:p>
    <w:p w14:paraId="301CFE2D">
      <w:pPr>
        <w:keepNext w:val="0"/>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i w:val="0"/>
          <w:iCs w:val="0"/>
          <w:caps w:val="0"/>
          <w:color w:val="000000"/>
          <w:spacing w:val="0"/>
          <w:kern w:val="2"/>
          <w:sz w:val="32"/>
          <w:szCs w:val="32"/>
          <w:lang w:val="en-US" w:eastAsia="zh-CN" w:bidi="ar-SA"/>
        </w:rPr>
      </w:pPr>
      <w:r>
        <w:rPr>
          <w:rFonts w:hint="eastAsia" w:ascii="仿宋_GB2312" w:hAnsi="仿宋_GB2312" w:eastAsia="仿宋_GB2312" w:cs="仿宋_GB2312"/>
          <w:b w:val="0"/>
          <w:bCs w:val="0"/>
          <w:i w:val="0"/>
          <w:iCs w:val="0"/>
          <w:caps w:val="0"/>
          <w:color w:val="000000"/>
          <w:spacing w:val="0"/>
          <w:kern w:val="2"/>
          <w:sz w:val="32"/>
          <w:szCs w:val="32"/>
          <w:lang w:val="en-US" w:eastAsia="zh-CN" w:bidi="ar-SA"/>
        </w:rPr>
        <w:t>4.本合同一式 陆 份，甲、乙、丙三方各执 贰 份，具有同等法律效力。</w:t>
      </w:r>
    </w:p>
    <w:bookmarkEnd w:id="0"/>
    <w:p w14:paraId="29ADC6B4">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p>
    <w:p w14:paraId="1D78603C">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p>
    <w:p w14:paraId="4B0736D1">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委托方</w:t>
      </w:r>
      <w:r>
        <w:rPr>
          <w:rFonts w:hint="eastAsia" w:ascii="仿宋" w:hAnsi="仿宋" w:eastAsia="仿宋" w:cs="仿宋"/>
          <w:sz w:val="32"/>
          <w:szCs w:val="32"/>
        </w:rPr>
        <w:t xml:space="preserve">（公章）                   </w:t>
      </w:r>
      <w:r>
        <w:rPr>
          <w:rFonts w:hint="eastAsia" w:ascii="仿宋" w:hAnsi="仿宋" w:eastAsia="仿宋" w:cs="仿宋"/>
          <w:sz w:val="32"/>
          <w:szCs w:val="32"/>
          <w:lang w:val="en-US" w:eastAsia="zh-CN"/>
        </w:rPr>
        <w:t>委托方</w:t>
      </w:r>
      <w:r>
        <w:rPr>
          <w:rFonts w:hint="eastAsia" w:ascii="仿宋" w:hAnsi="仿宋" w:eastAsia="仿宋" w:cs="仿宋"/>
          <w:sz w:val="32"/>
          <w:szCs w:val="32"/>
        </w:rPr>
        <w:t>（公章）</w:t>
      </w:r>
    </w:p>
    <w:p w14:paraId="2AE95AE4">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p>
    <w:p w14:paraId="611F359B">
      <w:pPr>
        <w:pStyle w:val="7"/>
        <w:keepNext w:val="0"/>
        <w:keepLines w:val="0"/>
        <w:pageBreakBefore w:val="0"/>
        <w:widowControl/>
        <w:suppressLineNumbers w:val="0"/>
        <w:kinsoku/>
        <w:wordWrap/>
        <w:topLinePunct w:val="0"/>
        <w:autoSpaceDE/>
        <w:autoSpaceDN/>
        <w:bidi w:val="0"/>
        <w:adjustRightInd/>
        <w:snapToGrid/>
        <w:spacing w:before="0" w:beforeAutospacing="0" w:after="0" w:afterAutospacing="0" w:line="600" w:lineRule="exact"/>
        <w:ind w:right="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法定代表（签字）：              法定代表（签字）：</w:t>
      </w:r>
    </w:p>
    <w:p w14:paraId="3FF5F585">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kern w:val="2"/>
          <w:sz w:val="32"/>
          <w:szCs w:val="32"/>
          <w:lang w:val="en-US" w:eastAsia="zh-CN" w:bidi="ar-SA"/>
        </w:rPr>
      </w:pPr>
    </w:p>
    <w:p w14:paraId="13C530FE">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签约日期：  年  月  日        签约日期：  年   月  日                   </w:t>
      </w:r>
    </w:p>
    <w:p w14:paraId="1472316F">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p>
    <w:p w14:paraId="2CDC1A3B">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受托方</w:t>
      </w:r>
      <w:r>
        <w:rPr>
          <w:rFonts w:hint="eastAsia" w:ascii="仿宋" w:hAnsi="仿宋" w:eastAsia="仿宋" w:cs="仿宋"/>
          <w:sz w:val="32"/>
          <w:szCs w:val="32"/>
        </w:rPr>
        <w:t>（公章）</w:t>
      </w:r>
    </w:p>
    <w:p w14:paraId="3A823367">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p>
    <w:p w14:paraId="15ADD710">
      <w:pPr>
        <w:pStyle w:val="7"/>
        <w:keepNext w:val="0"/>
        <w:keepLines w:val="0"/>
        <w:pageBreakBefore w:val="0"/>
        <w:widowControl/>
        <w:suppressLineNumbers w:val="0"/>
        <w:kinsoku/>
        <w:wordWrap/>
        <w:topLinePunct w:val="0"/>
        <w:autoSpaceDE/>
        <w:autoSpaceDN/>
        <w:bidi w:val="0"/>
        <w:adjustRightInd/>
        <w:snapToGrid/>
        <w:spacing w:before="0" w:beforeAutospacing="0" w:after="0" w:afterAutospacing="0" w:line="600" w:lineRule="exact"/>
        <w:ind w:right="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法定代表（签字）：              </w:t>
      </w:r>
    </w:p>
    <w:p w14:paraId="61BFA696">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kern w:val="2"/>
          <w:sz w:val="32"/>
          <w:szCs w:val="32"/>
          <w:lang w:val="en-US" w:eastAsia="zh-CN" w:bidi="ar-SA"/>
        </w:rPr>
      </w:pPr>
    </w:p>
    <w:p w14:paraId="2C425F9E">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r>
        <w:rPr>
          <w:rFonts w:hint="eastAsia" w:ascii="仿宋" w:hAnsi="仿宋" w:eastAsia="仿宋" w:cs="仿宋"/>
          <w:sz w:val="32"/>
          <w:szCs w:val="32"/>
        </w:rPr>
        <w:t xml:space="preserve">签约日期：  年  月  日  </w:t>
      </w:r>
    </w:p>
    <w:p w14:paraId="5232DECC">
      <w:pPr>
        <w:keepNext w:val="0"/>
        <w:keepLines w:val="0"/>
        <w:pageBreakBefore w:val="0"/>
        <w:kinsoku/>
        <w:wordWrap/>
        <w:topLinePunct w:val="0"/>
        <w:autoSpaceDE/>
        <w:autoSpaceDN/>
        <w:bidi w:val="0"/>
        <w:adjustRightInd/>
        <w:snapToGrid/>
        <w:spacing w:line="600" w:lineRule="exact"/>
        <w:jc w:val="both"/>
        <w:textAlignment w:val="auto"/>
        <w:rPr>
          <w:rFonts w:hint="eastAsia" w:ascii="仿宋" w:hAnsi="仿宋" w:eastAsia="仿宋" w:cs="仿宋"/>
          <w:sz w:val="32"/>
          <w:szCs w:val="32"/>
        </w:rPr>
      </w:pPr>
    </w:p>
    <w:p w14:paraId="3E1142A4"/>
    <w:sectPr>
      <w:footerReference r:id="rId3" w:type="default"/>
      <w:pgSz w:w="11906" w:h="16838"/>
      <w:pgMar w:top="1701" w:right="1474"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2BE21744">
    <w:panose1 w:val="02020500000000000000"/>
    <w:charset w:val="88"/>
    <w:family w:val="auto"/>
    <w:pitch w:val="default"/>
    <w:sig w:usb0="00000001" w:usb1="00000000"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78C9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-78740</wp:posOffset>
              </wp:positionV>
              <wp:extent cx="721995" cy="224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21995" cy="224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128523">
                          <w:pPr>
                            <w:pStyle w:val="6"/>
                            <w:rPr>
                              <w:rStyle w:val="10"/>
                              <w:rFonts w:ascii="宋体" w:hAnsi="宋体"/>
                              <w:sz w:val="28"/>
                              <w:szCs w:val="28"/>
                            </w:rPr>
                          </w:pPr>
                          <w:r>
                            <w:rPr>
                              <w:rStyle w:val="10"/>
                              <w:rFonts w:hint="eastAsia" w:ascii="宋体" w:hAnsi="宋体"/>
                              <w:sz w:val="28"/>
                              <w:szCs w:val="28"/>
                              <w:lang w:eastAsia="zh-CN"/>
                            </w:rPr>
                            <w:t xml:space="preserve">— </w:t>
                          </w:r>
                          <w:r>
                            <w:rPr>
                              <w:rStyle w:val="10"/>
                              <w:rFonts w:ascii="宋体" w:hAnsi="宋体"/>
                              <w:sz w:val="28"/>
                              <w:szCs w:val="28"/>
                            </w:rPr>
                            <w:fldChar w:fldCharType="begin"/>
                          </w:r>
                          <w:r>
                            <w:rPr>
                              <w:rStyle w:val="10"/>
                              <w:rFonts w:ascii="宋体" w:hAnsi="宋体"/>
                              <w:sz w:val="28"/>
                              <w:szCs w:val="28"/>
                            </w:rPr>
                            <w:instrText xml:space="preserve">PAGE  </w:instrText>
                          </w:r>
                          <w:r>
                            <w:rPr>
                              <w:rStyle w:val="10"/>
                              <w:rFonts w:ascii="宋体" w:hAnsi="宋体"/>
                              <w:sz w:val="28"/>
                              <w:szCs w:val="28"/>
                            </w:rPr>
                            <w:fldChar w:fldCharType="separate"/>
                          </w:r>
                          <w:r>
                            <w:rPr>
                              <w:rStyle w:val="10"/>
                              <w:rFonts w:ascii="宋体" w:hAnsi="宋体"/>
                              <w:sz w:val="28"/>
                              <w:szCs w:val="28"/>
                            </w:rPr>
                            <w:t>3</w:t>
                          </w:r>
                          <w:r>
                            <w:rPr>
                              <w:rStyle w:val="10"/>
                              <w:rFonts w:ascii="宋体" w:hAnsi="宋体"/>
                              <w:sz w:val="28"/>
                              <w:szCs w:val="28"/>
                            </w:rPr>
                            <w:fldChar w:fldCharType="end"/>
                          </w:r>
                          <w:r>
                            <w:rPr>
                              <w:rStyle w:val="10"/>
                              <w:rFonts w:hint="eastAsia" w:ascii="宋体" w:hAnsi="宋体"/>
                              <w:sz w:val="28"/>
                              <w:szCs w:val="28"/>
                              <w:lang w:eastAsia="zh-CN"/>
                            </w:rPr>
                            <w:t xml:space="preserve"> —</w:t>
                          </w:r>
                        </w:p>
                        <w:p w14:paraId="676211EB"/>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6.2pt;height:17.7pt;width:56.85pt;mso-position-horizontal:outside;mso-position-horizontal-relative:margin;z-index:251659264;mso-width-relative:page;mso-height-relative:page;" filled="f" stroked="f" coordsize="21600,21600" o:gfxdata="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J5eTNUAAAAHAQAADwAAAAAAAAABACAAAAAiAAAAZHJzL2Rvd25yZXYu&#10;eG1sUEsBAhQAFAAAAAgAh07iQFO8xDA3AgAAYQQAAA4AAAAAAAAAAQAgAAAAJAEAAGRycy9lMm9E&#10;b2MueG1sUEsFBgAAAAAGAAYAWQEAAM0FAAAAAA==&#10;">
              <v:fill on="f" focussize="0,0"/>
              <v:stroke on="f" weight="0.5pt"/>
              <v:imagedata o:title=""/>
              <o:lock v:ext="edit" aspectratio="f"/>
              <v:textbox inset="0mm,0mm,0mm,0mm">
                <w:txbxContent>
                  <w:p w14:paraId="5E128523">
                    <w:pPr>
                      <w:pStyle w:val="6"/>
                      <w:rPr>
                        <w:rStyle w:val="10"/>
                        <w:rFonts w:ascii="宋体" w:hAnsi="宋体"/>
                        <w:sz w:val="28"/>
                        <w:szCs w:val="28"/>
                      </w:rPr>
                    </w:pPr>
                    <w:r>
                      <w:rPr>
                        <w:rStyle w:val="10"/>
                        <w:rFonts w:hint="eastAsia" w:ascii="宋体" w:hAnsi="宋体"/>
                        <w:sz w:val="28"/>
                        <w:szCs w:val="28"/>
                        <w:lang w:eastAsia="zh-CN"/>
                      </w:rPr>
                      <w:t xml:space="preserve">— </w:t>
                    </w:r>
                    <w:r>
                      <w:rPr>
                        <w:rStyle w:val="10"/>
                        <w:rFonts w:ascii="宋体" w:hAnsi="宋体"/>
                        <w:sz w:val="28"/>
                        <w:szCs w:val="28"/>
                      </w:rPr>
                      <w:fldChar w:fldCharType="begin"/>
                    </w:r>
                    <w:r>
                      <w:rPr>
                        <w:rStyle w:val="10"/>
                        <w:rFonts w:ascii="宋体" w:hAnsi="宋体"/>
                        <w:sz w:val="28"/>
                        <w:szCs w:val="28"/>
                      </w:rPr>
                      <w:instrText xml:space="preserve">PAGE  </w:instrText>
                    </w:r>
                    <w:r>
                      <w:rPr>
                        <w:rStyle w:val="10"/>
                        <w:rFonts w:ascii="宋体" w:hAnsi="宋体"/>
                        <w:sz w:val="28"/>
                        <w:szCs w:val="28"/>
                      </w:rPr>
                      <w:fldChar w:fldCharType="separate"/>
                    </w:r>
                    <w:r>
                      <w:rPr>
                        <w:rStyle w:val="10"/>
                        <w:rFonts w:ascii="宋体" w:hAnsi="宋体"/>
                        <w:sz w:val="28"/>
                        <w:szCs w:val="28"/>
                      </w:rPr>
                      <w:t>3</w:t>
                    </w:r>
                    <w:r>
                      <w:rPr>
                        <w:rStyle w:val="10"/>
                        <w:rFonts w:ascii="宋体" w:hAnsi="宋体"/>
                        <w:sz w:val="28"/>
                        <w:szCs w:val="28"/>
                      </w:rPr>
                      <w:fldChar w:fldCharType="end"/>
                    </w:r>
                    <w:r>
                      <w:rPr>
                        <w:rStyle w:val="10"/>
                        <w:rFonts w:hint="eastAsia" w:ascii="宋体" w:hAnsi="宋体"/>
                        <w:sz w:val="28"/>
                        <w:szCs w:val="28"/>
                        <w:lang w:eastAsia="zh-CN"/>
                      </w:rPr>
                      <w:t xml:space="preserve"> —</w:t>
                    </w:r>
                  </w:p>
                  <w:p w14:paraId="676211EB"/>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D55E09"/>
    <w:rsid w:val="12F2507E"/>
    <w:rsid w:val="207E61A3"/>
    <w:rsid w:val="23DC3DE6"/>
    <w:rsid w:val="2ECC27F5"/>
    <w:rsid w:val="300246FB"/>
    <w:rsid w:val="439D67BD"/>
    <w:rsid w:val="476E6D63"/>
    <w:rsid w:val="5A6E0A5B"/>
    <w:rsid w:val="65F53DDF"/>
    <w:rsid w:val="66477914"/>
    <w:rsid w:val="69BA21EE"/>
    <w:rsid w:val="70C56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4"/>
    <w:basedOn w:val="1"/>
    <w:next w:val="1"/>
    <w:qFormat/>
    <w:uiPriority w:val="9"/>
    <w:pPr>
      <w:keepNext/>
      <w:spacing w:line="600" w:lineRule="exact"/>
      <w:jc w:val="center"/>
      <w:outlineLvl w:val="3"/>
    </w:pPr>
    <w:rPr>
      <w:rFonts w:ascii="楷体_GB2312" w:hAnsi="Calibri" w:eastAsia="楷体_GB2312"/>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880" w:firstLineChars="200"/>
    </w:pPr>
    <w:rPr>
      <w:rFonts w:ascii="Times New Roman" w:hAnsi="Times New Roman" w:eastAsia="宋体" w:cs="Times New Roman"/>
    </w:rPr>
  </w:style>
  <w:style w:type="paragraph" w:styleId="3">
    <w:name w:val="index 6"/>
    <w:basedOn w:val="1"/>
    <w:next w:val="1"/>
    <w:qFormat/>
    <w:uiPriority w:val="0"/>
    <w:pPr>
      <w:ind w:left="210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99"/>
    <w:pPr>
      <w:widowControl/>
      <w:spacing w:before="100" w:beforeAutospacing="1" w:after="100" w:afterAutospacing="1"/>
      <w:jc w:val="left"/>
    </w:pPr>
    <w:rPr>
      <w:rFonts w:ascii="PMingLiU" w:hAnsi="PMingLiU" w:eastAsia="PMingLiU" w:cs="PMingLiU"/>
      <w:kern w:val="0"/>
      <w:sz w:val="24"/>
      <w:lang w:eastAsia="zh-TW"/>
    </w:rPr>
  </w:style>
  <w:style w:type="character" w:styleId="10">
    <w:name w:val="page number"/>
    <w:basedOn w:val="9"/>
    <w:qFormat/>
    <w:uiPriority w:val="0"/>
  </w:style>
  <w:style w:type="character" w:customStyle="1" w:styleId="11">
    <w:name w:val="font51"/>
    <w:basedOn w:val="9"/>
    <w:qFormat/>
    <w:uiPriority w:val="0"/>
    <w:rPr>
      <w:rFonts w:hint="default" w:ascii="仿宋_GB2312" w:eastAsia="仿宋_GB2312" w:cs="仿宋_GB2312"/>
      <w:b/>
      <w:bCs/>
      <w:color w:val="000000"/>
      <w:sz w:val="40"/>
      <w:szCs w:val="40"/>
      <w:u w:val="none"/>
    </w:rPr>
  </w:style>
  <w:style w:type="character" w:customStyle="1" w:styleId="12">
    <w:name w:val="font71"/>
    <w:basedOn w:val="9"/>
    <w:qFormat/>
    <w:uiPriority w:val="0"/>
    <w:rPr>
      <w:rFonts w:hint="default" w:ascii="仿宋_GB2312" w:eastAsia="仿宋_GB2312" w:cs="仿宋_GB2312"/>
      <w:color w:val="000000"/>
      <w:sz w:val="40"/>
      <w:szCs w:val="40"/>
      <w:u w:val="none"/>
    </w:rPr>
  </w:style>
  <w:style w:type="character" w:customStyle="1" w:styleId="13">
    <w:name w:val="font81"/>
    <w:basedOn w:val="9"/>
    <w:qFormat/>
    <w:uiPriority w:val="0"/>
    <w:rPr>
      <w:rFonts w:hint="default" w:ascii="仿宋_GB2312" w:eastAsia="仿宋_GB2312" w:cs="仿宋_GB2312"/>
      <w:color w:val="000000"/>
      <w:sz w:val="40"/>
      <w:szCs w:val="4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6409</Words>
  <Characters>6544</Characters>
  <Lines>0</Lines>
  <Paragraphs>0</Paragraphs>
  <TotalTime>958</TotalTime>
  <ScaleCrop>false</ScaleCrop>
  <LinksUpToDate>false</LinksUpToDate>
  <CharactersWithSpaces>6731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2025-04-07T03:06:00Z</dcterms:created>
  <dc:creator>Administrator</dc:creator>
  <cp:lastModifiedBy>王西朋18082527971</cp:lastModifiedBy>
  <dcterms:modified xsi:type="dcterms:W3CDTF">2026-06-23T02:00:19Z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eyJoZGlkIjoiYzQzOTkyZDBkMDA2NjAwNjRmZDc3MzZkZTcyOGQwMTEiLCJ1c2VySWQiOiIzOTQ5MjM3MTAifQ==</vt:lpwstr>
  </property>
  <property fmtid="{D5CDD505-2E9C-101B-9397-08002B2CF9AE}" pid="4" name="ICV">
    <vt:lpwstr>4304FCF9BD1A487B8541DC04F1F8410F_12</vt:lpwstr>
  </property>
</Properties>
</file>