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A35A2">
      <w:pPr>
        <w:rPr>
          <w:rFonts w:hint="eastAsia" w:ascii="宋体" w:hAnsi="宋体" w:eastAsia="宋体" w:cs="宋体"/>
          <w:b/>
          <w:sz w:val="32"/>
          <w:szCs w:val="32"/>
        </w:rPr>
      </w:pPr>
      <w:bookmarkStart w:id="0" w:name="_GoBack"/>
      <w:bookmarkEnd w:id="0"/>
      <w:r>
        <w:rPr>
          <w:rFonts w:hint="eastAsia" w:ascii="宋体" w:hAnsi="宋体" w:eastAsia="宋体" w:cs="宋体"/>
          <w:b/>
          <w:sz w:val="32"/>
          <w:szCs w:val="32"/>
        </w:rPr>
        <w:t>合同编号：</w:t>
      </w:r>
    </w:p>
    <w:p w14:paraId="42BD896B">
      <w:pPr>
        <w:jc w:val="center"/>
        <w:rPr>
          <w:rFonts w:hint="eastAsia" w:ascii="宋体" w:hAnsi="宋体" w:eastAsia="宋体" w:cs="宋体"/>
          <w:sz w:val="52"/>
          <w:szCs w:val="52"/>
        </w:rPr>
      </w:pPr>
    </w:p>
    <w:p w14:paraId="5A1CC4CE">
      <w:pPr>
        <w:jc w:val="center"/>
        <w:rPr>
          <w:rFonts w:hint="eastAsia" w:ascii="宋体" w:hAnsi="宋体" w:eastAsia="宋体" w:cs="宋体"/>
          <w:b/>
          <w:sz w:val="48"/>
          <w:szCs w:val="48"/>
        </w:rPr>
      </w:pPr>
      <w:r>
        <w:rPr>
          <w:rFonts w:hint="eastAsia" w:ascii="宋体" w:hAnsi="宋体" w:eastAsia="宋体" w:cs="宋体"/>
          <w:b/>
          <w:sz w:val="48"/>
          <w:szCs w:val="48"/>
        </w:rPr>
        <w:t>西安市第九医院</w:t>
      </w:r>
    </w:p>
    <w:p w14:paraId="2C643E6C">
      <w:pPr>
        <w:ind w:firstLine="2611" w:firstLineChars="650"/>
        <w:rPr>
          <w:rFonts w:hint="eastAsia" w:ascii="宋体" w:hAnsi="宋体" w:eastAsia="宋体" w:cs="宋体"/>
          <w:b/>
          <w:spacing w:val="-20"/>
          <w:sz w:val="44"/>
          <w:szCs w:val="44"/>
        </w:rPr>
      </w:pPr>
      <w:r>
        <w:rPr>
          <w:rFonts w:hint="eastAsia" w:ascii="宋体" w:hAnsi="宋体" w:eastAsia="宋体" w:cs="宋体"/>
          <w:b/>
          <w:spacing w:val="-20"/>
          <w:sz w:val="44"/>
          <w:szCs w:val="44"/>
        </w:rPr>
        <w:t>X X X X X X</w:t>
      </w:r>
      <w:r>
        <w:rPr>
          <w:rFonts w:hint="eastAsia" w:ascii="宋体" w:hAnsi="宋体" w:eastAsia="宋体" w:cs="宋体"/>
          <w:b/>
          <w:spacing w:val="-20"/>
          <w:sz w:val="40"/>
          <w:szCs w:val="44"/>
        </w:rPr>
        <w:t>（项目名称）</w:t>
      </w:r>
    </w:p>
    <w:p w14:paraId="5AA12716">
      <w:pPr>
        <w:jc w:val="center"/>
        <w:rPr>
          <w:rFonts w:hint="eastAsia" w:ascii="宋体" w:hAnsi="宋体" w:eastAsia="宋体" w:cs="宋体"/>
          <w:b/>
          <w:sz w:val="72"/>
          <w:szCs w:val="72"/>
        </w:rPr>
      </w:pPr>
    </w:p>
    <w:p w14:paraId="4970FB42">
      <w:pPr>
        <w:jc w:val="center"/>
        <w:rPr>
          <w:rFonts w:hint="eastAsia" w:ascii="宋体" w:hAnsi="宋体" w:eastAsia="宋体" w:cs="宋体"/>
          <w:b/>
          <w:sz w:val="72"/>
          <w:szCs w:val="72"/>
        </w:rPr>
      </w:pPr>
      <w:r>
        <w:rPr>
          <w:rFonts w:hint="eastAsia" w:ascii="宋体" w:hAnsi="宋体" w:eastAsia="宋体" w:cs="宋体"/>
          <w:b/>
          <w:sz w:val="72"/>
          <w:szCs w:val="72"/>
        </w:rPr>
        <w:t>服 务 合 同</w:t>
      </w:r>
    </w:p>
    <w:p w14:paraId="5F9D9172">
      <w:pPr>
        <w:jc w:val="center"/>
        <w:rPr>
          <w:rFonts w:hint="eastAsia" w:ascii="宋体" w:hAnsi="宋体" w:eastAsia="宋体" w:cs="宋体"/>
          <w:sz w:val="30"/>
          <w:szCs w:val="30"/>
        </w:rPr>
      </w:pPr>
      <w:r>
        <w:rPr>
          <w:rFonts w:hint="eastAsia" w:ascii="宋体" w:hAnsi="宋体" w:eastAsia="宋体" w:cs="宋体"/>
          <w:sz w:val="30"/>
          <w:szCs w:val="30"/>
        </w:rPr>
        <w:t>（项目编号：         ）</w:t>
      </w:r>
    </w:p>
    <w:p w14:paraId="558F48D6">
      <w:pPr>
        <w:jc w:val="center"/>
        <w:rPr>
          <w:rFonts w:hint="eastAsia" w:ascii="宋体" w:hAnsi="宋体" w:eastAsia="宋体" w:cs="宋体"/>
          <w:sz w:val="30"/>
          <w:szCs w:val="30"/>
        </w:rPr>
      </w:pPr>
    </w:p>
    <w:p w14:paraId="7923AB1D">
      <w:pPr>
        <w:jc w:val="center"/>
        <w:rPr>
          <w:rFonts w:hint="eastAsia" w:ascii="宋体" w:hAnsi="宋体" w:eastAsia="宋体" w:cs="宋体"/>
          <w:sz w:val="30"/>
          <w:szCs w:val="30"/>
        </w:rPr>
      </w:pPr>
    </w:p>
    <w:p w14:paraId="53B224BB">
      <w:pPr>
        <w:pStyle w:val="5"/>
        <w:rPr>
          <w:rFonts w:hint="eastAsia" w:ascii="宋体" w:hAnsi="宋体" w:eastAsia="宋体" w:cs="宋体"/>
        </w:rPr>
      </w:pPr>
    </w:p>
    <w:p w14:paraId="33E67AAF">
      <w:pPr>
        <w:jc w:val="center"/>
        <w:rPr>
          <w:rFonts w:hint="eastAsia" w:ascii="宋体" w:hAnsi="宋体" w:eastAsia="宋体" w:cs="宋体"/>
          <w:sz w:val="30"/>
          <w:szCs w:val="30"/>
        </w:rPr>
      </w:pPr>
    </w:p>
    <w:p w14:paraId="3B1A42F2">
      <w:pPr>
        <w:jc w:val="center"/>
        <w:rPr>
          <w:rFonts w:hint="eastAsia" w:ascii="宋体" w:hAnsi="宋体" w:eastAsia="宋体" w:cs="宋体"/>
          <w:sz w:val="30"/>
          <w:szCs w:val="30"/>
        </w:rPr>
      </w:pPr>
    </w:p>
    <w:p w14:paraId="4996BA9B">
      <w:pPr>
        <w:jc w:val="center"/>
        <w:rPr>
          <w:rFonts w:hint="eastAsia" w:ascii="宋体" w:hAnsi="宋体" w:eastAsia="宋体" w:cs="宋体"/>
          <w:sz w:val="30"/>
          <w:szCs w:val="30"/>
        </w:rPr>
      </w:pPr>
    </w:p>
    <w:p w14:paraId="4F34E002">
      <w:pPr>
        <w:jc w:val="center"/>
        <w:rPr>
          <w:rFonts w:hint="eastAsia" w:ascii="宋体" w:hAnsi="宋体" w:eastAsia="宋体" w:cs="宋体"/>
          <w:sz w:val="30"/>
          <w:szCs w:val="30"/>
        </w:rPr>
      </w:pPr>
    </w:p>
    <w:p w14:paraId="2BB2ACCF">
      <w:pPr>
        <w:jc w:val="center"/>
        <w:rPr>
          <w:rFonts w:hint="eastAsia" w:ascii="宋体" w:hAnsi="宋体" w:eastAsia="宋体" w:cs="宋体"/>
          <w:sz w:val="28"/>
          <w:szCs w:val="28"/>
        </w:rPr>
      </w:pPr>
    </w:p>
    <w:p w14:paraId="3FCDF180">
      <w:pPr>
        <w:jc w:val="center"/>
        <w:rPr>
          <w:rFonts w:hint="eastAsia" w:ascii="宋体" w:hAnsi="宋体" w:eastAsia="宋体" w:cs="宋体"/>
          <w:sz w:val="30"/>
          <w:szCs w:val="30"/>
        </w:rPr>
      </w:pPr>
    </w:p>
    <w:p w14:paraId="49825127">
      <w:pPr>
        <w:jc w:val="center"/>
        <w:rPr>
          <w:rFonts w:hint="eastAsia" w:ascii="宋体" w:hAnsi="宋体" w:eastAsia="宋体" w:cs="宋体"/>
          <w:sz w:val="30"/>
          <w:szCs w:val="30"/>
        </w:rPr>
      </w:pPr>
    </w:p>
    <w:p w14:paraId="41E2A77A">
      <w:pPr>
        <w:ind w:firstLine="2124" w:firstLineChars="664"/>
        <w:rPr>
          <w:rFonts w:hint="eastAsia" w:ascii="宋体" w:hAnsi="宋体" w:eastAsia="宋体" w:cs="宋体"/>
          <w:sz w:val="32"/>
          <w:szCs w:val="32"/>
        </w:rPr>
      </w:pPr>
      <w:r>
        <w:rPr>
          <w:rFonts w:hint="eastAsia" w:ascii="宋体" w:hAnsi="宋体" w:eastAsia="宋体" w:cs="宋体"/>
          <w:sz w:val="32"/>
          <w:szCs w:val="32"/>
        </w:rPr>
        <w:t>甲  方：西安市第九医院</w:t>
      </w:r>
    </w:p>
    <w:p w14:paraId="6368B31F">
      <w:pPr>
        <w:tabs>
          <w:tab w:val="left" w:pos="480"/>
        </w:tabs>
        <w:ind w:firstLine="2124" w:firstLineChars="664"/>
        <w:rPr>
          <w:rFonts w:hint="eastAsia" w:ascii="宋体" w:hAnsi="宋体" w:eastAsia="宋体" w:cs="宋体"/>
          <w:sz w:val="32"/>
          <w:szCs w:val="32"/>
        </w:rPr>
      </w:pPr>
      <w:r>
        <w:rPr>
          <w:rFonts w:hint="eastAsia" w:ascii="宋体" w:hAnsi="宋体" w:eastAsia="宋体" w:cs="宋体"/>
          <w:sz w:val="32"/>
          <w:szCs w:val="32"/>
        </w:rPr>
        <w:t>乙  方：XXXXXXX</w:t>
      </w:r>
    </w:p>
    <w:p w14:paraId="4517E27D">
      <w:pPr>
        <w:jc w:val="center"/>
        <w:rPr>
          <w:rFonts w:hint="eastAsia" w:ascii="宋体" w:hAnsi="宋体" w:eastAsia="宋体" w:cs="宋体"/>
          <w:sz w:val="32"/>
          <w:szCs w:val="32"/>
        </w:rPr>
      </w:pPr>
    </w:p>
    <w:p w14:paraId="7DA6897E">
      <w:pPr>
        <w:pStyle w:val="5"/>
        <w:rPr>
          <w:rFonts w:hint="eastAsia" w:ascii="宋体" w:hAnsi="宋体" w:eastAsia="宋体" w:cs="宋体"/>
          <w:lang w:val="en-US" w:eastAsia="zh-CN"/>
        </w:rPr>
      </w:pPr>
    </w:p>
    <w:p w14:paraId="4A97F290">
      <w:pPr>
        <w:jc w:val="center"/>
        <w:rPr>
          <w:rFonts w:hint="eastAsia" w:ascii="宋体" w:hAnsi="宋体" w:eastAsia="宋体" w:cs="宋体"/>
          <w:sz w:val="32"/>
          <w:szCs w:val="32"/>
        </w:rPr>
      </w:pPr>
      <w:r>
        <w:rPr>
          <w:rFonts w:hint="eastAsia" w:ascii="宋体" w:hAnsi="宋体" w:eastAsia="宋体" w:cs="宋体"/>
          <w:sz w:val="32"/>
          <w:szCs w:val="32"/>
        </w:rPr>
        <w:t>202 年   月</w:t>
      </w:r>
    </w:p>
    <w:p w14:paraId="304F664D">
      <w:pPr>
        <w:jc w:val="center"/>
        <w:rPr>
          <w:rFonts w:hint="eastAsia" w:ascii="宋体" w:hAnsi="宋体" w:eastAsia="宋体" w:cs="宋体"/>
          <w:sz w:val="32"/>
          <w:szCs w:val="32"/>
        </w:rPr>
      </w:pPr>
      <w:r>
        <w:rPr>
          <w:rFonts w:hint="eastAsia" w:ascii="宋体" w:hAnsi="宋体" w:eastAsia="宋体" w:cs="宋体"/>
          <w:sz w:val="32"/>
          <w:szCs w:val="32"/>
        </w:rPr>
        <w:t>中国  西安</w:t>
      </w:r>
    </w:p>
    <w:p w14:paraId="1817FF98">
      <w:pPr>
        <w:jc w:val="center"/>
        <w:rPr>
          <w:rFonts w:hint="eastAsia" w:ascii="宋体" w:hAnsi="宋体" w:eastAsia="宋体" w:cs="宋体"/>
          <w:b/>
          <w:sz w:val="32"/>
          <w:szCs w:val="32"/>
        </w:rPr>
        <w:sectPr>
          <w:footerReference r:id="rId5" w:type="first"/>
          <w:footerReference r:id="rId3" w:type="default"/>
          <w:footerReference r:id="rId4" w:type="even"/>
          <w:pgSz w:w="11906" w:h="16838"/>
          <w:pgMar w:top="1440" w:right="1418" w:bottom="1440" w:left="1418" w:header="851" w:footer="992" w:gutter="0"/>
          <w:pgBorders>
            <w:top w:val="none" w:sz="0" w:space="0"/>
            <w:left w:val="none" w:sz="0" w:space="0"/>
            <w:bottom w:val="none" w:sz="0" w:space="0"/>
            <w:right w:val="none" w:sz="0" w:space="0"/>
          </w:pgBorders>
          <w:pgNumType w:start="0"/>
          <w:cols w:space="720" w:num="1"/>
          <w:titlePg/>
          <w:docGrid w:type="lines" w:linePitch="498" w:charSpace="0"/>
        </w:sectPr>
      </w:pPr>
    </w:p>
    <w:p w14:paraId="5E76BBE1">
      <w:pPr>
        <w:jc w:val="center"/>
        <w:rPr>
          <w:rFonts w:hint="eastAsia" w:ascii="宋体" w:hAnsi="宋体" w:eastAsia="宋体" w:cs="宋体"/>
          <w:b/>
          <w:sz w:val="36"/>
          <w:szCs w:val="36"/>
        </w:rPr>
      </w:pPr>
      <w:r>
        <w:rPr>
          <w:rFonts w:hint="eastAsia" w:ascii="宋体" w:hAnsi="宋体" w:eastAsia="宋体" w:cs="宋体"/>
          <w:b/>
          <w:sz w:val="36"/>
          <w:szCs w:val="36"/>
        </w:rPr>
        <w:t>服 务 合 同</w:t>
      </w:r>
    </w:p>
    <w:p w14:paraId="682EB8BA">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甲方（采购人）：西安市第九医院</w:t>
      </w:r>
    </w:p>
    <w:p w14:paraId="5E84CE3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b/>
          <w:sz w:val="24"/>
          <w:szCs w:val="24"/>
        </w:rPr>
        <w:t>（供应商）</w:t>
      </w:r>
      <w:r>
        <w:rPr>
          <w:rFonts w:hint="eastAsia" w:ascii="宋体" w:hAnsi="宋体" w:eastAsia="宋体" w:cs="宋体"/>
          <w:sz w:val="24"/>
          <w:szCs w:val="24"/>
        </w:rPr>
        <w:t>：</w:t>
      </w:r>
    </w:p>
    <w:p w14:paraId="0BC63A8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甲方所需服务在西安市财政局政府采购管理处的监督管理下，按照政府采购程序组织竞争性磋商，确定乙方为XXX项目（项目编号：市九医招【202</w:t>
      </w:r>
      <w:r>
        <w:rPr>
          <w:rFonts w:hint="eastAsia" w:ascii="宋体" w:hAnsi="宋体" w:eastAsia="宋体" w:cs="宋体"/>
          <w:sz w:val="24"/>
          <w:szCs w:val="24"/>
          <w:lang w:val="en-US" w:eastAsia="zh-CN"/>
        </w:rPr>
        <w:t>6</w:t>
      </w:r>
      <w:r>
        <w:rPr>
          <w:rFonts w:hint="eastAsia" w:ascii="宋体" w:hAnsi="宋体" w:eastAsia="宋体" w:cs="宋体"/>
          <w:sz w:val="24"/>
          <w:szCs w:val="24"/>
        </w:rPr>
        <w:t>】XXXX）成交供应商。依据《中华人民共和国政府采购法》《中华人民共和国民法典》等规定以及西安市第九医院竞争性磋商文件、成交通知书，经甲、乙双方协商，采购代理机构确认，达成如下合同条款。</w:t>
      </w:r>
    </w:p>
    <w:p w14:paraId="05F206B1">
      <w:pPr>
        <w:tabs>
          <w:tab w:val="left" w:pos="480"/>
        </w:tabs>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一、合同标的物内容及数量（以响应文件正本和澄清表〈函〉为准）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27E8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35" w:hRule="atLeast"/>
          <w:jc w:val="center"/>
        </w:trPr>
        <w:tc>
          <w:tcPr>
            <w:tcW w:w="739" w:type="dxa"/>
            <w:noWrap w:val="0"/>
            <w:vAlign w:val="center"/>
          </w:tcPr>
          <w:p w14:paraId="20840CAE">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序号</w:t>
            </w:r>
          </w:p>
        </w:tc>
        <w:tc>
          <w:tcPr>
            <w:tcW w:w="1351" w:type="dxa"/>
            <w:noWrap w:val="0"/>
            <w:vAlign w:val="center"/>
          </w:tcPr>
          <w:p w14:paraId="1DD1D688">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服务名称</w:t>
            </w:r>
          </w:p>
        </w:tc>
        <w:tc>
          <w:tcPr>
            <w:tcW w:w="1351" w:type="dxa"/>
            <w:noWrap w:val="0"/>
            <w:vAlign w:val="center"/>
          </w:tcPr>
          <w:p w14:paraId="3DFC5886">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服务内容</w:t>
            </w:r>
          </w:p>
        </w:tc>
        <w:tc>
          <w:tcPr>
            <w:tcW w:w="1351" w:type="dxa"/>
            <w:noWrap w:val="0"/>
            <w:vAlign w:val="center"/>
          </w:tcPr>
          <w:p w14:paraId="05912EE7">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计量单位</w:t>
            </w:r>
          </w:p>
        </w:tc>
        <w:tc>
          <w:tcPr>
            <w:tcW w:w="1351" w:type="dxa"/>
            <w:noWrap w:val="0"/>
            <w:vAlign w:val="center"/>
          </w:tcPr>
          <w:p w14:paraId="461CE21B">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服务时间</w:t>
            </w:r>
          </w:p>
        </w:tc>
        <w:tc>
          <w:tcPr>
            <w:tcW w:w="1351" w:type="dxa"/>
            <w:noWrap w:val="0"/>
            <w:vAlign w:val="center"/>
          </w:tcPr>
          <w:p w14:paraId="23FE1494">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数量</w:t>
            </w:r>
          </w:p>
        </w:tc>
        <w:tc>
          <w:tcPr>
            <w:tcW w:w="1352" w:type="dxa"/>
            <w:noWrap w:val="0"/>
            <w:vAlign w:val="center"/>
          </w:tcPr>
          <w:p w14:paraId="317598B9">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备注</w:t>
            </w:r>
          </w:p>
        </w:tc>
      </w:tr>
      <w:tr w14:paraId="42A9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739" w:type="dxa"/>
            <w:noWrap w:val="0"/>
            <w:vAlign w:val="center"/>
          </w:tcPr>
          <w:p w14:paraId="602A4F3C">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1</w:t>
            </w:r>
          </w:p>
        </w:tc>
        <w:tc>
          <w:tcPr>
            <w:tcW w:w="1351" w:type="dxa"/>
            <w:noWrap w:val="0"/>
            <w:vAlign w:val="center"/>
          </w:tcPr>
          <w:p w14:paraId="1C7F30EF">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top"/>
          </w:tcPr>
          <w:p w14:paraId="3D7CAED8">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top"/>
          </w:tcPr>
          <w:p w14:paraId="5E4CA7CC">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center"/>
          </w:tcPr>
          <w:p w14:paraId="47A1B76B">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top"/>
          </w:tcPr>
          <w:p w14:paraId="64FFBC4F">
            <w:pPr>
              <w:tabs>
                <w:tab w:val="left" w:pos="480"/>
              </w:tabs>
              <w:spacing w:line="240" w:lineRule="auto"/>
              <w:jc w:val="center"/>
              <w:rPr>
                <w:rFonts w:hint="eastAsia" w:ascii="宋体" w:hAnsi="宋体" w:eastAsia="宋体" w:cs="宋体"/>
                <w:color w:val="000000"/>
                <w:spacing w:val="-20"/>
                <w:kern w:val="0"/>
                <w:sz w:val="24"/>
                <w:szCs w:val="24"/>
              </w:rPr>
            </w:pPr>
          </w:p>
        </w:tc>
        <w:tc>
          <w:tcPr>
            <w:tcW w:w="1352" w:type="dxa"/>
            <w:noWrap w:val="0"/>
            <w:vAlign w:val="top"/>
          </w:tcPr>
          <w:p w14:paraId="201C18C0">
            <w:pPr>
              <w:tabs>
                <w:tab w:val="left" w:pos="480"/>
              </w:tabs>
              <w:spacing w:line="240" w:lineRule="auto"/>
              <w:jc w:val="center"/>
              <w:rPr>
                <w:rFonts w:hint="eastAsia" w:ascii="宋体" w:hAnsi="宋体" w:eastAsia="宋体" w:cs="宋体"/>
                <w:color w:val="000000"/>
                <w:spacing w:val="-20"/>
                <w:kern w:val="0"/>
                <w:sz w:val="24"/>
                <w:szCs w:val="24"/>
              </w:rPr>
            </w:pPr>
          </w:p>
        </w:tc>
      </w:tr>
      <w:tr w14:paraId="0765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739" w:type="dxa"/>
            <w:noWrap w:val="0"/>
            <w:vAlign w:val="center"/>
          </w:tcPr>
          <w:p w14:paraId="0339E6CD">
            <w:pPr>
              <w:tabs>
                <w:tab w:val="left" w:pos="480"/>
              </w:tabs>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2</w:t>
            </w:r>
          </w:p>
        </w:tc>
        <w:tc>
          <w:tcPr>
            <w:tcW w:w="1351" w:type="dxa"/>
            <w:noWrap w:val="0"/>
            <w:vAlign w:val="center"/>
          </w:tcPr>
          <w:p w14:paraId="3B1B0426">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top"/>
          </w:tcPr>
          <w:p w14:paraId="74926A25">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top"/>
          </w:tcPr>
          <w:p w14:paraId="773E82B4">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center"/>
          </w:tcPr>
          <w:p w14:paraId="67ED1EA7">
            <w:pPr>
              <w:tabs>
                <w:tab w:val="left" w:pos="480"/>
              </w:tabs>
              <w:spacing w:line="240" w:lineRule="auto"/>
              <w:jc w:val="center"/>
              <w:rPr>
                <w:rFonts w:hint="eastAsia" w:ascii="宋体" w:hAnsi="宋体" w:eastAsia="宋体" w:cs="宋体"/>
                <w:color w:val="000000"/>
                <w:spacing w:val="-20"/>
                <w:kern w:val="0"/>
                <w:sz w:val="24"/>
                <w:szCs w:val="24"/>
              </w:rPr>
            </w:pPr>
          </w:p>
        </w:tc>
        <w:tc>
          <w:tcPr>
            <w:tcW w:w="1351" w:type="dxa"/>
            <w:noWrap w:val="0"/>
            <w:vAlign w:val="top"/>
          </w:tcPr>
          <w:p w14:paraId="7F2EE33B">
            <w:pPr>
              <w:tabs>
                <w:tab w:val="left" w:pos="480"/>
              </w:tabs>
              <w:spacing w:line="240" w:lineRule="auto"/>
              <w:jc w:val="center"/>
              <w:rPr>
                <w:rFonts w:hint="eastAsia" w:ascii="宋体" w:hAnsi="宋体" w:eastAsia="宋体" w:cs="宋体"/>
                <w:color w:val="000000"/>
                <w:spacing w:val="-20"/>
                <w:kern w:val="0"/>
                <w:sz w:val="24"/>
                <w:szCs w:val="24"/>
              </w:rPr>
            </w:pPr>
          </w:p>
        </w:tc>
        <w:tc>
          <w:tcPr>
            <w:tcW w:w="1352" w:type="dxa"/>
            <w:noWrap w:val="0"/>
            <w:vAlign w:val="top"/>
          </w:tcPr>
          <w:p w14:paraId="5C7BB66E">
            <w:pPr>
              <w:tabs>
                <w:tab w:val="left" w:pos="480"/>
              </w:tabs>
              <w:spacing w:line="240" w:lineRule="auto"/>
              <w:jc w:val="center"/>
              <w:rPr>
                <w:rFonts w:hint="eastAsia" w:ascii="宋体" w:hAnsi="宋体" w:eastAsia="宋体" w:cs="宋体"/>
                <w:color w:val="000000"/>
                <w:spacing w:val="-20"/>
                <w:kern w:val="0"/>
                <w:sz w:val="24"/>
                <w:szCs w:val="24"/>
              </w:rPr>
            </w:pPr>
          </w:p>
        </w:tc>
      </w:tr>
      <w:tr w14:paraId="69B0B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739" w:type="dxa"/>
            <w:noWrap w:val="0"/>
            <w:vAlign w:val="center"/>
          </w:tcPr>
          <w:p w14:paraId="66784210">
            <w:pPr>
              <w:tabs>
                <w:tab w:val="left" w:pos="480"/>
              </w:tabs>
              <w:spacing w:line="240" w:lineRule="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合计</w:t>
            </w:r>
          </w:p>
        </w:tc>
        <w:tc>
          <w:tcPr>
            <w:tcW w:w="8107" w:type="dxa"/>
            <w:gridSpan w:val="6"/>
            <w:noWrap w:val="0"/>
            <w:vAlign w:val="center"/>
          </w:tcPr>
          <w:p w14:paraId="584F1460">
            <w:pPr>
              <w:tabs>
                <w:tab w:val="left" w:pos="480"/>
              </w:tabs>
              <w:spacing w:line="240" w:lineRule="auto"/>
              <w:rPr>
                <w:rFonts w:hint="eastAsia" w:ascii="宋体" w:hAnsi="宋体" w:eastAsia="宋体" w:cs="宋体"/>
                <w:color w:val="000000"/>
                <w:spacing w:val="-20"/>
                <w:kern w:val="0"/>
                <w:sz w:val="24"/>
                <w:szCs w:val="24"/>
              </w:rPr>
            </w:pPr>
          </w:p>
        </w:tc>
      </w:tr>
      <w:tr w14:paraId="7919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739" w:type="dxa"/>
            <w:noWrap w:val="0"/>
            <w:vAlign w:val="center"/>
          </w:tcPr>
          <w:p w14:paraId="4DA3860F">
            <w:pPr>
              <w:tabs>
                <w:tab w:val="left" w:pos="480"/>
              </w:tabs>
              <w:spacing w:line="240" w:lineRule="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说明</w:t>
            </w:r>
          </w:p>
        </w:tc>
        <w:tc>
          <w:tcPr>
            <w:tcW w:w="8107" w:type="dxa"/>
            <w:gridSpan w:val="6"/>
            <w:noWrap w:val="0"/>
            <w:vAlign w:val="center"/>
          </w:tcPr>
          <w:p w14:paraId="73145314">
            <w:pPr>
              <w:tabs>
                <w:tab w:val="left" w:pos="480"/>
              </w:tabs>
              <w:spacing w:line="240" w:lineRule="auto"/>
              <w:rPr>
                <w:rFonts w:hint="eastAsia" w:ascii="宋体" w:hAnsi="宋体" w:eastAsia="宋体" w:cs="宋体"/>
                <w:color w:val="000000"/>
                <w:spacing w:val="-20"/>
                <w:kern w:val="0"/>
                <w:sz w:val="24"/>
                <w:szCs w:val="24"/>
              </w:rPr>
            </w:pPr>
          </w:p>
        </w:tc>
      </w:tr>
    </w:tbl>
    <w:p w14:paraId="1747FC77">
      <w:pPr>
        <w:tabs>
          <w:tab w:val="left" w:pos="480"/>
        </w:tabs>
        <w:spacing w:line="240" w:lineRule="auto"/>
        <w:ind w:firstLine="394" w:firstLineChars="196"/>
        <w:rPr>
          <w:rFonts w:hint="eastAsia" w:ascii="宋体" w:hAnsi="宋体" w:eastAsia="宋体" w:cs="宋体"/>
          <w:b/>
          <w:spacing w:val="-20"/>
          <w:kern w:val="0"/>
          <w:sz w:val="24"/>
          <w:szCs w:val="24"/>
        </w:rPr>
      </w:pPr>
      <w:r>
        <w:rPr>
          <w:rFonts w:hint="eastAsia" w:ascii="宋体" w:hAnsi="宋体" w:eastAsia="宋体" w:cs="宋体"/>
          <w:b/>
          <w:spacing w:val="-20"/>
          <w:kern w:val="0"/>
          <w:sz w:val="24"/>
          <w:szCs w:val="24"/>
        </w:rPr>
        <w:t>（上表仅供参考，应根据项目具体内容修改填写，详细服务内容及明细标准可附附件或详见竞争性磋商响应文件，需说明清楚）</w:t>
      </w:r>
    </w:p>
    <w:p w14:paraId="1E606D78">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二、服务条件</w:t>
      </w:r>
    </w:p>
    <w:p w14:paraId="21BC72F2">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（一）服务地点：甲方指定地点。</w:t>
      </w:r>
    </w:p>
    <w:p w14:paraId="7E8171B6">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（二）服务期：自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A1F91F4">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三、合同价款</w:t>
      </w:r>
    </w:p>
    <w:p w14:paraId="7EFA78A7">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B77AA6A">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（二）合同总价已包含但不限于乙方为提供服务所产生的全部成本、预期利益、售后服务、税费和合同中规定乙方应承担的其他义务的费用等。</w:t>
      </w:r>
    </w:p>
    <w:p w14:paraId="508B89D2">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（三）合同总价一次性包死，不受市场价格变化因素的影响。</w:t>
      </w:r>
    </w:p>
    <w:p w14:paraId="43D80602">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四、款项</w:t>
      </w:r>
      <w:r>
        <w:rPr>
          <w:rFonts w:hint="eastAsia" w:ascii="宋体" w:hAnsi="宋体" w:eastAsia="宋体" w:cs="宋体"/>
          <w:b/>
          <w:sz w:val="24"/>
          <w:szCs w:val="24"/>
        </w:rPr>
        <w:t>支付、</w:t>
      </w:r>
      <w:r>
        <w:rPr>
          <w:rFonts w:hint="eastAsia" w:ascii="宋体" w:hAnsi="宋体" w:eastAsia="宋体" w:cs="宋体"/>
          <w:b/>
          <w:color w:val="000000"/>
          <w:spacing w:val="-20"/>
          <w:kern w:val="0"/>
          <w:sz w:val="24"/>
          <w:szCs w:val="24"/>
        </w:rPr>
        <w:t>结算</w:t>
      </w:r>
    </w:p>
    <w:p w14:paraId="7E58FD07">
      <w:pPr>
        <w:pStyle w:val="5"/>
        <w:spacing w:line="24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（一）结算：</w:t>
      </w:r>
    </w:p>
    <w:p w14:paraId="0B5E6997">
      <w:pPr>
        <w:spacing w:line="240" w:lineRule="auto"/>
        <w:ind w:firstLine="480" w:firstLineChars="200"/>
        <w:rPr>
          <w:rFonts w:hint="eastAsia" w:ascii="宋体" w:hAnsi="宋体" w:eastAsia="宋体" w:cs="宋体"/>
          <w:sz w:val="24"/>
          <w:szCs w:val="24"/>
        </w:rPr>
      </w:pPr>
      <w:r>
        <w:rPr>
          <w:rFonts w:ascii="宋体" w:hAnsi="宋体" w:eastAsia="宋体"/>
          <w:color w:val="262626"/>
          <w:sz w:val="24"/>
          <w:szCs w:val="24"/>
        </w:rPr>
        <w:t>按季度付款，支付总额不超过合同金额。每季度期满经采购人验收合格后出具验收单，供应商持验收单、开具的发票与采购人办理结算，采购人收到供应商的发票后60日内支付。第一季度期满付合同总额不超过</w:t>
      </w:r>
      <w:r>
        <w:rPr>
          <w:rFonts w:hint="eastAsia" w:ascii="宋体" w:hAnsi="宋体" w:eastAsia="宋体"/>
          <w:color w:val="262626"/>
          <w:sz w:val="24"/>
          <w:szCs w:val="24"/>
          <w:lang w:val="en-US" w:eastAsia="zh-CN"/>
        </w:rPr>
        <w:t>25</w:t>
      </w:r>
      <w:r>
        <w:rPr>
          <w:rFonts w:ascii="宋体" w:hAnsi="宋体" w:eastAsia="宋体"/>
          <w:color w:val="262626"/>
          <w:sz w:val="24"/>
          <w:szCs w:val="24"/>
        </w:rPr>
        <w:t>%，第二季度期满付合同总额不超过2</w:t>
      </w:r>
      <w:r>
        <w:rPr>
          <w:rFonts w:hint="eastAsia" w:ascii="宋体" w:hAnsi="宋体" w:eastAsia="宋体"/>
          <w:color w:val="262626"/>
          <w:sz w:val="24"/>
          <w:szCs w:val="24"/>
          <w:lang w:val="en-US" w:eastAsia="zh-CN"/>
        </w:rPr>
        <w:t>5</w:t>
      </w:r>
      <w:r>
        <w:rPr>
          <w:rFonts w:ascii="宋体" w:hAnsi="宋体" w:eastAsia="宋体"/>
          <w:color w:val="262626"/>
          <w:sz w:val="24"/>
          <w:szCs w:val="24"/>
        </w:rPr>
        <w:t>%，第三季度期满付合同总额不超过</w:t>
      </w:r>
      <w:r>
        <w:rPr>
          <w:rFonts w:hint="eastAsia" w:ascii="宋体" w:hAnsi="宋体" w:eastAsia="宋体"/>
          <w:color w:val="262626"/>
          <w:sz w:val="24"/>
          <w:szCs w:val="24"/>
          <w:lang w:val="en-US" w:eastAsia="zh-CN"/>
        </w:rPr>
        <w:t>25</w:t>
      </w:r>
      <w:r>
        <w:rPr>
          <w:rFonts w:ascii="宋体" w:hAnsi="宋体" w:eastAsia="宋体"/>
          <w:color w:val="262626"/>
          <w:sz w:val="24"/>
          <w:szCs w:val="24"/>
        </w:rPr>
        <w:t>%，第四季度期满付合同总额不超过</w:t>
      </w:r>
      <w:r>
        <w:rPr>
          <w:rFonts w:hint="eastAsia" w:ascii="宋体" w:hAnsi="宋体" w:eastAsia="宋体"/>
          <w:color w:val="262626"/>
          <w:sz w:val="24"/>
          <w:szCs w:val="24"/>
          <w:lang w:val="en-US" w:eastAsia="zh-CN"/>
        </w:rPr>
        <w:t>25</w:t>
      </w:r>
      <w:r>
        <w:rPr>
          <w:rFonts w:ascii="宋体" w:hAnsi="宋体" w:eastAsia="宋体"/>
          <w:color w:val="262626"/>
          <w:sz w:val="24"/>
          <w:szCs w:val="24"/>
        </w:rPr>
        <w:t>%。</w:t>
      </w:r>
    </w:p>
    <w:p w14:paraId="164498D4">
      <w:pPr>
        <w:spacing w:line="24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eastAsia="zh-CN"/>
        </w:rPr>
        <w:t>二</w:t>
      </w:r>
      <w:r>
        <w:rPr>
          <w:rFonts w:hint="eastAsia" w:ascii="宋体" w:hAnsi="宋体" w:eastAsia="宋体" w:cs="宋体"/>
          <w:sz w:val="24"/>
          <w:szCs w:val="24"/>
        </w:rPr>
        <w:t>）</w:t>
      </w:r>
      <w:r>
        <w:rPr>
          <w:rFonts w:hint="eastAsia" w:ascii="宋体" w:hAnsi="宋体" w:eastAsia="宋体" w:cs="宋体"/>
          <w:sz w:val="24"/>
          <w:szCs w:val="24"/>
          <w:lang w:val="en-US" w:eastAsia="zh-CN"/>
        </w:rPr>
        <w:t>支付方式：原则按分期付款方式支付</w:t>
      </w:r>
      <w:r>
        <w:rPr>
          <w:rFonts w:hint="eastAsia" w:ascii="宋体" w:hAnsi="宋体" w:eastAsia="宋体" w:cs="宋体"/>
          <w:sz w:val="24"/>
          <w:szCs w:val="24"/>
        </w:rPr>
        <w:t>（中小微企业付款方式按相关规定执行）</w:t>
      </w:r>
      <w:r>
        <w:rPr>
          <w:rFonts w:hint="eastAsia" w:ascii="宋体" w:hAnsi="宋体" w:eastAsia="宋体" w:cs="宋体"/>
          <w:sz w:val="24"/>
          <w:szCs w:val="24"/>
          <w:lang w:val="en-US" w:eastAsia="zh-CN"/>
        </w:rPr>
        <w:t>。</w:t>
      </w:r>
    </w:p>
    <w:p w14:paraId="51D32C79">
      <w:pPr>
        <w:spacing w:line="240" w:lineRule="auto"/>
        <w:ind w:firstLine="480" w:firstLineChars="200"/>
        <w:rPr>
          <w:rFonts w:hint="eastAsia" w:ascii="宋体" w:hAnsi="宋体" w:eastAsia="宋体" w:cs="宋体"/>
          <w:bCs/>
          <w:sz w:val="24"/>
          <w:szCs w:val="24"/>
          <w:lang w:val="zh-CN"/>
        </w:rPr>
      </w:pPr>
      <w:r>
        <w:rPr>
          <w:rFonts w:hint="eastAsia" w:ascii="宋体" w:hAnsi="宋体" w:eastAsia="宋体" w:cs="宋体"/>
          <w:sz w:val="24"/>
          <w:szCs w:val="24"/>
        </w:rPr>
        <w:t>（三）付款方式：银行转账</w:t>
      </w:r>
      <w:r>
        <w:rPr>
          <w:rFonts w:hint="eastAsia" w:ascii="宋体" w:hAnsi="宋体" w:eastAsia="宋体" w:cs="宋体"/>
          <w:bCs/>
          <w:sz w:val="24"/>
          <w:szCs w:val="24"/>
          <w:lang w:val="zh-CN"/>
        </w:rPr>
        <w:t>将款项转入乙方银行账户。乙方银行账户信息如下：</w:t>
      </w:r>
    </w:p>
    <w:p w14:paraId="78FE2E8C">
      <w:pPr>
        <w:spacing w:line="240" w:lineRule="auto"/>
        <w:ind w:firstLine="482" w:firstLineChars="200"/>
        <w:rPr>
          <w:rFonts w:hint="eastAsia" w:ascii="宋体" w:hAnsi="宋体" w:eastAsia="宋体" w:cs="宋体"/>
          <w:b/>
          <w:bCs/>
          <w:sz w:val="24"/>
          <w:szCs w:val="24"/>
          <w:u w:val="single"/>
          <w:lang w:val="zh-CN"/>
        </w:rPr>
      </w:pPr>
      <w:r>
        <w:rPr>
          <w:rFonts w:hint="eastAsia" w:ascii="宋体" w:hAnsi="宋体" w:eastAsia="宋体" w:cs="宋体"/>
          <w:b/>
          <w:bCs/>
          <w:sz w:val="24"/>
          <w:szCs w:val="24"/>
          <w:lang w:val="zh-CN"/>
        </w:rPr>
        <w:t>账户全称：</w:t>
      </w:r>
    </w:p>
    <w:p w14:paraId="4D902DEC">
      <w:pPr>
        <w:spacing w:line="240" w:lineRule="auto"/>
        <w:ind w:firstLine="482" w:firstLineChars="200"/>
        <w:rPr>
          <w:rFonts w:hint="eastAsia" w:ascii="宋体" w:hAnsi="宋体" w:eastAsia="宋体" w:cs="宋体"/>
          <w:b/>
          <w:bCs/>
          <w:sz w:val="24"/>
          <w:szCs w:val="24"/>
          <w:u w:val="single"/>
        </w:rPr>
      </w:pPr>
      <w:r>
        <w:rPr>
          <w:rFonts w:hint="eastAsia" w:ascii="宋体" w:hAnsi="宋体" w:eastAsia="宋体" w:cs="宋体"/>
          <w:b/>
          <w:bCs/>
          <w:sz w:val="24"/>
          <w:szCs w:val="24"/>
          <w:lang w:val="zh-CN"/>
        </w:rPr>
        <w:t>账    号：</w:t>
      </w:r>
    </w:p>
    <w:p w14:paraId="7509B640">
      <w:pPr>
        <w:spacing w:line="240" w:lineRule="auto"/>
        <w:ind w:firstLine="482" w:firstLineChars="200"/>
        <w:rPr>
          <w:rFonts w:hint="eastAsia" w:ascii="宋体" w:hAnsi="宋体" w:eastAsia="宋体" w:cs="宋体"/>
          <w:b/>
          <w:bCs/>
          <w:sz w:val="24"/>
          <w:szCs w:val="24"/>
          <w:u w:val="single"/>
          <w:lang w:val="zh-CN"/>
        </w:rPr>
      </w:pPr>
      <w:r>
        <w:rPr>
          <w:rFonts w:hint="eastAsia" w:ascii="宋体" w:hAnsi="宋体" w:eastAsia="宋体" w:cs="宋体"/>
          <w:b/>
          <w:bCs/>
          <w:sz w:val="24"/>
          <w:szCs w:val="24"/>
          <w:lang w:val="zh-CN"/>
        </w:rPr>
        <w:t>开 户 行：</w:t>
      </w:r>
    </w:p>
    <w:p w14:paraId="72986751">
      <w:pPr>
        <w:spacing w:line="240" w:lineRule="auto"/>
        <w:ind w:firstLine="482" w:firstLineChars="200"/>
        <w:rPr>
          <w:rFonts w:hint="eastAsia" w:ascii="宋体" w:hAnsi="宋体" w:eastAsia="宋体" w:cs="宋体"/>
          <w:b/>
          <w:bCs/>
          <w:sz w:val="24"/>
          <w:szCs w:val="24"/>
          <w:lang w:val="zh-CN"/>
        </w:rPr>
      </w:pPr>
      <w:r>
        <w:rPr>
          <w:rFonts w:hint="eastAsia" w:ascii="宋体" w:hAnsi="宋体" w:eastAsia="宋体" w:cs="宋体"/>
          <w:b/>
          <w:bCs/>
          <w:sz w:val="24"/>
          <w:szCs w:val="24"/>
          <w:u w:val="single"/>
          <w:lang w:val="zh-CN"/>
        </w:rPr>
        <w:t>甲方仅认可上述指定账户并向该账户付款。甲方有权拒绝向指定账户之外的任何账户付款，并且由此导致的付款延迟责任由乙方承担。</w:t>
      </w:r>
    </w:p>
    <w:p w14:paraId="213C0579">
      <w:pPr>
        <w:pStyle w:val="5"/>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乙方要如实开具发票，乙方开具发票出现税务争议的，乙方应承担税款、滞纳金、罚款等赔偿责任以及其他相关责任。</w:t>
      </w:r>
    </w:p>
    <w:p w14:paraId="28C457DA">
      <w:pPr>
        <w:keepNext w:val="0"/>
        <w:keepLines w:val="0"/>
        <w:pageBreakBefore w:val="0"/>
        <w:widowControl w:val="0"/>
        <w:tabs>
          <w:tab w:val="left" w:pos="480"/>
        </w:tabs>
        <w:kinsoku/>
        <w:wordWrap/>
        <w:overflowPunct/>
        <w:topLinePunct w:val="0"/>
        <w:bidi w:val="0"/>
        <w:spacing w:line="24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（四）履约保证金：乙方在合同签订前向甲方指定账户交纳履约保证金，为</w:t>
      </w:r>
      <w:r>
        <w:rPr>
          <w:rFonts w:hint="eastAsia" w:ascii="宋体" w:hAnsi="宋体" w:eastAsia="宋体" w:cs="宋体"/>
          <w:spacing w:val="0"/>
          <w:sz w:val="24"/>
          <w:szCs w:val="24"/>
          <w:lang w:val="en-US" w:eastAsia="zh-CN"/>
        </w:rPr>
        <w:t>成交金额的</w:t>
      </w:r>
      <w:r>
        <w:rPr>
          <w:rFonts w:hint="eastAsia" w:ascii="宋体" w:hAnsi="宋体" w:eastAsia="宋体" w:cs="宋体"/>
          <w:spacing w:val="0"/>
          <w:sz w:val="24"/>
          <w:szCs w:val="24"/>
        </w:rPr>
        <w:t>5%，即人民币(大写)</w:t>
      </w:r>
      <w:r>
        <w:rPr>
          <w:rFonts w:hint="eastAsia" w:ascii="宋体" w:hAnsi="宋体" w:eastAsia="宋体" w:cs="宋体"/>
          <w:spacing w:val="0"/>
          <w:sz w:val="24"/>
          <w:szCs w:val="24"/>
          <w:u w:val="single"/>
        </w:rPr>
        <w:t xml:space="preserve">           元整</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u w:val="single"/>
        </w:rPr>
        <w:t xml:space="preserve"> ¥       </w:t>
      </w:r>
      <w:r>
        <w:rPr>
          <w:rFonts w:hint="eastAsia" w:ascii="宋体" w:hAnsi="宋体" w:eastAsia="宋体" w:cs="宋体"/>
          <w:spacing w:val="0"/>
          <w:sz w:val="24"/>
          <w:szCs w:val="24"/>
        </w:rPr>
        <w:t>元)。合同执行完毕后，在扣除相关款项后（若有），剩余部分无息返还。</w:t>
      </w:r>
    </w:p>
    <w:p w14:paraId="74658744">
      <w:pPr>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五、双方的权利和义务</w:t>
      </w:r>
    </w:p>
    <w:p w14:paraId="0A6069E6">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（一）甲方的权利和义务</w:t>
      </w:r>
    </w:p>
    <w:p w14:paraId="2073B757">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1.甲方有权对乙方的服务等成果进行监督核查；甲方认为服务不达标的（包括但不限于被投诉、满意度低于</w:t>
      </w:r>
      <w:r>
        <w:rPr>
          <w:rFonts w:hint="eastAsia" w:ascii="宋体" w:hAnsi="宋体" w:eastAsia="宋体" w:cs="宋体"/>
          <w:sz w:val="24"/>
          <w:szCs w:val="24"/>
          <w:u w:val="single"/>
        </w:rPr>
        <w:t xml:space="preserve">  %</w:t>
      </w:r>
      <w:r>
        <w:rPr>
          <w:rFonts w:hint="eastAsia" w:ascii="宋体" w:hAnsi="宋体" w:eastAsia="宋体" w:cs="宋体"/>
          <w:sz w:val="24"/>
          <w:szCs w:val="24"/>
        </w:rPr>
        <w:t>等），有权下达整改通知书，乙方应在接到通知书</w:t>
      </w:r>
      <w:r>
        <w:rPr>
          <w:rFonts w:hint="eastAsia" w:ascii="宋体" w:hAnsi="宋体" w:eastAsia="宋体" w:cs="宋体"/>
          <w:sz w:val="24"/>
          <w:szCs w:val="24"/>
          <w:u w:val="single"/>
        </w:rPr>
        <w:t xml:space="preserve">   </w:t>
      </w:r>
      <w:r>
        <w:rPr>
          <w:rFonts w:hint="eastAsia" w:ascii="宋体" w:hAnsi="宋体" w:eastAsia="宋体" w:cs="宋体"/>
          <w:sz w:val="24"/>
          <w:szCs w:val="24"/>
        </w:rPr>
        <w:t>日内整改合格。</w:t>
      </w:r>
    </w:p>
    <w:p w14:paraId="7B524D5B">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2.甲方依据本合同的约定及验收结果，向乙方支付款项。</w:t>
      </w:r>
    </w:p>
    <w:p w14:paraId="383DA59E">
      <w:pPr>
        <w:spacing w:line="240" w:lineRule="auto"/>
        <w:ind w:firstLine="480" w:firstLineChars="200"/>
        <w:rPr>
          <w:rFonts w:hint="eastAsia" w:ascii="宋体" w:hAnsi="宋体" w:eastAsia="宋体" w:cs="宋体"/>
          <w:b/>
          <w:color w:val="FF0000"/>
          <w:sz w:val="24"/>
          <w:szCs w:val="24"/>
        </w:rPr>
      </w:pPr>
      <w:r>
        <w:rPr>
          <w:rFonts w:hint="eastAsia" w:ascii="宋体" w:hAnsi="宋体" w:eastAsia="宋体" w:cs="宋体"/>
          <w:sz w:val="24"/>
          <w:szCs w:val="24"/>
        </w:rPr>
        <w:t>3.</w:t>
      </w:r>
      <w:r>
        <w:rPr>
          <w:rFonts w:hint="eastAsia" w:ascii="宋体" w:hAnsi="宋体" w:eastAsia="宋体" w:cs="宋体"/>
          <w:b/>
          <w:sz w:val="24"/>
          <w:szCs w:val="24"/>
        </w:rPr>
        <w:t>其他条款。（参照</w:t>
      </w:r>
      <w:r>
        <w:rPr>
          <w:rFonts w:hint="eastAsia" w:ascii="宋体" w:hAnsi="宋体" w:eastAsia="宋体" w:cs="宋体"/>
          <w:b/>
          <w:sz w:val="24"/>
          <w:szCs w:val="24"/>
          <w:lang w:eastAsia="zh-CN"/>
        </w:rPr>
        <w:t>磋商</w:t>
      </w:r>
      <w:r>
        <w:rPr>
          <w:rFonts w:hint="eastAsia" w:ascii="宋体" w:hAnsi="宋体" w:eastAsia="宋体" w:cs="宋体"/>
          <w:b/>
          <w:sz w:val="24"/>
          <w:szCs w:val="24"/>
        </w:rPr>
        <w:t>、</w:t>
      </w:r>
      <w:r>
        <w:rPr>
          <w:rFonts w:hint="eastAsia" w:ascii="宋体" w:hAnsi="宋体" w:eastAsia="宋体" w:cs="宋体"/>
          <w:b/>
          <w:sz w:val="24"/>
          <w:szCs w:val="24"/>
          <w:lang w:eastAsia="zh-CN"/>
        </w:rPr>
        <w:t>响应</w:t>
      </w:r>
      <w:r>
        <w:rPr>
          <w:rFonts w:hint="eastAsia" w:ascii="宋体" w:hAnsi="宋体" w:eastAsia="宋体" w:cs="宋体"/>
          <w:b/>
          <w:sz w:val="24"/>
          <w:szCs w:val="24"/>
        </w:rPr>
        <w:t>文件条款）</w:t>
      </w:r>
    </w:p>
    <w:p w14:paraId="74D3164D">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（二）乙方的权利和义务</w:t>
      </w:r>
    </w:p>
    <w:p w14:paraId="2CDC4DC2">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1．乙方的服务应及时有效，不得影响患者就诊；乙方应全力配合甲方的工作。</w:t>
      </w:r>
    </w:p>
    <w:p w14:paraId="6EA1B1E9">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2.乙方应免费提供每周7天，每天24小时不间断的电话支持服务，解答甲方在使用过程中遇到的问题；乙方电话响应时间应小于</w:t>
      </w:r>
      <w:r>
        <w:rPr>
          <w:rFonts w:hint="eastAsia" w:ascii="宋体" w:hAnsi="宋体" w:eastAsia="宋体" w:cs="宋体"/>
          <w:sz w:val="24"/>
          <w:szCs w:val="24"/>
          <w:u w:val="single"/>
        </w:rPr>
        <w:t xml:space="preserve">  </w:t>
      </w:r>
      <w:r>
        <w:rPr>
          <w:rFonts w:hint="eastAsia" w:ascii="宋体" w:hAnsi="宋体" w:eastAsia="宋体" w:cs="宋体"/>
          <w:sz w:val="24"/>
          <w:szCs w:val="24"/>
        </w:rPr>
        <w:t>小时、到达现场时间不超过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小时、解决问题不超过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14:paraId="00BE2AD9">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3.乙方对甲方突发公共卫生事件及各项应急预案应积极响应并派员配合协助，不得拒绝推诿。</w:t>
      </w:r>
    </w:p>
    <w:p w14:paraId="5412D1A4">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4.及时向甲方通告本项目服务范围内有关服务的重大事项，及时配合处理投诉。</w:t>
      </w:r>
    </w:p>
    <w:p w14:paraId="47F0618D">
      <w:pPr>
        <w:tabs>
          <w:tab w:val="left" w:pos="480"/>
        </w:tabs>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5.乙方的服务多次（3次及以上）不能达到本合同的约定及甲方的要求，甲方有权指定第三方服务，服务费用由乙方承担。</w:t>
      </w:r>
    </w:p>
    <w:p w14:paraId="00EC01A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 乙方所供服务必须做到服务方案和方式科学、可行，人员配置合理，全面满足要求。符合国家有关服务规范要求，确保各项服务达到最佳运行效果。</w:t>
      </w:r>
    </w:p>
    <w:p w14:paraId="3C967B2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 未经甲方同意，乙方不得擅自将本合同服务转包第三方承担，否则应承担违约责任并赔偿甲方的损失。</w:t>
      </w:r>
    </w:p>
    <w:p w14:paraId="359B66C3">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8.乙方提供的服务，若发生侵权而产生的一切后果，由乙方负责。甲方保留索赔权利。</w:t>
      </w:r>
    </w:p>
    <w:p w14:paraId="38413DD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9.乙方向甲方提交服务实施过程中的相关资料，以便甲方日后管理和维护。</w:t>
      </w:r>
    </w:p>
    <w:p w14:paraId="0FE1081A">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负责手术专用电梯司机服务、扶梯每日关停/启用、</w:t>
      </w:r>
      <w:r>
        <w:rPr>
          <w:rFonts w:hint="eastAsia" w:ascii="宋体" w:hAnsi="宋体" w:eastAsia="宋体" w:cs="宋体"/>
          <w:sz w:val="24"/>
          <w:szCs w:val="24"/>
          <w:lang w:val="en-US" w:eastAsia="zh-CN"/>
        </w:rPr>
        <w:t>夏令时间（5-10月）</w:t>
      </w:r>
      <w:r>
        <w:rPr>
          <w:rFonts w:hint="eastAsia" w:ascii="宋体" w:hAnsi="宋体" w:eastAsia="宋体" w:cs="宋体"/>
          <w:sz w:val="24"/>
          <w:szCs w:val="24"/>
        </w:rPr>
        <w:t>每天对电梯机房运行情况不少于</w:t>
      </w:r>
      <w:r>
        <w:rPr>
          <w:rFonts w:hint="eastAsia" w:ascii="宋体" w:hAnsi="宋体" w:eastAsia="宋体" w:cs="宋体"/>
          <w:sz w:val="24"/>
          <w:szCs w:val="24"/>
          <w:lang w:val="en-US" w:eastAsia="zh-CN"/>
        </w:rPr>
        <w:t>两</w:t>
      </w:r>
      <w:r>
        <w:rPr>
          <w:rFonts w:hint="eastAsia" w:ascii="宋体" w:hAnsi="宋体" w:eastAsia="宋体" w:cs="宋体"/>
          <w:sz w:val="24"/>
          <w:szCs w:val="24"/>
        </w:rPr>
        <w:t>次检查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其他时间不少于一次检查</w:t>
      </w:r>
      <w:r>
        <w:rPr>
          <w:rFonts w:hint="eastAsia" w:ascii="宋体" w:hAnsi="宋体" w:eastAsia="宋体" w:cs="宋体"/>
          <w:sz w:val="24"/>
          <w:szCs w:val="24"/>
        </w:rPr>
        <w:t>、每天对轿厢电梯巡检一次、自动扶梯每天巡查两次，有台账记录。</w:t>
      </w:r>
    </w:p>
    <w:p w14:paraId="04AE2B5D">
      <w:pPr>
        <w:spacing w:line="24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对于影响正常医疗环境的重大故障，若供应商未在规定时间内修复，则应按当月维保费用的1%至5%扣除相应款项。同时，供应商应自行委托具备相应资质和能力的第三方公司继续负责解决，由此产生的全部费用（包括但不限于第三方服务费、差旅费、材料费等）由供应商承担。若供应商逾期（24小时内）未委托或所委托的第三方无法有效解决问题，则采购人有权直接自行委托第三方处理，相关费用及采购人因此遭受的其他损失均由供应商承担。</w:t>
      </w:r>
    </w:p>
    <w:p w14:paraId="7E8FE68D">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r>
        <w:rPr>
          <w:rFonts w:hint="eastAsia" w:ascii="宋体" w:hAnsi="宋体" w:eastAsia="宋体" w:cs="宋体"/>
          <w:b/>
          <w:sz w:val="24"/>
          <w:szCs w:val="24"/>
          <w:lang w:val="en-US" w:eastAsia="zh-CN"/>
        </w:rPr>
        <w:t>2</w:t>
      </w:r>
      <w:r>
        <w:rPr>
          <w:rFonts w:hint="eastAsia" w:ascii="宋体" w:hAnsi="宋体" w:eastAsia="宋体" w:cs="宋体"/>
          <w:b/>
          <w:sz w:val="24"/>
          <w:szCs w:val="24"/>
        </w:rPr>
        <w:t>.服务承诺内容。</w:t>
      </w:r>
    </w:p>
    <w:p w14:paraId="7F75DFBA">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r>
        <w:rPr>
          <w:rFonts w:hint="eastAsia" w:ascii="宋体" w:hAnsi="宋体" w:eastAsia="宋体" w:cs="宋体"/>
          <w:b/>
          <w:sz w:val="24"/>
          <w:szCs w:val="24"/>
          <w:lang w:val="en-US" w:eastAsia="zh-CN"/>
        </w:rPr>
        <w:t>3</w:t>
      </w:r>
      <w:r>
        <w:rPr>
          <w:rFonts w:hint="eastAsia" w:ascii="宋体" w:hAnsi="宋体" w:eastAsia="宋体" w:cs="宋体"/>
          <w:b/>
          <w:sz w:val="24"/>
          <w:szCs w:val="24"/>
        </w:rPr>
        <w:t>.双方拟定的其他条款。</w:t>
      </w:r>
    </w:p>
    <w:p w14:paraId="345E9938">
      <w:pPr>
        <w:pStyle w:val="5"/>
        <w:spacing w:line="240" w:lineRule="auto"/>
        <w:rPr>
          <w:rFonts w:hint="eastAsia" w:ascii="宋体" w:hAnsi="宋体" w:eastAsia="宋体" w:cs="宋体"/>
          <w:sz w:val="24"/>
          <w:szCs w:val="24"/>
        </w:rPr>
      </w:pPr>
      <w:r>
        <w:rPr>
          <w:rFonts w:hint="eastAsia" w:ascii="宋体" w:hAnsi="宋体" w:eastAsia="宋体" w:cs="宋体"/>
          <w:sz w:val="24"/>
          <w:szCs w:val="24"/>
        </w:rPr>
        <w:t>国家法律、法规等规定的应由乙方承担的其它责任。</w:t>
      </w:r>
    </w:p>
    <w:p w14:paraId="6D693DB2">
      <w:pPr>
        <w:pStyle w:val="3"/>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乙方按照</w:t>
      </w:r>
      <w:r>
        <w:rPr>
          <w:rFonts w:hint="eastAsia" w:ascii="宋体" w:hAnsi="宋体" w:eastAsia="宋体" w:cs="宋体"/>
          <w:sz w:val="24"/>
          <w:szCs w:val="24"/>
          <w:lang w:eastAsia="zh-CN"/>
        </w:rPr>
        <w:t>磋商</w:t>
      </w:r>
      <w:r>
        <w:rPr>
          <w:rFonts w:hint="eastAsia" w:ascii="宋体" w:hAnsi="宋体" w:eastAsia="宋体" w:cs="宋体"/>
          <w:sz w:val="24"/>
          <w:szCs w:val="24"/>
        </w:rPr>
        <w:t>、</w:t>
      </w:r>
      <w:r>
        <w:rPr>
          <w:rFonts w:hint="eastAsia" w:ascii="宋体" w:hAnsi="宋体" w:eastAsia="宋体" w:cs="宋体"/>
          <w:sz w:val="24"/>
          <w:szCs w:val="24"/>
          <w:lang w:eastAsia="zh-CN"/>
        </w:rPr>
        <w:t>响应</w:t>
      </w:r>
      <w:r>
        <w:rPr>
          <w:rFonts w:hint="eastAsia" w:ascii="宋体" w:hAnsi="宋体" w:eastAsia="宋体" w:cs="宋体"/>
          <w:sz w:val="24"/>
          <w:szCs w:val="24"/>
        </w:rPr>
        <w:t>文件要求，向甲方提供的其他技术支持服务。</w:t>
      </w:r>
    </w:p>
    <w:p w14:paraId="1A204384">
      <w:pPr>
        <w:pStyle w:val="3"/>
        <w:spacing w:line="240" w:lineRule="auto"/>
        <w:ind w:firstLine="482" w:firstLineChars="200"/>
        <w:rPr>
          <w:rFonts w:hint="eastAsia" w:ascii="宋体" w:hAnsi="宋体" w:eastAsia="宋体" w:cs="宋体"/>
          <w:sz w:val="24"/>
          <w:szCs w:val="24"/>
          <w:lang w:eastAsia="zh-CN"/>
        </w:rPr>
      </w:pPr>
      <w:r>
        <w:rPr>
          <w:rFonts w:hint="eastAsia" w:ascii="宋体" w:hAnsi="宋体" w:eastAsia="宋体" w:cs="宋体"/>
          <w:b/>
          <w:color w:val="FF0000"/>
          <w:sz w:val="24"/>
          <w:szCs w:val="24"/>
        </w:rPr>
        <w:t>（由双方协商，必须填写）</w:t>
      </w:r>
    </w:p>
    <w:p w14:paraId="48708D34">
      <w:pPr>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六、验收</w:t>
      </w:r>
    </w:p>
    <w:p w14:paraId="5563C103">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每服务季度（年度）末，服务内容完成后先由乙方进行自检，自检合格后邀请甲方进行验收。甲方确认乙方的自检内容后，组织乙方（必要时请有关专家）进行最终验收，验收时乙方应派员参加，共同对验收结果进行确认，并承担相关责任。验收合格后，填写项目验收单作为对服务的最终认可。</w:t>
      </w:r>
    </w:p>
    <w:p w14:paraId="54055F13">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验收依据：</w:t>
      </w:r>
    </w:p>
    <w:p w14:paraId="0AE8DE1B">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1、竞争性磋商文件、竞争性磋商响应文件、澄清表（函）；</w:t>
      </w:r>
    </w:p>
    <w:p w14:paraId="7A6300E8">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2、本合同及附件文本（包括但不限于满意度调查表）；</w:t>
      </w:r>
    </w:p>
    <w:p w14:paraId="125B91C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3、国家相应的标准、规范。</w:t>
      </w:r>
    </w:p>
    <w:p w14:paraId="40B3611B">
      <w:pPr>
        <w:spacing w:line="240" w:lineRule="auto"/>
        <w:ind w:firstLine="482" w:firstLineChars="200"/>
        <w:rPr>
          <w:rFonts w:hint="eastAsia" w:ascii="宋体" w:hAnsi="宋体" w:eastAsia="宋体" w:cs="宋体"/>
          <w:sz w:val="24"/>
          <w:szCs w:val="24"/>
        </w:rPr>
      </w:pPr>
      <w:r>
        <w:rPr>
          <w:rFonts w:hint="eastAsia" w:ascii="宋体" w:hAnsi="宋体" w:eastAsia="宋体" w:cs="宋体"/>
          <w:b/>
          <w:color w:val="FF0000"/>
          <w:sz w:val="24"/>
          <w:szCs w:val="24"/>
        </w:rPr>
        <w:t>4、双方拟定的其他条款。</w:t>
      </w:r>
    </w:p>
    <w:p w14:paraId="0B549883">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七、违约责任</w:t>
      </w:r>
    </w:p>
    <w:p w14:paraId="2AF2CD5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（一）按《民法典》中的相关条款及本合同的约定执行。</w:t>
      </w:r>
    </w:p>
    <w:p w14:paraId="484C66C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（二）乙方未按本合同约定提供服务或服务质量不能满足合同要求的，乙方应承担违约责任并赔偿甲方的损失，且甲方有权解除合同， </w:t>
      </w:r>
    </w:p>
    <w:p w14:paraId="6F5AF17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（三）因乙方的原因造成侵权等所有纠纷的，由乙方承担所有责任；若甲方先行承担的，甲方有权向乙方追偿。</w:t>
      </w:r>
    </w:p>
    <w:p w14:paraId="5FC47BFC">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（四）本合同所涉“违约责任”，系指支付本合同价款</w:t>
      </w:r>
      <w:r>
        <w:rPr>
          <w:rFonts w:hint="eastAsia" w:ascii="宋体" w:hAnsi="宋体" w:eastAsia="宋体" w:cs="宋体"/>
          <w:sz w:val="24"/>
          <w:szCs w:val="24"/>
          <w:u w:val="single"/>
        </w:rPr>
        <w:t xml:space="preserve">  30%</w:t>
      </w:r>
      <w:r>
        <w:rPr>
          <w:rFonts w:hint="eastAsia" w:ascii="宋体" w:hAnsi="宋体" w:eastAsia="宋体" w:cs="宋体"/>
          <w:sz w:val="24"/>
          <w:szCs w:val="24"/>
        </w:rPr>
        <w:t>的违约金。</w:t>
      </w:r>
    </w:p>
    <w:p w14:paraId="0240959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（五）本合同所涉“赔偿甲方的损失”，包括但不限于甲方重新采购产生的所有费用、经营损失、甲方维权费用（诉讼费、律师代理费、保全费等）等直接损失和间接损失。</w:t>
      </w:r>
    </w:p>
    <w:p w14:paraId="4CC2747A">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（六）解除本合同的，书面解除通知到达对方即解除。</w:t>
      </w:r>
    </w:p>
    <w:p w14:paraId="49C901A5">
      <w:pPr>
        <w:pStyle w:val="5"/>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color w:val="FF0000"/>
          <w:sz w:val="24"/>
          <w:szCs w:val="24"/>
        </w:rPr>
        <w:t>（七）双方拟定的其他条款。</w:t>
      </w:r>
    </w:p>
    <w:p w14:paraId="38E4208F">
      <w:pPr>
        <w:tabs>
          <w:tab w:val="left" w:pos="480"/>
        </w:tabs>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八、保密条款</w:t>
      </w:r>
    </w:p>
    <w:p w14:paraId="65E82BE6">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02CD8E9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5338AC4">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（三）本条款为独立条款，本合同的无效、变更、解除和终止均不影响本条款的效力。</w:t>
      </w:r>
    </w:p>
    <w:p w14:paraId="48E0A699">
      <w:pPr>
        <w:spacing w:line="240" w:lineRule="auto"/>
        <w:ind w:firstLine="482" w:firstLineChars="200"/>
        <w:rPr>
          <w:rFonts w:hint="eastAsia" w:ascii="宋体" w:hAnsi="宋体" w:eastAsia="宋体" w:cs="宋体"/>
          <w:b/>
          <w:color w:val="FF0000"/>
          <w:sz w:val="24"/>
          <w:szCs w:val="24"/>
        </w:rPr>
      </w:pPr>
      <w:r>
        <w:rPr>
          <w:rFonts w:hint="eastAsia" w:ascii="宋体" w:hAnsi="宋体" w:eastAsia="宋体" w:cs="宋体"/>
          <w:b/>
          <w:color w:val="FF0000"/>
          <w:sz w:val="24"/>
          <w:szCs w:val="24"/>
        </w:rPr>
        <w:t>（四）双方拟定的其他条款。</w:t>
      </w:r>
    </w:p>
    <w:p w14:paraId="626E3929">
      <w:pPr>
        <w:tabs>
          <w:tab w:val="left" w:pos="480"/>
        </w:tabs>
        <w:spacing w:line="240" w:lineRule="auto"/>
        <w:ind w:firstLine="402" w:firstLineChars="200"/>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九、争议解决</w:t>
      </w:r>
    </w:p>
    <w:p w14:paraId="27244EB0">
      <w:pPr>
        <w:spacing w:line="240" w:lineRule="auto"/>
        <w:ind w:firstLine="480" w:firstLineChars="200"/>
        <w:rPr>
          <w:rFonts w:hint="eastAsia" w:ascii="宋体" w:hAnsi="宋体" w:eastAsia="宋体" w:cs="宋体"/>
          <w:sz w:val="24"/>
          <w:szCs w:val="24"/>
          <w:highlight w:val="cyan"/>
        </w:rPr>
      </w:pPr>
      <w:r>
        <w:rPr>
          <w:rFonts w:hint="eastAsia" w:ascii="宋体" w:hAnsi="宋体" w:eastAsia="宋体" w:cs="宋体"/>
          <w:sz w:val="24"/>
          <w:szCs w:val="24"/>
        </w:rPr>
        <w:t>本合同在履行过程中发生的争议，由甲、乙双方当事人协商解决，协商不成的依法向</w:t>
      </w:r>
      <w:r>
        <w:rPr>
          <w:rFonts w:hint="eastAsia" w:ascii="宋体" w:hAnsi="宋体" w:eastAsia="宋体" w:cs="宋体"/>
          <w:sz w:val="24"/>
          <w:szCs w:val="24"/>
          <w:u w:val="single"/>
        </w:rPr>
        <w:t>甲</w:t>
      </w:r>
      <w:r>
        <w:rPr>
          <w:rFonts w:hint="eastAsia" w:ascii="宋体" w:hAnsi="宋体" w:eastAsia="宋体" w:cs="宋体"/>
          <w:sz w:val="24"/>
          <w:szCs w:val="24"/>
        </w:rPr>
        <w:t>方所在地人民法院起诉。</w:t>
      </w:r>
    </w:p>
    <w:p w14:paraId="00660287">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十、关于送达的约定</w:t>
      </w:r>
    </w:p>
    <w:p w14:paraId="52CCB0BF">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（一）本合同项下甲乙双方任何一方向对方发出的通知、信件、数据电文等，依据下列地址、联系人和通信终端送达。</w:t>
      </w:r>
    </w:p>
    <w:p w14:paraId="28270023">
      <w:pPr>
        <w:spacing w:line="240" w:lineRule="auto"/>
        <w:ind w:left="560"/>
        <w:rPr>
          <w:rFonts w:hint="eastAsia" w:ascii="宋体" w:hAnsi="宋体" w:eastAsia="宋体" w:cs="宋体"/>
          <w:sz w:val="24"/>
          <w:szCs w:val="24"/>
        </w:rPr>
      </w:pPr>
      <w:r>
        <w:rPr>
          <w:rFonts w:hint="eastAsia" w:ascii="宋体" w:hAnsi="宋体" w:eastAsia="宋体" w:cs="宋体"/>
          <w:sz w:val="24"/>
          <w:szCs w:val="24"/>
        </w:rPr>
        <w:t>甲方联系人:XXX</w:t>
      </w:r>
    </w:p>
    <w:p w14:paraId="6C05A6F2">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联系电话:XXXXXXXXX</w:t>
      </w:r>
    </w:p>
    <w:p w14:paraId="52153C4B">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联系地址:xxxxxxxxx，邮编:xxxxxx。</w:t>
      </w:r>
    </w:p>
    <w:p w14:paraId="661856C2">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甲方(□同意□不同意)接受电子文件送达，电子终端信息如下:</w:t>
      </w:r>
    </w:p>
    <w:p w14:paraId="2F978CB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移动电话:xxxxxxxxx，传真: xxx-xxxxxx，微信号:xxxxxxxxx，</w:t>
      </w:r>
    </w:p>
    <w:p w14:paraId="7039B42E">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电子邮箱:xxx@xxx.com。</w:t>
      </w:r>
    </w:p>
    <w:p w14:paraId="0B7A7593">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乙方联系人:xxx，</w:t>
      </w:r>
    </w:p>
    <w:p w14:paraId="7B43CC55">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联系电话:xxxxxxxx，</w:t>
      </w:r>
    </w:p>
    <w:p w14:paraId="3A35CA8C">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联系地址:xxxxxxxxx，邮编:xxxxxx。</w:t>
      </w:r>
    </w:p>
    <w:p w14:paraId="089DEE79">
      <w:pPr>
        <w:spacing w:line="240" w:lineRule="auto"/>
        <w:ind w:left="630" w:leftChars="300"/>
        <w:rPr>
          <w:rFonts w:hint="eastAsia" w:ascii="宋体" w:hAnsi="宋体" w:eastAsia="宋体" w:cs="宋体"/>
          <w:sz w:val="24"/>
          <w:szCs w:val="24"/>
        </w:rPr>
      </w:pPr>
      <w:r>
        <w:rPr>
          <w:rFonts w:hint="eastAsia" w:ascii="宋体" w:hAnsi="宋体" w:eastAsia="宋体" w:cs="宋体"/>
          <w:sz w:val="24"/>
          <w:szCs w:val="24"/>
        </w:rPr>
        <w:t>乙方(□同意□不同意)接受电子文件送达，电子终端信息如下:移动电话:xxxxxxxxx，传真:xxx-xxxxxx，微信号:xxxxxxxxx，</w:t>
      </w:r>
    </w:p>
    <w:p w14:paraId="71465EA6">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电子邮箱:xxx@xxx.com。</w:t>
      </w:r>
    </w:p>
    <w:p w14:paraId="4B1526B0">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(二)送达情形遵守民诉法规定。</w:t>
      </w:r>
    </w:p>
    <w:p w14:paraId="72F927C5">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十一、合同变更</w:t>
      </w:r>
    </w:p>
    <w:p w14:paraId="411BABA8">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生效后，双方均不得擅自变更；确需变更的，双方应协商一致后签订书面变更协议，变更协议与本合同具有同等效力；但若双方就变更事项未达成一致意见的，仍应继续履行本合同，否则视为违约，应承担违约责任。</w:t>
      </w:r>
    </w:p>
    <w:p w14:paraId="7D2514A3">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十二、合同生效</w:t>
      </w:r>
    </w:p>
    <w:p w14:paraId="4CE28C17">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本合同一柒份，甲方持</w:t>
      </w:r>
      <w:r>
        <w:rPr>
          <w:rFonts w:hint="eastAsia" w:ascii="宋体" w:hAnsi="宋体" w:eastAsia="宋体" w:cs="宋体"/>
          <w:sz w:val="24"/>
          <w:szCs w:val="24"/>
          <w:u w:val="single"/>
        </w:rPr>
        <w:t>陆</w:t>
      </w:r>
      <w:r>
        <w:rPr>
          <w:rFonts w:hint="eastAsia" w:ascii="宋体" w:hAnsi="宋体" w:eastAsia="宋体" w:cs="宋体"/>
          <w:sz w:val="24"/>
          <w:szCs w:val="24"/>
        </w:rPr>
        <w:t>份，乙方持</w:t>
      </w:r>
      <w:r>
        <w:rPr>
          <w:rFonts w:hint="eastAsia" w:ascii="宋体" w:hAnsi="宋体" w:eastAsia="宋体" w:cs="宋体"/>
          <w:sz w:val="24"/>
          <w:szCs w:val="24"/>
          <w:u w:val="single"/>
        </w:rPr>
        <w:t>壹</w:t>
      </w:r>
      <w:r>
        <w:rPr>
          <w:rFonts w:hint="eastAsia" w:ascii="宋体" w:hAnsi="宋体" w:eastAsia="宋体" w:cs="宋体"/>
          <w:sz w:val="24"/>
          <w:szCs w:val="24"/>
        </w:rPr>
        <w:t>份，具有同等效力；本合同自甲乙双方签字盖章最终日期之日起生效。</w:t>
      </w:r>
    </w:p>
    <w:p w14:paraId="13693185">
      <w:pPr>
        <w:tabs>
          <w:tab w:val="left" w:pos="480"/>
        </w:tabs>
        <w:spacing w:line="240" w:lineRule="auto"/>
        <w:ind w:firstLine="394" w:firstLineChars="196"/>
        <w:rPr>
          <w:rFonts w:hint="eastAsia" w:ascii="宋体" w:hAnsi="宋体" w:eastAsia="宋体" w:cs="宋体"/>
          <w:b/>
          <w:color w:val="000000"/>
          <w:spacing w:val="-20"/>
          <w:kern w:val="0"/>
          <w:sz w:val="24"/>
          <w:szCs w:val="24"/>
        </w:rPr>
      </w:pPr>
      <w:r>
        <w:rPr>
          <w:rFonts w:hint="eastAsia" w:ascii="宋体" w:hAnsi="宋体" w:eastAsia="宋体" w:cs="宋体"/>
          <w:b/>
          <w:color w:val="000000"/>
          <w:spacing w:val="-20"/>
          <w:kern w:val="0"/>
          <w:sz w:val="24"/>
          <w:szCs w:val="24"/>
        </w:rPr>
        <w:t>十三、其他事项</w:t>
      </w:r>
    </w:p>
    <w:p w14:paraId="08C113D6">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（一）西安市财政局政府采购管理处在合同的履行期间以及履行期后，可以随时检查项目的执行情况，对采购标准、采购内容进行调查核实，并对发现的问题进行处理。</w:t>
      </w:r>
    </w:p>
    <w:p w14:paraId="2C1B9101">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（二）竞争性磋商文件、竞争性磋商响应文件、澄清表（函）、成交通知书、合同附件均成为合同不可分割的部分。</w:t>
      </w:r>
    </w:p>
    <w:p w14:paraId="4F73B809">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（三）本合同未尽事宜，由甲、乙双方协商一致后签订补充协议，具有同等效力。</w:t>
      </w:r>
    </w:p>
    <w:p w14:paraId="67B68D1B">
      <w:pPr>
        <w:pStyle w:val="5"/>
        <w:spacing w:line="24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w:t>
      </w:r>
      <w:r>
        <w:rPr>
          <w:rFonts w:hint="eastAsia" w:ascii="宋体" w:hAnsi="宋体" w:eastAsia="宋体" w:cs="宋体"/>
          <w:sz w:val="24"/>
          <w:szCs w:val="24"/>
        </w:rPr>
        <w:t>合同执行完毕后，自动失效</w:t>
      </w:r>
      <w:r>
        <w:rPr>
          <w:rFonts w:hint="eastAsia" w:ascii="宋体" w:hAnsi="宋体" w:eastAsia="宋体" w:cs="宋体"/>
          <w:sz w:val="24"/>
          <w:szCs w:val="24"/>
          <w:lang w:eastAsia="zh-CN"/>
        </w:rPr>
        <w:t>，但</w:t>
      </w:r>
      <w:r>
        <w:rPr>
          <w:rFonts w:hint="eastAsia" w:ascii="宋体" w:hAnsi="宋体" w:eastAsia="宋体" w:cs="宋体"/>
          <w:sz w:val="24"/>
          <w:szCs w:val="24"/>
        </w:rPr>
        <w:t>合同的服务承诺</w:t>
      </w:r>
      <w:r>
        <w:rPr>
          <w:rFonts w:hint="eastAsia" w:ascii="宋体" w:hAnsi="宋体" w:eastAsia="宋体" w:cs="宋体"/>
          <w:sz w:val="24"/>
          <w:szCs w:val="24"/>
          <w:lang w:eastAsia="zh-CN"/>
        </w:rPr>
        <w:t>应</w:t>
      </w:r>
      <w:r>
        <w:rPr>
          <w:rFonts w:hint="eastAsia" w:ascii="宋体" w:hAnsi="宋体" w:eastAsia="宋体" w:cs="宋体"/>
          <w:sz w:val="24"/>
          <w:szCs w:val="24"/>
        </w:rPr>
        <w:t>长期有效。</w:t>
      </w:r>
    </w:p>
    <w:p w14:paraId="4170BC49">
      <w:pPr>
        <w:spacing w:line="24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最后再次提醒：第二、三、四项内容必须与竞争性磋商文件对应条款及响应文件响应条款一致，第五至第九项优先按照竞争性磋商文件对应条款拟定，若投标响应内容优于竞争性磋商文件的按投标内容拟定，同时甲乙双方可协商补充内容，但必须优于竞争性磋商文件要求和响应文件响应内容，第十至十三项内容在不改变模板内容前提下甲乙双方可协商增加内容，若甲乙双方协商有除上述条款之外的其他条款请插入合理位置，同时注意调整序号。）</w:t>
      </w:r>
    </w:p>
    <w:p w14:paraId="01F080E7">
      <w:pPr>
        <w:pStyle w:val="5"/>
        <w:spacing w:line="240" w:lineRule="auto"/>
        <w:rPr>
          <w:rFonts w:hint="eastAsia" w:ascii="宋体" w:hAnsi="宋体" w:eastAsia="宋体" w:cs="宋体"/>
          <w:sz w:val="24"/>
          <w:szCs w:val="24"/>
          <w:lang w:val="en-US" w:eastAsia="zh-CN"/>
        </w:rPr>
      </w:pPr>
    </w:p>
    <w:p w14:paraId="1DCCB961">
      <w:pPr>
        <w:pStyle w:val="5"/>
        <w:spacing w:line="240" w:lineRule="auto"/>
        <w:rPr>
          <w:rFonts w:hint="eastAsia" w:ascii="宋体" w:hAnsi="宋体" w:eastAsia="宋体" w:cs="宋体"/>
          <w:sz w:val="24"/>
          <w:szCs w:val="24"/>
          <w:lang w:val="en-US" w:eastAsia="zh-CN"/>
        </w:rPr>
      </w:pPr>
    </w:p>
    <w:p w14:paraId="247E2EE6">
      <w:pPr>
        <w:pStyle w:val="5"/>
        <w:spacing w:line="240" w:lineRule="auto"/>
        <w:rPr>
          <w:rFonts w:hint="eastAsia" w:ascii="宋体" w:hAnsi="宋体" w:eastAsia="宋体" w:cs="宋体"/>
          <w:sz w:val="24"/>
          <w:szCs w:val="24"/>
          <w:lang w:val="en-US" w:eastAsia="zh-CN"/>
        </w:rPr>
      </w:pPr>
    </w:p>
    <w:tbl>
      <w:tblPr>
        <w:tblStyle w:val="8"/>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4252"/>
      </w:tblGrid>
      <w:tr w14:paraId="0399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4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F0A2C28">
            <w:pPr>
              <w:autoSpaceDE w:val="0"/>
              <w:autoSpaceDN w:val="0"/>
              <w:adjustRightInd w:val="0"/>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甲  方</w:t>
            </w:r>
          </w:p>
        </w:tc>
        <w:tc>
          <w:tcPr>
            <w:tcW w:w="4252" w:type="dxa"/>
            <w:tcBorders>
              <w:top w:val="single" w:color="auto" w:sz="4" w:space="0"/>
              <w:left w:val="nil"/>
              <w:bottom w:val="single" w:color="auto" w:sz="4" w:space="0"/>
              <w:right w:val="single" w:color="auto" w:sz="4" w:space="0"/>
            </w:tcBorders>
            <w:noWrap w:val="0"/>
            <w:vAlign w:val="top"/>
          </w:tcPr>
          <w:p w14:paraId="025E5388">
            <w:pPr>
              <w:autoSpaceDE w:val="0"/>
              <w:autoSpaceDN w:val="0"/>
              <w:adjustRightInd w:val="0"/>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乙  方</w:t>
            </w:r>
          </w:p>
        </w:tc>
      </w:tr>
      <w:tr w14:paraId="78CF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220" w:hRule="atLeast"/>
        </w:trPr>
        <w:tc>
          <w:tcPr>
            <w:tcW w:w="4368" w:type="dxa"/>
            <w:tcBorders>
              <w:top w:val="single" w:color="auto" w:sz="4" w:space="0"/>
              <w:left w:val="single" w:color="auto" w:sz="4" w:space="0"/>
              <w:bottom w:val="single" w:color="auto" w:sz="4" w:space="0"/>
              <w:right w:val="single" w:color="auto" w:sz="4" w:space="0"/>
            </w:tcBorders>
            <w:noWrap w:val="0"/>
            <w:vAlign w:val="center"/>
          </w:tcPr>
          <w:p w14:paraId="0AEB9F29">
            <w:pPr>
              <w:autoSpaceDE w:val="0"/>
              <w:autoSpaceDN w:val="0"/>
              <w:adjustRightInd w:val="0"/>
              <w:spacing w:line="240" w:lineRule="auto"/>
              <w:jc w:val="center"/>
              <w:rPr>
                <w:rFonts w:hint="eastAsia" w:ascii="宋体" w:hAnsi="宋体" w:eastAsia="宋体" w:cs="宋体"/>
                <w:b/>
                <w:bCs/>
                <w:color w:val="FF0000"/>
                <w:spacing w:val="-20"/>
                <w:kern w:val="0"/>
                <w:sz w:val="24"/>
                <w:szCs w:val="24"/>
              </w:rPr>
            </w:pPr>
            <w:r>
              <w:rPr>
                <w:rFonts w:hint="eastAsia" w:ascii="宋体" w:hAnsi="宋体" w:eastAsia="宋体" w:cs="宋体"/>
                <w:color w:val="000000"/>
                <w:spacing w:val="-20"/>
                <w:kern w:val="0"/>
                <w:sz w:val="24"/>
                <w:szCs w:val="24"/>
              </w:rPr>
              <w:t>西安市第九医院</w:t>
            </w:r>
          </w:p>
          <w:p w14:paraId="2B599E61">
            <w:pPr>
              <w:autoSpaceDE w:val="0"/>
              <w:autoSpaceDN w:val="0"/>
              <w:adjustRightInd w:val="0"/>
              <w:spacing w:line="240" w:lineRule="auto"/>
              <w:ind w:firstLine="1900" w:firstLineChars="950"/>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（盖章）</w:t>
            </w:r>
          </w:p>
        </w:tc>
        <w:tc>
          <w:tcPr>
            <w:tcW w:w="4252" w:type="dxa"/>
            <w:tcBorders>
              <w:top w:val="single" w:color="auto" w:sz="4" w:space="0"/>
              <w:left w:val="nil"/>
              <w:bottom w:val="single" w:color="auto" w:sz="4" w:space="0"/>
              <w:right w:val="single" w:color="auto" w:sz="4" w:space="0"/>
            </w:tcBorders>
            <w:noWrap w:val="0"/>
            <w:vAlign w:val="center"/>
          </w:tcPr>
          <w:p w14:paraId="0E7FDDBC">
            <w:pPr>
              <w:autoSpaceDE w:val="0"/>
              <w:autoSpaceDN w:val="0"/>
              <w:adjustRightInd w:val="0"/>
              <w:spacing w:line="24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成交供应商全称</w:t>
            </w:r>
          </w:p>
          <w:p w14:paraId="309AA9DA">
            <w:pPr>
              <w:autoSpaceDE w:val="0"/>
              <w:autoSpaceDN w:val="0"/>
              <w:adjustRightInd w:val="0"/>
              <w:spacing w:line="240" w:lineRule="auto"/>
              <w:ind w:firstLine="1400" w:firstLineChars="700"/>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（盖章）</w:t>
            </w:r>
          </w:p>
        </w:tc>
      </w:tr>
      <w:tr w14:paraId="568E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30"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71021319">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 xml:space="preserve">地址： </w:t>
            </w:r>
          </w:p>
        </w:tc>
        <w:tc>
          <w:tcPr>
            <w:tcW w:w="4252" w:type="dxa"/>
            <w:tcBorders>
              <w:top w:val="single" w:color="auto" w:sz="4" w:space="0"/>
              <w:left w:val="nil"/>
              <w:bottom w:val="single" w:color="auto" w:sz="4" w:space="0"/>
              <w:right w:val="single" w:color="auto" w:sz="4" w:space="0"/>
            </w:tcBorders>
            <w:noWrap w:val="0"/>
            <w:vAlign w:val="top"/>
          </w:tcPr>
          <w:p w14:paraId="2C7A4D5F">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地址：</w:t>
            </w:r>
          </w:p>
        </w:tc>
      </w:tr>
      <w:tr w14:paraId="17A0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95"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154D780D">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邮编：</w:t>
            </w:r>
          </w:p>
        </w:tc>
        <w:tc>
          <w:tcPr>
            <w:tcW w:w="4252" w:type="dxa"/>
            <w:tcBorders>
              <w:top w:val="single" w:color="auto" w:sz="4" w:space="0"/>
              <w:left w:val="nil"/>
              <w:bottom w:val="single" w:color="auto" w:sz="4" w:space="0"/>
              <w:right w:val="single" w:color="auto" w:sz="4" w:space="0"/>
            </w:tcBorders>
            <w:noWrap w:val="0"/>
            <w:vAlign w:val="top"/>
          </w:tcPr>
          <w:p w14:paraId="7229A94C">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邮编：</w:t>
            </w:r>
          </w:p>
        </w:tc>
      </w:tr>
      <w:tr w14:paraId="49D7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5723E623">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 xml:space="preserve">承办人：（签字） </w:t>
            </w:r>
          </w:p>
        </w:tc>
        <w:tc>
          <w:tcPr>
            <w:tcW w:w="4252" w:type="dxa"/>
            <w:tcBorders>
              <w:top w:val="single" w:color="auto" w:sz="4" w:space="0"/>
              <w:left w:val="nil"/>
              <w:bottom w:val="single" w:color="auto" w:sz="4" w:space="0"/>
              <w:right w:val="single" w:color="auto" w:sz="4" w:space="0"/>
            </w:tcBorders>
            <w:noWrap w:val="0"/>
            <w:vAlign w:val="top"/>
          </w:tcPr>
          <w:p w14:paraId="7964951C">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被授权代表：（签字）</w:t>
            </w:r>
          </w:p>
        </w:tc>
      </w:tr>
      <w:tr w14:paraId="6CC8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022F31D1">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法定代表人或委托代理人</w:t>
            </w:r>
          </w:p>
          <w:p w14:paraId="6E315E39">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（主管院长）：（签字）</w:t>
            </w:r>
          </w:p>
        </w:tc>
        <w:tc>
          <w:tcPr>
            <w:tcW w:w="4252" w:type="dxa"/>
            <w:tcBorders>
              <w:top w:val="single" w:color="auto" w:sz="4" w:space="0"/>
              <w:left w:val="nil"/>
              <w:bottom w:val="single" w:color="auto" w:sz="4" w:space="0"/>
              <w:right w:val="single" w:color="auto" w:sz="4" w:space="0"/>
            </w:tcBorders>
            <w:noWrap w:val="0"/>
            <w:vAlign w:val="top"/>
          </w:tcPr>
          <w:p w14:paraId="0C98D9F7">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法定代表人：（签字）</w:t>
            </w:r>
          </w:p>
        </w:tc>
      </w:tr>
      <w:tr w14:paraId="0E92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1900D108">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电话：</w:t>
            </w:r>
          </w:p>
        </w:tc>
        <w:tc>
          <w:tcPr>
            <w:tcW w:w="4252" w:type="dxa"/>
            <w:tcBorders>
              <w:top w:val="single" w:color="auto" w:sz="4" w:space="0"/>
              <w:left w:val="nil"/>
              <w:bottom w:val="single" w:color="auto" w:sz="4" w:space="0"/>
              <w:right w:val="single" w:color="auto" w:sz="4" w:space="0"/>
            </w:tcBorders>
            <w:noWrap w:val="0"/>
            <w:vAlign w:val="top"/>
          </w:tcPr>
          <w:p w14:paraId="3ED4A333">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电话：</w:t>
            </w:r>
          </w:p>
        </w:tc>
      </w:tr>
      <w:tr w14:paraId="0C54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2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13AF4F76">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开户银行：</w:t>
            </w:r>
          </w:p>
        </w:tc>
        <w:tc>
          <w:tcPr>
            <w:tcW w:w="4252" w:type="dxa"/>
            <w:tcBorders>
              <w:top w:val="single" w:color="auto" w:sz="4" w:space="0"/>
              <w:left w:val="nil"/>
              <w:bottom w:val="single" w:color="auto" w:sz="4" w:space="0"/>
              <w:right w:val="single" w:color="auto" w:sz="4" w:space="0"/>
            </w:tcBorders>
            <w:noWrap w:val="0"/>
            <w:vAlign w:val="top"/>
          </w:tcPr>
          <w:p w14:paraId="369FF25F">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开户银行：</w:t>
            </w:r>
          </w:p>
        </w:tc>
      </w:tr>
      <w:tr w14:paraId="1D79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141B65B3">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帐号：</w:t>
            </w:r>
          </w:p>
        </w:tc>
        <w:tc>
          <w:tcPr>
            <w:tcW w:w="4252" w:type="dxa"/>
            <w:tcBorders>
              <w:top w:val="single" w:color="auto" w:sz="4" w:space="0"/>
              <w:left w:val="nil"/>
              <w:bottom w:val="single" w:color="auto" w:sz="4" w:space="0"/>
              <w:right w:val="single" w:color="auto" w:sz="4" w:space="0"/>
            </w:tcBorders>
            <w:noWrap w:val="0"/>
            <w:vAlign w:val="top"/>
          </w:tcPr>
          <w:p w14:paraId="756FEFF2">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帐号：</w:t>
            </w:r>
          </w:p>
        </w:tc>
      </w:tr>
      <w:tr w14:paraId="7A2F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32" w:hRule="atLeast"/>
        </w:trPr>
        <w:tc>
          <w:tcPr>
            <w:tcW w:w="4368" w:type="dxa"/>
            <w:tcBorders>
              <w:top w:val="single" w:color="auto" w:sz="4" w:space="0"/>
              <w:left w:val="single" w:color="auto" w:sz="4" w:space="0"/>
              <w:bottom w:val="single" w:color="auto" w:sz="4" w:space="0"/>
              <w:right w:val="single" w:color="auto" w:sz="4" w:space="0"/>
            </w:tcBorders>
            <w:noWrap w:val="0"/>
            <w:vAlign w:val="top"/>
          </w:tcPr>
          <w:p w14:paraId="62382DBD">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日期：   年   月   日</w:t>
            </w:r>
          </w:p>
        </w:tc>
        <w:tc>
          <w:tcPr>
            <w:tcW w:w="4252" w:type="dxa"/>
            <w:tcBorders>
              <w:top w:val="single" w:color="auto" w:sz="4" w:space="0"/>
              <w:left w:val="nil"/>
              <w:bottom w:val="single" w:color="auto" w:sz="4" w:space="0"/>
              <w:right w:val="single" w:color="auto" w:sz="4" w:space="0"/>
            </w:tcBorders>
            <w:noWrap w:val="0"/>
            <w:vAlign w:val="top"/>
          </w:tcPr>
          <w:p w14:paraId="48CB39D7">
            <w:pPr>
              <w:autoSpaceDE w:val="0"/>
              <w:autoSpaceDN w:val="0"/>
              <w:adjustRightInd w:val="0"/>
              <w:spacing w:line="240" w:lineRule="auto"/>
              <w:jc w:val="left"/>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日期：   年   月   日</w:t>
            </w:r>
          </w:p>
        </w:tc>
      </w:tr>
    </w:tbl>
    <w:p w14:paraId="096B882E">
      <w:pPr>
        <w:snapToGrid w:val="0"/>
        <w:spacing w:line="520" w:lineRule="exact"/>
        <w:rPr>
          <w:rFonts w:hint="eastAsia" w:ascii="宋体" w:hAnsi="宋体" w:eastAsia="宋体" w:cs="宋体"/>
          <w:b/>
          <w:sz w:val="36"/>
          <w:szCs w:val="36"/>
        </w:rPr>
        <w:sectPr>
          <w:footerReference r:id="rId7" w:type="first"/>
          <w:footerReference r:id="rId6" w:type="default"/>
          <w:pgSz w:w="11906" w:h="16838"/>
          <w:pgMar w:top="1440" w:right="1418" w:bottom="1440" w:left="1418" w:header="851" w:footer="992" w:gutter="0"/>
          <w:pgBorders>
            <w:top w:val="none" w:sz="0" w:space="0"/>
            <w:left w:val="none" w:sz="0" w:space="0"/>
            <w:bottom w:val="none" w:sz="0" w:space="0"/>
            <w:right w:val="none" w:sz="0" w:space="0"/>
          </w:pgBorders>
          <w:pgNumType w:fmt="decimal" w:start="1"/>
          <w:cols w:space="720" w:num="1"/>
          <w:titlePg/>
          <w:docGrid w:type="lines" w:linePitch="498" w:charSpace="0"/>
        </w:sectPr>
      </w:pPr>
    </w:p>
    <w:p w14:paraId="46F2A9B0">
      <w:pPr>
        <w:spacing w:line="240" w:lineRule="auto"/>
        <w:ind w:firstLine="482" w:firstLineChars="200"/>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附件：</w:t>
      </w:r>
      <w:r>
        <w:rPr>
          <w:rFonts w:hint="eastAsia" w:ascii="宋体" w:hAnsi="宋体" w:eastAsia="宋体" w:cs="宋体"/>
          <w:b/>
          <w:sz w:val="24"/>
          <w:szCs w:val="24"/>
          <w:lang w:val="en-US" w:eastAsia="zh-Hans"/>
        </w:rPr>
        <w:t>电梯巡检</w:t>
      </w:r>
      <w:r>
        <w:rPr>
          <w:rFonts w:hint="eastAsia" w:ascii="宋体" w:hAnsi="宋体" w:eastAsia="宋体" w:cs="宋体"/>
          <w:b/>
          <w:sz w:val="24"/>
          <w:szCs w:val="24"/>
          <w:lang w:val="en-US" w:eastAsia="zh-CN"/>
        </w:rPr>
        <w:t>清单</w:t>
      </w:r>
    </w:p>
    <w:p w14:paraId="4E9ACE46">
      <w:pPr>
        <w:spacing w:line="240" w:lineRule="auto"/>
        <w:ind w:firstLine="482" w:firstLineChars="200"/>
        <w:jc w:val="center"/>
        <w:rPr>
          <w:rFonts w:hint="eastAsia" w:ascii="宋体" w:hAnsi="宋体" w:eastAsia="宋体" w:cs="宋体"/>
          <w:b/>
          <w:sz w:val="24"/>
          <w:szCs w:val="24"/>
          <w:lang w:val="en-US" w:eastAsia="zh-CN"/>
        </w:rPr>
      </w:pPr>
    </w:p>
    <w:p w14:paraId="23A7BF7B">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日巡检内容和要求</w:t>
      </w:r>
    </w:p>
    <w:tbl>
      <w:tblPr>
        <w:tblStyle w:val="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912"/>
        <w:gridCol w:w="1518"/>
        <w:gridCol w:w="2554"/>
        <w:gridCol w:w="3720"/>
      </w:tblGrid>
      <w:tr w14:paraId="02D2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7B12CB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21513E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巡检部位</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070103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巡检内容</w:t>
            </w:r>
          </w:p>
        </w:tc>
        <w:tc>
          <w:tcPr>
            <w:tcW w:w="3720" w:type="dxa"/>
            <w:tcBorders>
              <w:tl2br w:val="nil"/>
              <w:tr2bl w:val="nil"/>
            </w:tcBorders>
            <w:shd w:val="clear" w:color="auto" w:fill="FFFFFF"/>
            <w:noWrap w:val="0"/>
            <w:tcMar>
              <w:top w:w="150" w:type="dxa"/>
              <w:left w:w="240" w:type="dxa"/>
              <w:bottom w:w="150" w:type="dxa"/>
              <w:right w:w="240" w:type="dxa"/>
            </w:tcMar>
            <w:vAlign w:val="center"/>
          </w:tcPr>
          <w:p w14:paraId="28221E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巡检要求</w:t>
            </w:r>
          </w:p>
        </w:tc>
      </w:tr>
      <w:tr w14:paraId="5DA8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4EB598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044D09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轿厢内部</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700BB1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照明、风扇、应急照明</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60533B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工作正常，无闪烁或不亮现象</w:t>
            </w:r>
          </w:p>
        </w:tc>
      </w:tr>
      <w:tr w14:paraId="26D2F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78D67A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660B69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轿厢内部</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53601B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轿内报警装置、对讲系统</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6FCE40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功能正常，声音清晰，通话顺畅</w:t>
            </w:r>
          </w:p>
        </w:tc>
      </w:tr>
      <w:tr w14:paraId="2A55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4802D6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0A0AF8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轿厢内部</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3B5113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轿内显示、指令按钮</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355ED9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楼层显示正确，按钮齐全、灵敏有效</w:t>
            </w:r>
          </w:p>
        </w:tc>
      </w:tr>
      <w:tr w14:paraId="07BB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632F61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17E005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轿厢内部</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45D5A3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乘梯须知、安全警示标志</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74B2DC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齐全、清晰、无破损、醒目可见</w:t>
            </w:r>
          </w:p>
        </w:tc>
      </w:tr>
      <w:tr w14:paraId="333C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1307DC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2F24D1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轿厢内部</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798253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《电梯使用标志》及年检标志</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6326FC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张贴醒目完好，在有效期内</w:t>
            </w:r>
          </w:p>
        </w:tc>
      </w:tr>
      <w:tr w14:paraId="47DB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74B43D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0D79F0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轿厢内部</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5F70B9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轿厢地板、壁板、天花板</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56B943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清洁无异物，无损坏</w:t>
            </w:r>
          </w:p>
        </w:tc>
      </w:tr>
      <w:tr w14:paraId="6655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57C383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510EB8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轿厢运行</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613765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起动与加减速平稳性</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35EC68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无异常抖动、无异常晃动、平层准确</w:t>
            </w:r>
          </w:p>
        </w:tc>
      </w:tr>
      <w:tr w14:paraId="3521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1D3835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555D0F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轿厢运行</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28E09D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运行异响</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5F4D00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运行中无异响、无剧烈震动</w:t>
            </w:r>
          </w:p>
        </w:tc>
      </w:tr>
      <w:tr w14:paraId="0318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3054CF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1FD777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开关门系统</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15D90D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轿门、层门闭合</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45996A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开启和关闭工作正常，无异常声响、无擦挂</w:t>
            </w:r>
          </w:p>
        </w:tc>
      </w:tr>
      <w:tr w14:paraId="6464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67A664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11597C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开关门系统</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34440F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门安全装置（安全触板/光幕）</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732DE5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功能有效，遇阻自动重新开门</w:t>
            </w:r>
          </w:p>
        </w:tc>
      </w:tr>
      <w:tr w14:paraId="7210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4C6D09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4FE5C3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层站召唤</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75472D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层站召唤按钮</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146935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齐全、有效，指示灯正常</w:t>
            </w:r>
          </w:p>
        </w:tc>
      </w:tr>
      <w:tr w14:paraId="5C92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0CEDF2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2FBF13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层楼显示</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56E504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层楼指示器</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0493BF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显示齐全、正确</w:t>
            </w:r>
          </w:p>
        </w:tc>
      </w:tr>
      <w:tr w14:paraId="66F28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1AFB6A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12ABF9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门地坎</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6F7949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轿门、层门地坎</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50F4F3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清洁无杂物，无异物卡入</w:t>
            </w:r>
          </w:p>
        </w:tc>
      </w:tr>
      <w:tr w14:paraId="24F4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2CD64F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0E6E86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65B7D8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机房各部清洁</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66A55E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清洁无油污、无积尘、无杂物</w:t>
            </w:r>
          </w:p>
        </w:tc>
      </w:tr>
      <w:tr w14:paraId="54EB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390A30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06723C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33D4D9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控制柜</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5144B0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各电气元件工作正常，无异常指示灯，无异味发热</w:t>
            </w:r>
          </w:p>
        </w:tc>
      </w:tr>
      <w:tr w14:paraId="3CB5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149CEF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66E0D8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536D01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曳引电机</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3578D1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运行平稳，无异常噪音或气味，温升正常</w:t>
            </w:r>
          </w:p>
        </w:tc>
      </w:tr>
      <w:tr w14:paraId="3D90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67076D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74C55A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595FD8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机房温度与通风</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6787FF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温度保持在5℃～40℃之间，通风设备运转正常</w:t>
            </w:r>
          </w:p>
        </w:tc>
      </w:tr>
      <w:tr w14:paraId="0C4E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58FF13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18</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2311BF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2D94D7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盘车工具、救援规程</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5FBF2E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齐全，在指定位置</w:t>
            </w:r>
          </w:p>
        </w:tc>
      </w:tr>
      <w:tr w14:paraId="76CF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6D106A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19</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3D5DC5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440531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应急照明、灭火器</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43D824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应急照明正常，灭火器在有效期内</w:t>
            </w:r>
          </w:p>
        </w:tc>
      </w:tr>
      <w:tr w14:paraId="6750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912" w:type="dxa"/>
            <w:tcBorders>
              <w:tl2br w:val="nil"/>
              <w:tr2bl w:val="nil"/>
            </w:tcBorders>
            <w:shd w:val="clear" w:color="auto" w:fill="FFFFFF"/>
            <w:noWrap w:val="0"/>
            <w:tcMar>
              <w:top w:w="150" w:type="dxa"/>
              <w:left w:w="-1" w:type="dxa"/>
              <w:bottom w:w="150" w:type="dxa"/>
              <w:right w:w="240" w:type="dxa"/>
            </w:tcMar>
            <w:vAlign w:val="center"/>
          </w:tcPr>
          <w:p w14:paraId="3F9292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w:t>
            </w:r>
          </w:p>
        </w:tc>
        <w:tc>
          <w:tcPr>
            <w:tcW w:w="1518" w:type="dxa"/>
            <w:tcBorders>
              <w:tl2br w:val="nil"/>
              <w:tr2bl w:val="nil"/>
            </w:tcBorders>
            <w:shd w:val="clear" w:color="auto" w:fill="FFFFFF"/>
            <w:noWrap w:val="0"/>
            <w:tcMar>
              <w:top w:w="150" w:type="dxa"/>
              <w:left w:w="240" w:type="dxa"/>
              <w:bottom w:w="150" w:type="dxa"/>
              <w:right w:w="240" w:type="dxa"/>
            </w:tcMar>
            <w:vAlign w:val="center"/>
          </w:tcPr>
          <w:p w14:paraId="20D6F4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底坑</w:t>
            </w:r>
          </w:p>
        </w:tc>
        <w:tc>
          <w:tcPr>
            <w:tcW w:w="2554" w:type="dxa"/>
            <w:tcBorders>
              <w:tl2br w:val="nil"/>
              <w:tr2bl w:val="nil"/>
            </w:tcBorders>
            <w:shd w:val="clear" w:color="auto" w:fill="FFFFFF"/>
            <w:noWrap w:val="0"/>
            <w:tcMar>
              <w:top w:w="150" w:type="dxa"/>
              <w:left w:w="240" w:type="dxa"/>
              <w:bottom w:w="150" w:type="dxa"/>
              <w:right w:w="240" w:type="dxa"/>
            </w:tcMar>
            <w:vAlign w:val="center"/>
          </w:tcPr>
          <w:p w14:paraId="042732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底坑环境</w:t>
            </w:r>
          </w:p>
        </w:tc>
        <w:tc>
          <w:tcPr>
            <w:tcW w:w="3720" w:type="dxa"/>
            <w:tcBorders>
              <w:tl2br w:val="nil"/>
              <w:tr2bl w:val="nil"/>
            </w:tcBorders>
            <w:shd w:val="clear" w:color="auto" w:fill="FFFFFF"/>
            <w:noWrap w:val="0"/>
            <w:tcMar>
              <w:top w:w="150" w:type="dxa"/>
              <w:left w:w="240" w:type="dxa"/>
              <w:bottom w:w="150" w:type="dxa"/>
              <w:right w:w="-1" w:type="dxa"/>
            </w:tcMar>
            <w:vAlign w:val="center"/>
          </w:tcPr>
          <w:p w14:paraId="411700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清洁，无渗水、积水，照明正常</w:t>
            </w:r>
          </w:p>
        </w:tc>
      </w:tr>
    </w:tbl>
    <w:p w14:paraId="1D301BD9">
      <w:pPr>
        <w:pStyle w:val="7"/>
        <w:widowControl w:val="0"/>
        <w:snapToGrid w:val="0"/>
        <w:spacing w:before="0" w:beforeAutospacing="0" w:after="0" w:afterAutospacing="0" w:line="540" w:lineRule="exact"/>
        <w:contextualSpacing/>
        <w:jc w:val="both"/>
        <w:rPr>
          <w:rFonts w:ascii="楷体_GB2312" w:eastAsia="楷体_GB2312"/>
          <w:b/>
          <w:bCs/>
          <w:kern w:val="2"/>
          <w:sz w:val="40"/>
          <w:szCs w:val="40"/>
        </w:rPr>
      </w:pPr>
    </w:p>
    <w:p w14:paraId="7E5327E1">
      <w:pPr>
        <w:rPr>
          <w:rFonts w:ascii="楷体_GB2312" w:eastAsia="楷体_GB2312"/>
          <w:b/>
          <w:bCs/>
          <w:sz w:val="40"/>
          <w:szCs w:val="4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02F9260C">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周巡检内容和要求</w:t>
      </w:r>
    </w:p>
    <w:tbl>
      <w:tblPr>
        <w:tblStyle w:val="8"/>
        <w:tblW w:w="50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779"/>
        <w:gridCol w:w="1817"/>
        <w:gridCol w:w="1807"/>
        <w:gridCol w:w="3948"/>
      </w:tblGrid>
      <w:tr w14:paraId="1127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3" w:hRule="atLeast"/>
          <w:tblHeader/>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00B67F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63CFBD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巡检部位</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2F9E3D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巡检内容</w:t>
            </w:r>
          </w:p>
        </w:tc>
        <w:tc>
          <w:tcPr>
            <w:tcW w:w="2110" w:type="pct"/>
            <w:tcBorders>
              <w:tl2br w:val="nil"/>
              <w:tr2bl w:val="nil"/>
            </w:tcBorders>
            <w:shd w:val="clear" w:color="auto" w:fill="FFFFFF"/>
            <w:noWrap w:val="0"/>
            <w:tcMar>
              <w:top w:w="150" w:type="dxa"/>
              <w:left w:w="240" w:type="dxa"/>
              <w:bottom w:w="150" w:type="dxa"/>
              <w:right w:w="240" w:type="dxa"/>
            </w:tcMar>
            <w:vAlign w:val="center"/>
          </w:tcPr>
          <w:p w14:paraId="57BA1C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巡检要求</w:t>
            </w:r>
          </w:p>
        </w:tc>
      </w:tr>
      <w:tr w14:paraId="64D9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21"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4E2F07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一、电源与安全开关</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1ED60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486A2E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D8EB8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4F0F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06CE4A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03F117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控制柜总闸</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278A8F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总闸及极限开关</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F9038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各电器元件齐全无损伤，接线牢固</w:t>
            </w:r>
          </w:p>
        </w:tc>
      </w:tr>
      <w:tr w14:paraId="2742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7DB2BA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2347C6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熔断器、熔丝</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BC6B6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熔断器及熔丝接触情况</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0DFAF2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接点牢固，无打火现象</w:t>
            </w:r>
          </w:p>
        </w:tc>
      </w:tr>
      <w:tr w14:paraId="7870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097D4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00D345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安全开关</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652C37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急停、安全窗、井底、限位等开关</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2381CB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接触良好，动作正常可靠，不准跨接</w:t>
            </w:r>
          </w:p>
        </w:tc>
      </w:tr>
      <w:tr w14:paraId="3402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CEC6A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二、曳引机系统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5ABCCB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7401F4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7740E9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7B957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8B734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4DF043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减速箱</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628489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运行状况</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031365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运行平稳无异常振动</w:t>
            </w:r>
          </w:p>
        </w:tc>
      </w:tr>
      <w:tr w14:paraId="4EF26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7F7AEF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4D6BBF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减速箱</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6B6894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油面高度</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D4A63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保持在规定的油位线之内</w:t>
            </w:r>
          </w:p>
        </w:tc>
      </w:tr>
      <w:tr w14:paraId="3993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7107C1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392051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电动机</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919B4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运行声响</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004E97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无摩擦声、碰撞声或其它杂音</w:t>
            </w:r>
          </w:p>
        </w:tc>
      </w:tr>
      <w:tr w14:paraId="4ADC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49786E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67A524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电动机</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5F02A8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油位</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BCEDA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油位在油镜中心附近</w:t>
            </w:r>
          </w:p>
        </w:tc>
      </w:tr>
      <w:tr w14:paraId="20AD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E05A1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057943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曳引机</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3C8602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外观清洁</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2A5611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机体清洁光亮</w:t>
            </w:r>
          </w:p>
        </w:tc>
      </w:tr>
      <w:tr w14:paraId="486A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7A506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三、制动系统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A0150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173BC0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666ED3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1F88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630321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43B17B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制动器</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14BB4E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动作可靠性</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321CE4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动作平稳可靠，不打滑；闸瓦接触面不小于70%</w:t>
            </w:r>
          </w:p>
        </w:tc>
      </w:tr>
      <w:tr w14:paraId="4AB4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446706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70246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制动器</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5DA194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抱闸间隙</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458648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打开时四角间隙平均值两侧各不大于0.7mm</w:t>
            </w:r>
          </w:p>
        </w:tc>
      </w:tr>
      <w:tr w14:paraId="19C8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65C2D1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BAE2E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制动器</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3E26AF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开闭灵活性</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63FDA7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开闭灵活自如，线圈温升不超过60℃</w:t>
            </w:r>
          </w:p>
        </w:tc>
      </w:tr>
      <w:tr w14:paraId="628F3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770641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四、控制柜及电气系统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3A3B6D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24411D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3E899B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632CF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661C39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314394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控制柜</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5B2C1F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电气元件及接触器</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557E71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各元件工作正常，无发热现象，接触点严密无粘连烧损</w:t>
            </w:r>
          </w:p>
        </w:tc>
      </w:tr>
      <w:tr w14:paraId="1155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6F13EE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3835B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控制柜</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17C866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清洁状况</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5798D8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无油污无积尘</w:t>
            </w:r>
          </w:p>
        </w:tc>
      </w:tr>
      <w:tr w14:paraId="1BC9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BDA03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66883D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限速系统</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73C118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限速轮</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0160B4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外观清洁，动作灵活，油路通畅，绳钳口无异物油污</w:t>
            </w:r>
          </w:p>
        </w:tc>
      </w:tr>
      <w:tr w14:paraId="521B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98F42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036D0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涨绳轮及安全钳</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7833CD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联动机构</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793047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各联动机构灵活，钳口与导轨侧工作面间隙在2-3mm之间</w:t>
            </w:r>
          </w:p>
        </w:tc>
      </w:tr>
      <w:tr w14:paraId="619A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5B4699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五、厅门与轿门系统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647068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1679C9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01175B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6128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4615DB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2F449E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厅、轿门</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353364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门锁网络</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39297A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正常关闭后应能接通门锁网络</w:t>
            </w:r>
          </w:p>
        </w:tc>
      </w:tr>
      <w:tr w14:paraId="20C9E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D3DC0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4A18EA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厅门</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111C24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锁紧元件啮合长度</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6EBD71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不小于7mm，此时外厅门不应能用手扒开</w:t>
            </w:r>
          </w:p>
        </w:tc>
      </w:tr>
      <w:tr w14:paraId="1939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A6DD3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18</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7B28B7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门安全装置</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4F2E9E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安全触板、光电装置</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2DE3C1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功能可靠</w:t>
            </w:r>
          </w:p>
        </w:tc>
      </w:tr>
      <w:tr w14:paraId="5C0C3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26ABB3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19</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0B2C34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开关门机构</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59E1CE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清洁与润滑</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36F44E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开关门总程清洁，活动及转动部位清洁加油，皮带松紧度适当，不打滑</w:t>
            </w:r>
          </w:p>
        </w:tc>
      </w:tr>
      <w:tr w14:paraId="25C8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1B016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306A8B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轿层门部件</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7680FD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滑轮滑块、门吊门轮</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0E81C1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磨损的及时更换，各运动部件灵活</w:t>
            </w:r>
          </w:p>
        </w:tc>
      </w:tr>
      <w:tr w14:paraId="04E5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731741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六、厅外召唤与层显系统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525113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5A2DED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7944B9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6B4E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768D55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58540C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内选、外呼系统</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5031CE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按钮及指示功能</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7A65D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各元件指示功能正常，按钮活动自如无卡阻</w:t>
            </w:r>
          </w:p>
        </w:tc>
      </w:tr>
      <w:tr w14:paraId="5D9A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00EBA7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22</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5CEC34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层楼显示</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35B80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灯光显示</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67208C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正常，清洁无尘</w:t>
            </w:r>
          </w:p>
        </w:tc>
      </w:tr>
      <w:tr w14:paraId="1E60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24F1848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七、井道系统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4B9051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3E2118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88397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3868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475C00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23</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7B7BDE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轿厢与对重</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322829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导靴间隙</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2A17DD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间隙均匀，靴衬无严重磨损</w:t>
            </w:r>
          </w:p>
        </w:tc>
      </w:tr>
      <w:tr w14:paraId="5DE6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C64CC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24</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346453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导轨</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332161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油盒、油刷</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5A27E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无缺损，轨道润滑良好</w:t>
            </w:r>
          </w:p>
        </w:tc>
      </w:tr>
      <w:tr w14:paraId="7B7F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4C2AED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25</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77B276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导轨表面</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645DC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清洁与锈蚀</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318A84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表面清洁无锈蚀</w:t>
            </w:r>
          </w:p>
        </w:tc>
      </w:tr>
      <w:tr w14:paraId="65EF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0A3E3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26</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09EFB0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曳引钢丝绳</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EBC36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张力及状态</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600356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张力均匀，无断股</w:t>
            </w:r>
          </w:p>
        </w:tc>
      </w:tr>
      <w:tr w14:paraId="5519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320F51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27</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7BBD3E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曳引轮、导向轮</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6E62D5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磨损及运行情况</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3C2D0A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轮槽无异常磨损，运行平稳无异常声响</w:t>
            </w:r>
          </w:p>
        </w:tc>
      </w:tr>
      <w:tr w14:paraId="7238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01BB4F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八、清洁卫生</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29EE4F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3078D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c>
          <w:tcPr>
            <w:tcW w:w="2110" w:type="pct"/>
            <w:tcBorders>
              <w:tl2br w:val="nil"/>
              <w:tr2bl w:val="nil"/>
            </w:tcBorders>
            <w:shd w:val="clear" w:color="auto" w:fill="FFFFFF"/>
            <w:noWrap w:val="0"/>
            <w:tcMar>
              <w:top w:w="150" w:type="dxa"/>
              <w:left w:w="240" w:type="dxa"/>
              <w:bottom w:w="150" w:type="dxa"/>
              <w:right w:w="-1" w:type="dxa"/>
            </w:tcMar>
            <w:vAlign w:val="center"/>
          </w:tcPr>
          <w:p w14:paraId="148A45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p>
        </w:tc>
      </w:tr>
      <w:tr w14:paraId="2AE6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146C3F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28</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77C57E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464DCD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地面、设备表面</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6A5448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清洁无积尘、无油污</w:t>
            </w:r>
          </w:p>
        </w:tc>
      </w:tr>
      <w:tr w14:paraId="0A45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075836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29</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6C3F96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轿顶</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6B553F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各部清洁</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7ACE28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清洁无杂物</w:t>
            </w:r>
          </w:p>
        </w:tc>
      </w:tr>
      <w:tr w14:paraId="2D73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23A248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30</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430865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底坑</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038AE0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各部清洁</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21580E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清洁无积水、无杂物</w:t>
            </w:r>
          </w:p>
        </w:tc>
      </w:tr>
      <w:tr w14:paraId="3708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51" w:type="pct"/>
            <w:tcBorders>
              <w:tl2br w:val="nil"/>
              <w:tr2bl w:val="nil"/>
            </w:tcBorders>
            <w:shd w:val="clear" w:color="auto" w:fill="FFFFFF"/>
            <w:noWrap w:val="0"/>
            <w:tcMar>
              <w:top w:w="150" w:type="dxa"/>
              <w:left w:w="-1" w:type="dxa"/>
              <w:bottom w:w="150" w:type="dxa"/>
              <w:right w:w="240" w:type="dxa"/>
            </w:tcMar>
            <w:vAlign w:val="center"/>
          </w:tcPr>
          <w:p w14:paraId="5DE01B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31</w:t>
            </w:r>
          </w:p>
        </w:tc>
        <w:tc>
          <w:tcPr>
            <w:tcW w:w="971" w:type="pct"/>
            <w:tcBorders>
              <w:tl2br w:val="nil"/>
              <w:tr2bl w:val="nil"/>
            </w:tcBorders>
            <w:shd w:val="clear" w:color="auto" w:fill="FFFFFF"/>
            <w:noWrap w:val="0"/>
            <w:tcMar>
              <w:top w:w="150" w:type="dxa"/>
              <w:left w:w="240" w:type="dxa"/>
              <w:bottom w:w="150" w:type="dxa"/>
              <w:right w:w="240" w:type="dxa"/>
            </w:tcMar>
            <w:vAlign w:val="center"/>
          </w:tcPr>
          <w:p w14:paraId="11AA71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楼道</w:t>
            </w:r>
          </w:p>
        </w:tc>
        <w:tc>
          <w:tcPr>
            <w:tcW w:w="966" w:type="pct"/>
            <w:tcBorders>
              <w:tl2br w:val="nil"/>
              <w:tr2bl w:val="nil"/>
            </w:tcBorders>
            <w:shd w:val="clear" w:color="auto" w:fill="FFFFFF"/>
            <w:noWrap w:val="0"/>
            <w:tcMar>
              <w:top w:w="150" w:type="dxa"/>
              <w:left w:w="240" w:type="dxa"/>
              <w:bottom w:w="150" w:type="dxa"/>
              <w:right w:w="240" w:type="dxa"/>
            </w:tcMar>
            <w:vAlign w:val="center"/>
          </w:tcPr>
          <w:p w14:paraId="1AE90F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机房通道</w:t>
            </w:r>
          </w:p>
        </w:tc>
        <w:tc>
          <w:tcPr>
            <w:tcW w:w="2110" w:type="pct"/>
            <w:tcBorders>
              <w:tl2br w:val="nil"/>
              <w:tr2bl w:val="nil"/>
            </w:tcBorders>
            <w:shd w:val="clear" w:color="auto" w:fill="FFFFFF"/>
            <w:noWrap w:val="0"/>
            <w:tcMar>
              <w:top w:w="150" w:type="dxa"/>
              <w:left w:w="240" w:type="dxa"/>
              <w:bottom w:w="150" w:type="dxa"/>
              <w:right w:w="-1" w:type="dxa"/>
            </w:tcMar>
            <w:vAlign w:val="center"/>
          </w:tcPr>
          <w:p w14:paraId="26B330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通道畅通，保持清洁</w:t>
            </w:r>
          </w:p>
        </w:tc>
      </w:tr>
    </w:tbl>
    <w:p w14:paraId="6A037442">
      <w:pPr>
        <w:spacing w:line="240" w:lineRule="auto"/>
        <w:ind w:firstLine="482" w:firstLineChars="200"/>
        <w:jc w:val="center"/>
        <w:rPr>
          <w:rFonts w:hint="eastAsia" w:ascii="宋体" w:hAnsi="宋体" w:eastAsia="宋体" w:cs="宋体"/>
          <w:b/>
          <w:sz w:val="24"/>
          <w:szCs w:val="24"/>
          <w:lang w:val="en-US" w:eastAsia="zh-CN"/>
        </w:rPr>
      </w:pPr>
    </w:p>
    <w:p w14:paraId="3F0C0DC0">
      <w:pPr>
        <w:spacing w:line="240" w:lineRule="auto"/>
        <w:ind w:firstLine="482" w:firstLineChars="200"/>
        <w:jc w:val="center"/>
        <w:rPr>
          <w:rFonts w:hint="eastAsia" w:ascii="宋体" w:hAnsi="宋体" w:eastAsia="宋体" w:cs="宋体"/>
          <w:b/>
          <w:sz w:val="24"/>
          <w:szCs w:val="24"/>
          <w:lang w:val="en-US" w:eastAsia="zh-CN"/>
        </w:rPr>
      </w:pPr>
    </w:p>
    <w:p w14:paraId="51393BA5">
      <w:pPr>
        <w:pStyle w:val="5"/>
        <w:rPr>
          <w:rFonts w:hint="eastAsia" w:ascii="宋体" w:hAnsi="宋体" w:eastAsia="宋体" w:cs="宋体"/>
          <w:lang w:val="en-US" w:eastAsia="zh-CN"/>
        </w:rPr>
      </w:pPr>
    </w:p>
    <w:p w14:paraId="46D1EF7A">
      <w:pPr>
        <w:pStyle w:val="5"/>
        <w:rPr>
          <w:rFonts w:hint="eastAsia" w:ascii="宋体" w:hAnsi="宋体" w:eastAsia="宋体" w:cs="宋体"/>
          <w:lang w:val="en-US" w:eastAsia="zh-CN"/>
        </w:rPr>
      </w:pPr>
    </w:p>
    <w:p w14:paraId="105FE753">
      <w:pPr>
        <w:pStyle w:val="5"/>
        <w:rPr>
          <w:rFonts w:hint="eastAsia" w:ascii="宋体" w:hAnsi="宋体" w:eastAsia="宋体" w:cs="宋体"/>
          <w:lang w:val="en-US" w:eastAsia="zh-CN"/>
        </w:rPr>
      </w:pPr>
    </w:p>
    <w:p w14:paraId="6A4E7134">
      <w:pPr>
        <w:pStyle w:val="5"/>
        <w:rPr>
          <w:rFonts w:hint="eastAsia" w:ascii="宋体" w:hAnsi="宋体" w:eastAsia="宋体" w:cs="宋体"/>
          <w:lang w:val="en-US" w:eastAsia="zh-CN"/>
        </w:rPr>
      </w:pPr>
    </w:p>
    <w:p w14:paraId="79841AAE">
      <w:pPr>
        <w:pStyle w:val="5"/>
        <w:rPr>
          <w:rFonts w:hint="eastAsia" w:ascii="宋体" w:hAnsi="宋体" w:eastAsia="宋体" w:cs="宋体"/>
          <w:lang w:val="en-US" w:eastAsia="zh-CN"/>
        </w:rPr>
      </w:pPr>
    </w:p>
    <w:p w14:paraId="48A2B7A4">
      <w:pPr>
        <w:pStyle w:val="5"/>
        <w:rPr>
          <w:rFonts w:hint="eastAsia" w:ascii="宋体" w:hAnsi="宋体" w:eastAsia="宋体" w:cs="宋体"/>
          <w:lang w:val="en-US" w:eastAsia="zh-CN"/>
        </w:rPr>
      </w:pPr>
    </w:p>
    <w:p w14:paraId="2E32196D">
      <w:pPr>
        <w:pStyle w:val="5"/>
        <w:rPr>
          <w:rFonts w:hint="eastAsia" w:ascii="宋体" w:hAnsi="宋体" w:eastAsia="宋体" w:cs="宋体"/>
          <w:lang w:val="en-US" w:eastAsia="zh-CN"/>
        </w:rPr>
      </w:pPr>
    </w:p>
    <w:p w14:paraId="2D074D90">
      <w:pPr>
        <w:pStyle w:val="5"/>
        <w:rPr>
          <w:rFonts w:hint="eastAsia" w:ascii="宋体" w:hAnsi="宋体" w:eastAsia="宋体" w:cs="宋体"/>
          <w:lang w:val="en-US" w:eastAsia="zh-CN"/>
        </w:rPr>
      </w:pPr>
    </w:p>
    <w:p w14:paraId="5CAC0616">
      <w:pPr>
        <w:pStyle w:val="5"/>
        <w:rPr>
          <w:rFonts w:hint="eastAsia" w:ascii="宋体" w:hAnsi="宋体" w:eastAsia="宋体" w:cs="宋体"/>
          <w:lang w:val="en-US" w:eastAsia="zh-CN"/>
        </w:rPr>
      </w:pPr>
    </w:p>
    <w:p w14:paraId="4C5A4F90">
      <w:pPr>
        <w:pStyle w:val="5"/>
        <w:rPr>
          <w:rFonts w:hint="eastAsia" w:ascii="宋体" w:hAnsi="宋体" w:eastAsia="宋体" w:cs="宋体"/>
          <w:lang w:val="en-US" w:eastAsia="zh-CN"/>
        </w:rPr>
      </w:pPr>
    </w:p>
    <w:p w14:paraId="147395BB">
      <w:pPr>
        <w:pStyle w:val="5"/>
        <w:rPr>
          <w:rFonts w:hint="eastAsia" w:ascii="宋体" w:hAnsi="宋体" w:eastAsia="宋体" w:cs="宋体"/>
          <w:lang w:val="en-US" w:eastAsia="zh-CN"/>
        </w:rPr>
      </w:pPr>
    </w:p>
    <w:p w14:paraId="3CC9043E">
      <w:pPr>
        <w:pStyle w:val="5"/>
        <w:rPr>
          <w:rFonts w:hint="eastAsia" w:ascii="宋体" w:hAnsi="宋体" w:eastAsia="宋体" w:cs="宋体"/>
          <w:lang w:val="en-US" w:eastAsia="zh-CN"/>
        </w:rPr>
      </w:pPr>
    </w:p>
    <w:p w14:paraId="22711101">
      <w:pPr>
        <w:pStyle w:val="5"/>
        <w:rPr>
          <w:rFonts w:hint="eastAsia" w:ascii="宋体" w:hAnsi="宋体" w:eastAsia="宋体" w:cs="宋体"/>
          <w:lang w:val="en-US" w:eastAsia="zh-CN"/>
        </w:rPr>
      </w:pPr>
    </w:p>
    <w:p w14:paraId="1C1E2C96">
      <w:pPr>
        <w:pStyle w:val="5"/>
        <w:rPr>
          <w:rFonts w:hint="eastAsia" w:ascii="宋体" w:hAnsi="宋体" w:eastAsia="宋体" w:cs="宋体"/>
          <w:lang w:val="en-US" w:eastAsia="zh-CN"/>
        </w:rPr>
      </w:pPr>
    </w:p>
    <w:p w14:paraId="0A0C5804">
      <w:pPr>
        <w:pStyle w:val="5"/>
        <w:rPr>
          <w:rFonts w:hint="eastAsia" w:ascii="宋体" w:hAnsi="宋体" w:eastAsia="宋体" w:cs="宋体"/>
          <w:lang w:val="en-US" w:eastAsia="zh-CN"/>
        </w:rPr>
      </w:pPr>
    </w:p>
    <w:p w14:paraId="1C30A5F9">
      <w:pPr>
        <w:pStyle w:val="5"/>
        <w:rPr>
          <w:rFonts w:hint="eastAsia" w:ascii="宋体" w:hAnsi="宋体" w:eastAsia="宋体" w:cs="宋体"/>
          <w:lang w:val="en-US" w:eastAsia="zh-CN"/>
        </w:rPr>
      </w:pPr>
    </w:p>
    <w:p w14:paraId="6DB0790D">
      <w:pPr>
        <w:pStyle w:val="5"/>
        <w:rPr>
          <w:rFonts w:hint="eastAsia" w:ascii="宋体" w:hAnsi="宋体" w:eastAsia="宋体" w:cs="宋体"/>
          <w:lang w:val="en-US" w:eastAsia="zh-CN"/>
        </w:rPr>
      </w:pPr>
    </w:p>
    <w:p w14:paraId="45614C2A">
      <w:pPr>
        <w:pStyle w:val="5"/>
        <w:rPr>
          <w:rFonts w:hint="eastAsia" w:ascii="宋体" w:hAnsi="宋体" w:eastAsia="宋体" w:cs="宋体"/>
          <w:lang w:val="en-US" w:eastAsia="zh-CN"/>
        </w:rPr>
      </w:pPr>
    </w:p>
    <w:p w14:paraId="2764561D">
      <w:pPr>
        <w:pStyle w:val="5"/>
        <w:rPr>
          <w:rFonts w:hint="eastAsia" w:ascii="宋体" w:hAnsi="宋体" w:eastAsia="宋体" w:cs="宋体"/>
          <w:lang w:val="en-US" w:eastAsia="zh-CN"/>
        </w:rPr>
      </w:pPr>
    </w:p>
    <w:p w14:paraId="0E6C2448">
      <w:pPr>
        <w:snapToGrid w:val="0"/>
        <w:spacing w:line="520" w:lineRule="exact"/>
        <w:jc w:val="center"/>
        <w:rPr>
          <w:rFonts w:hint="eastAsia" w:ascii="宋体" w:hAnsi="宋体" w:eastAsia="宋体" w:cs="宋体"/>
          <w:b/>
          <w:sz w:val="36"/>
          <w:szCs w:val="36"/>
        </w:rPr>
        <w:sectPr>
          <w:pgSz w:w="11906" w:h="16838"/>
          <w:pgMar w:top="1440" w:right="1418" w:bottom="1440" w:left="1418" w:header="851" w:footer="992" w:gutter="0"/>
          <w:pgBorders>
            <w:top w:val="none" w:sz="0" w:space="0"/>
            <w:left w:val="none" w:sz="0" w:space="0"/>
            <w:bottom w:val="none" w:sz="0" w:space="0"/>
            <w:right w:val="none" w:sz="0" w:space="0"/>
          </w:pgBorders>
          <w:pgNumType w:fmt="decimal"/>
          <w:cols w:space="720" w:num="1"/>
          <w:titlePg/>
          <w:docGrid w:type="lines" w:linePitch="498" w:charSpace="0"/>
        </w:sectPr>
      </w:pPr>
    </w:p>
    <w:p w14:paraId="20525D36">
      <w:pPr>
        <w:snapToGrid w:val="0"/>
        <w:spacing w:line="520" w:lineRule="exact"/>
        <w:jc w:val="center"/>
        <w:rPr>
          <w:rFonts w:hint="eastAsia" w:ascii="宋体" w:hAnsi="宋体" w:eastAsia="宋体" w:cs="宋体"/>
          <w:b/>
          <w:sz w:val="36"/>
          <w:szCs w:val="36"/>
        </w:rPr>
      </w:pPr>
      <w:r>
        <w:rPr>
          <w:rFonts w:hint="eastAsia" w:ascii="宋体" w:hAnsi="宋体" w:eastAsia="宋体" w:cs="宋体"/>
          <w:b/>
          <w:sz w:val="36"/>
          <w:szCs w:val="36"/>
        </w:rPr>
        <w:t>西安市政府采购供应商</w:t>
      </w:r>
    </w:p>
    <w:p w14:paraId="2A6D479F">
      <w:pPr>
        <w:snapToGrid w:val="0"/>
        <w:spacing w:line="520" w:lineRule="exact"/>
        <w:rPr>
          <w:rFonts w:hint="eastAsia" w:ascii="宋体" w:hAnsi="宋体" w:eastAsia="宋体" w:cs="宋体"/>
          <w:b/>
          <w:sz w:val="36"/>
          <w:szCs w:val="36"/>
        </w:rPr>
      </w:pPr>
      <w:r>
        <w:rPr>
          <w:rFonts w:hint="eastAsia" w:ascii="宋体" w:hAnsi="宋体" w:eastAsia="宋体" w:cs="宋体"/>
          <w:b/>
          <w:sz w:val="36"/>
          <w:szCs w:val="36"/>
        </w:rPr>
        <w:t xml:space="preserve">          拒绝政府采购领域商业贿赂承诺书</w:t>
      </w:r>
    </w:p>
    <w:p w14:paraId="7EB4D7AC">
      <w:pPr>
        <w:snapToGrid w:val="0"/>
        <w:spacing w:line="400" w:lineRule="exact"/>
        <w:ind w:firstLine="560" w:firstLineChars="200"/>
        <w:rPr>
          <w:rFonts w:hint="eastAsia" w:ascii="宋体" w:hAnsi="宋体" w:eastAsia="宋体" w:cs="宋体"/>
          <w:sz w:val="28"/>
          <w:szCs w:val="28"/>
        </w:rPr>
      </w:pPr>
    </w:p>
    <w:p w14:paraId="6B6E08D2">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为响应党中央、国务院关于治理政府采购领域商业贿赂行为的号召，我公司在此承诺：</w:t>
      </w:r>
    </w:p>
    <w:p w14:paraId="4F2C80EE">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一、在参与政府采购活动中遵纪守法、诚信经营、公平竞标。</w:t>
      </w:r>
    </w:p>
    <w:p w14:paraId="24CDB9D3">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二、不向政府采购人、采购代理机构和政府采购评审专家进行任何形式的商业贿赂以谋取交易机会。</w:t>
      </w:r>
    </w:p>
    <w:p w14:paraId="5EED0FCA">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三、不向政府采购代理机构和采购人提供虚假资质文件或采用虚假应标方式参与政府采购市场竞争并谋取中标、成交。</w:t>
      </w:r>
    </w:p>
    <w:p w14:paraId="5018EA9A">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四、不采取“围标、陪标”等商业欺诈手段获取政府采购订单；</w:t>
      </w:r>
    </w:p>
    <w:p w14:paraId="0FED06C4">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五、不采取不正当手段诋毁、排挤其他供应商。</w:t>
      </w:r>
    </w:p>
    <w:p w14:paraId="4A9B4E6F">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六、不在提供商品和服务时“偷梁换柱、以次充好”损害采购人的合法权益。</w:t>
      </w:r>
    </w:p>
    <w:p w14:paraId="580CC850">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七、不与采购人、采购代理机构、政府采购评审专家或其他供应商恶意串通，进行质疑和投诉，维护政府采购市场秩序。</w:t>
      </w:r>
    </w:p>
    <w:p w14:paraId="320BF622">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八、尊重和接受政府采购监督管理部门的监督和政府采购代理机构招标采购要求，承担因违约行为给采购人造成的损失。</w:t>
      </w:r>
    </w:p>
    <w:p w14:paraId="2BDCDDCC">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九、不发生其他有悖于政府采购公开、公平、公正和诚信原则的行为。</w:t>
      </w:r>
    </w:p>
    <w:p w14:paraId="56075E0A">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承诺单位：（盖章）</w:t>
      </w:r>
    </w:p>
    <w:p w14:paraId="5B396E23">
      <w:pPr>
        <w:snapToGrid w:val="0"/>
        <w:spacing w:line="360" w:lineRule="auto"/>
        <w:ind w:left="482"/>
        <w:rPr>
          <w:rFonts w:hint="eastAsia" w:ascii="宋体" w:hAnsi="宋体" w:eastAsia="宋体" w:cs="宋体"/>
          <w:sz w:val="28"/>
          <w:szCs w:val="28"/>
        </w:rPr>
      </w:pPr>
      <w:r>
        <w:rPr>
          <w:rFonts w:hint="eastAsia" w:ascii="宋体" w:hAnsi="宋体" w:eastAsia="宋体" w:cs="宋体"/>
          <w:bCs/>
          <w:sz w:val="28"/>
          <w:szCs w:val="28"/>
        </w:rPr>
        <w:t>法定代表人或被授权人</w:t>
      </w:r>
      <w:r>
        <w:rPr>
          <w:rFonts w:hint="eastAsia" w:ascii="宋体" w:hAnsi="宋体" w:eastAsia="宋体" w:cs="宋体"/>
          <w:sz w:val="28"/>
          <w:szCs w:val="28"/>
        </w:rPr>
        <w:t>：（签字或盖章）</w:t>
      </w:r>
    </w:p>
    <w:p w14:paraId="7249A34E">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 xml:space="preserve">地址：                             </w:t>
      </w:r>
    </w:p>
    <w:p w14:paraId="56789AFA">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 xml:space="preserve">电话：     </w:t>
      </w:r>
    </w:p>
    <w:p w14:paraId="4859843A">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 xml:space="preserve">邮编：                                   </w:t>
      </w:r>
    </w:p>
    <w:p w14:paraId="47CB04FB">
      <w:pPr>
        <w:tabs>
          <w:tab w:val="left" w:pos="5875"/>
        </w:tabs>
        <w:spacing w:line="360" w:lineRule="auto"/>
        <w:rPr>
          <w:rFonts w:hint="eastAsia" w:ascii="宋体" w:hAnsi="宋体" w:eastAsia="宋体" w:cs="宋体"/>
        </w:rPr>
      </w:pPr>
      <w:r>
        <w:rPr>
          <w:rFonts w:hint="eastAsia" w:ascii="宋体" w:hAnsi="宋体" w:eastAsia="宋体" w:cs="宋体"/>
          <w:sz w:val="28"/>
          <w:szCs w:val="28"/>
        </w:rPr>
        <w:tab/>
      </w:r>
      <w:r>
        <w:rPr>
          <w:rFonts w:hint="eastAsia" w:ascii="宋体" w:hAnsi="宋体" w:eastAsia="宋体" w:cs="宋体"/>
          <w:sz w:val="28"/>
          <w:szCs w:val="28"/>
        </w:rPr>
        <w:t>年    月    日</w:t>
      </w:r>
    </w:p>
    <w:sectPr>
      <w:pgSz w:w="11906" w:h="16838"/>
      <w:pgMar w:top="1440" w:right="1418" w:bottom="1440" w:left="1418" w:header="851" w:footer="992" w:gutter="0"/>
      <w:pgBorders>
        <w:top w:val="none" w:sz="0" w:space="0"/>
        <w:left w:val="none" w:sz="0" w:space="0"/>
        <w:bottom w:val="none" w:sz="0" w:space="0"/>
        <w:right w:val="none" w:sz="0" w:space="0"/>
      </w:pgBorders>
      <w:pgNumType w:fmt="decimal"/>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B4D6">
    <w:pPr>
      <w:pStyle w:val="5"/>
      <w:framePr w:wrap="around" w:vAnchor="text" w:hAnchor="margin" w:xAlign="center" w:y="1"/>
      <w:rPr>
        <w:rStyle w:val="10"/>
        <w:rFonts w:hint="eastAsia"/>
      </w:rPr>
    </w:pPr>
  </w:p>
  <w:p w14:paraId="2A867399">
    <w:pPr>
      <w:pStyle w:val="5"/>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lang/>
      </w:rPr>
      <w:t>2</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lang/>
      </w:rPr>
      <w:instrText xml:space="preserve">9</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lang/>
      </w:rPr>
      <w:t>8</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0DF">
    <w:pPr>
      <w:pStyle w:val="5"/>
      <w:framePr w:wrap="around" w:vAnchor="text" w:hAnchor="margin" w:xAlign="center" w:y="1"/>
      <w:rPr>
        <w:rStyle w:val="10"/>
      </w:rPr>
    </w:pPr>
    <w:r>
      <w:fldChar w:fldCharType="begin"/>
    </w:r>
    <w:r>
      <w:rPr>
        <w:rStyle w:val="10"/>
      </w:rPr>
      <w:instrText xml:space="preserve">PAGE  </w:instrText>
    </w:r>
    <w:r>
      <w:fldChar w:fldCharType="end"/>
    </w:r>
  </w:p>
  <w:p w14:paraId="71EB6EF3">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38658">
    <w:pPr>
      <w:pStyle w:val="5"/>
      <w:framePr w:wrap="around" w:vAnchor="text" w:hAnchor="margin" w:xAlign="center" w:y="1"/>
      <w:rPr>
        <w:rStyle w:val="10"/>
        <w:rFonts w:hint="eastAsia"/>
      </w:rPr>
    </w:pPr>
  </w:p>
  <w:p w14:paraId="2B0A7A1C">
    <w:pPr>
      <w:pStyle w:val="5"/>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780F1">
    <w:pPr>
      <w:pStyle w:val="5"/>
      <w:rPr>
        <w:rStyle w:val="10"/>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B9F38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20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GJ4/i7gAQAAwQMAAA4AAAAA&#10;AAAAAQAgAAAAHgEAAGRycy9lMm9Eb2MueG1sUEsFBgAAAAAGAAYAWQEAAHAFAAAAAA==&#10;">
              <v:fill on="f" focussize="0,0"/>
              <v:stroke on="f"/>
              <v:imagedata o:title=""/>
              <o:lock v:ext="edit" aspectratio="f"/>
              <v:textbox inset="0mm,0mm,0mm,0mm" style="mso-fit-shape-to-text:t;">
                <w:txbxContent>
                  <w:p w14:paraId="12B9F38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p w14:paraId="47962843">
    <w:pPr>
      <w:pStyle w:val="5"/>
      <w:jc w:val="cente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B2CDA">
    <w:pPr>
      <w:pStyle w:val="5"/>
      <w:rPr>
        <w:rStyle w:val="10"/>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4DFDF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205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fww/a98BAADBAwAADgAAAAAA&#10;AAABACAAAAAeAQAAZHJzL2Uyb0RvYy54bWxQSwUGAAAAAAYABgBZAQAAbwUAAAAA&#10;">
              <v:fill on="f" focussize="0,0"/>
              <v:stroke on="f"/>
              <v:imagedata o:title=""/>
              <o:lock v:ext="edit" aspectratio="f"/>
              <v:textbox inset="0mm,0mm,0mm,0mm" style="mso-fit-shape-to-text:t;">
                <w:txbxContent>
                  <w:p w14:paraId="5C4DFDF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p w14:paraId="6DBFB6A6">
    <w:pPr>
      <w:pStyle w:val="5"/>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249"/>
  <w:displayHorizontalDrawingGridEvery w:val="1"/>
  <w:displayVerticalDrawingGridEvery w:val="1"/>
  <w:noPunctuationKerning w:val="1"/>
  <w:characterSpacingControl w:val="compressPunctuation"/>
  <w:hdrShapeDefaults>
    <o:shapelayout v:ext="edit">
      <o:idmap v:ext="edit" data="2,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OGU0NjliM2RiNTBhM2EyZGNhZGZiZDVmZjAzMmUifQ=="/>
  </w:docVars>
  <w:rsids>
    <w:rsidRoot w:val="0020119B"/>
    <w:rsid w:val="0000358C"/>
    <w:rsid w:val="00011D5E"/>
    <w:rsid w:val="00016110"/>
    <w:rsid w:val="00031D92"/>
    <w:rsid w:val="0004021A"/>
    <w:rsid w:val="00047AF2"/>
    <w:rsid w:val="000502B3"/>
    <w:rsid w:val="00061A53"/>
    <w:rsid w:val="000666F8"/>
    <w:rsid w:val="000826A3"/>
    <w:rsid w:val="00082B02"/>
    <w:rsid w:val="00093E28"/>
    <w:rsid w:val="00093EAC"/>
    <w:rsid w:val="000957F2"/>
    <w:rsid w:val="0009763E"/>
    <w:rsid w:val="000A1C52"/>
    <w:rsid w:val="000A3157"/>
    <w:rsid w:val="000A5927"/>
    <w:rsid w:val="000B261C"/>
    <w:rsid w:val="000C0BE9"/>
    <w:rsid w:val="000E26C9"/>
    <w:rsid w:val="000E6A6D"/>
    <w:rsid w:val="00103083"/>
    <w:rsid w:val="00113043"/>
    <w:rsid w:val="00121692"/>
    <w:rsid w:val="0012182B"/>
    <w:rsid w:val="00122BE1"/>
    <w:rsid w:val="0012584A"/>
    <w:rsid w:val="0013617D"/>
    <w:rsid w:val="00151787"/>
    <w:rsid w:val="001741D4"/>
    <w:rsid w:val="00182906"/>
    <w:rsid w:val="0019007C"/>
    <w:rsid w:val="00197A1C"/>
    <w:rsid w:val="00197EAB"/>
    <w:rsid w:val="001B1B69"/>
    <w:rsid w:val="001B42F8"/>
    <w:rsid w:val="001C0020"/>
    <w:rsid w:val="001C3CCC"/>
    <w:rsid w:val="001D0F3E"/>
    <w:rsid w:val="001E0B35"/>
    <w:rsid w:val="001F21B4"/>
    <w:rsid w:val="0020119B"/>
    <w:rsid w:val="002047E8"/>
    <w:rsid w:val="0020732C"/>
    <w:rsid w:val="0021200E"/>
    <w:rsid w:val="0022164B"/>
    <w:rsid w:val="002241AC"/>
    <w:rsid w:val="0024028C"/>
    <w:rsid w:val="00254B49"/>
    <w:rsid w:val="00257E03"/>
    <w:rsid w:val="002802FD"/>
    <w:rsid w:val="002913DB"/>
    <w:rsid w:val="00291F43"/>
    <w:rsid w:val="002961CE"/>
    <w:rsid w:val="002B1FB9"/>
    <w:rsid w:val="002C0135"/>
    <w:rsid w:val="002C0828"/>
    <w:rsid w:val="002C472B"/>
    <w:rsid w:val="002D116B"/>
    <w:rsid w:val="002D656A"/>
    <w:rsid w:val="002E202B"/>
    <w:rsid w:val="002E6C35"/>
    <w:rsid w:val="002E7BD3"/>
    <w:rsid w:val="002F2846"/>
    <w:rsid w:val="00302C71"/>
    <w:rsid w:val="00304E25"/>
    <w:rsid w:val="003154C6"/>
    <w:rsid w:val="00321FFA"/>
    <w:rsid w:val="0032608A"/>
    <w:rsid w:val="00327FD7"/>
    <w:rsid w:val="00343142"/>
    <w:rsid w:val="003531D4"/>
    <w:rsid w:val="00356179"/>
    <w:rsid w:val="00357801"/>
    <w:rsid w:val="0036008C"/>
    <w:rsid w:val="00360C7E"/>
    <w:rsid w:val="003702FE"/>
    <w:rsid w:val="003814C9"/>
    <w:rsid w:val="00386E94"/>
    <w:rsid w:val="0039062C"/>
    <w:rsid w:val="003A124B"/>
    <w:rsid w:val="003C318A"/>
    <w:rsid w:val="003D0807"/>
    <w:rsid w:val="003D4887"/>
    <w:rsid w:val="003E0414"/>
    <w:rsid w:val="003E4306"/>
    <w:rsid w:val="00403194"/>
    <w:rsid w:val="0045010A"/>
    <w:rsid w:val="004515F0"/>
    <w:rsid w:val="004519D3"/>
    <w:rsid w:val="00452978"/>
    <w:rsid w:val="00466E80"/>
    <w:rsid w:val="00471C16"/>
    <w:rsid w:val="0047250F"/>
    <w:rsid w:val="004755DE"/>
    <w:rsid w:val="00494B48"/>
    <w:rsid w:val="004A1024"/>
    <w:rsid w:val="004A24A5"/>
    <w:rsid w:val="004A636F"/>
    <w:rsid w:val="004B22FB"/>
    <w:rsid w:val="004B72C8"/>
    <w:rsid w:val="004B7FC8"/>
    <w:rsid w:val="004C02E6"/>
    <w:rsid w:val="004C7DBB"/>
    <w:rsid w:val="004D0D27"/>
    <w:rsid w:val="004E37A6"/>
    <w:rsid w:val="004F629B"/>
    <w:rsid w:val="00501162"/>
    <w:rsid w:val="0051267A"/>
    <w:rsid w:val="005217E0"/>
    <w:rsid w:val="005237B8"/>
    <w:rsid w:val="00525A02"/>
    <w:rsid w:val="00526F31"/>
    <w:rsid w:val="0053188E"/>
    <w:rsid w:val="005463C1"/>
    <w:rsid w:val="00546883"/>
    <w:rsid w:val="0055107E"/>
    <w:rsid w:val="00567558"/>
    <w:rsid w:val="0058442A"/>
    <w:rsid w:val="0058450F"/>
    <w:rsid w:val="00597609"/>
    <w:rsid w:val="005A0563"/>
    <w:rsid w:val="005A252A"/>
    <w:rsid w:val="005A4B4B"/>
    <w:rsid w:val="005A56EC"/>
    <w:rsid w:val="005B62FF"/>
    <w:rsid w:val="005D075A"/>
    <w:rsid w:val="005D6B6F"/>
    <w:rsid w:val="005E311D"/>
    <w:rsid w:val="005E40CC"/>
    <w:rsid w:val="005E4F2B"/>
    <w:rsid w:val="005E5510"/>
    <w:rsid w:val="005F1F66"/>
    <w:rsid w:val="005F71CD"/>
    <w:rsid w:val="006041AB"/>
    <w:rsid w:val="00624398"/>
    <w:rsid w:val="006300FD"/>
    <w:rsid w:val="00637400"/>
    <w:rsid w:val="00637605"/>
    <w:rsid w:val="00646C12"/>
    <w:rsid w:val="006501B6"/>
    <w:rsid w:val="00653CEF"/>
    <w:rsid w:val="0065579B"/>
    <w:rsid w:val="00656835"/>
    <w:rsid w:val="00664336"/>
    <w:rsid w:val="00680220"/>
    <w:rsid w:val="006841F3"/>
    <w:rsid w:val="00692FF2"/>
    <w:rsid w:val="006A17A0"/>
    <w:rsid w:val="006A5FA8"/>
    <w:rsid w:val="006A6731"/>
    <w:rsid w:val="006B660E"/>
    <w:rsid w:val="006C2B5C"/>
    <w:rsid w:val="006C6482"/>
    <w:rsid w:val="006C7191"/>
    <w:rsid w:val="006C7DB9"/>
    <w:rsid w:val="006D2FE4"/>
    <w:rsid w:val="006D7704"/>
    <w:rsid w:val="006E1D7F"/>
    <w:rsid w:val="006E2AA8"/>
    <w:rsid w:val="006E4D8B"/>
    <w:rsid w:val="006E6DD1"/>
    <w:rsid w:val="00710325"/>
    <w:rsid w:val="00715041"/>
    <w:rsid w:val="007320DC"/>
    <w:rsid w:val="00743EE5"/>
    <w:rsid w:val="00753013"/>
    <w:rsid w:val="007728CA"/>
    <w:rsid w:val="00775193"/>
    <w:rsid w:val="007857B2"/>
    <w:rsid w:val="00793BA7"/>
    <w:rsid w:val="00796023"/>
    <w:rsid w:val="007A0FEF"/>
    <w:rsid w:val="007A16A3"/>
    <w:rsid w:val="007A3CD2"/>
    <w:rsid w:val="007B06F4"/>
    <w:rsid w:val="007D2654"/>
    <w:rsid w:val="007E3F19"/>
    <w:rsid w:val="00832DCE"/>
    <w:rsid w:val="00832DE3"/>
    <w:rsid w:val="00843D27"/>
    <w:rsid w:val="00844907"/>
    <w:rsid w:val="00853D43"/>
    <w:rsid w:val="0085546C"/>
    <w:rsid w:val="008771DC"/>
    <w:rsid w:val="008934D4"/>
    <w:rsid w:val="008A052C"/>
    <w:rsid w:val="008A6FBD"/>
    <w:rsid w:val="008D2CCD"/>
    <w:rsid w:val="008F1021"/>
    <w:rsid w:val="009025CF"/>
    <w:rsid w:val="009103E7"/>
    <w:rsid w:val="00916204"/>
    <w:rsid w:val="00921AD0"/>
    <w:rsid w:val="00922E6D"/>
    <w:rsid w:val="00933BE9"/>
    <w:rsid w:val="00933E8F"/>
    <w:rsid w:val="00950C91"/>
    <w:rsid w:val="009565D7"/>
    <w:rsid w:val="00956C0B"/>
    <w:rsid w:val="00972A0D"/>
    <w:rsid w:val="009736F3"/>
    <w:rsid w:val="00975479"/>
    <w:rsid w:val="00976ED6"/>
    <w:rsid w:val="009770EF"/>
    <w:rsid w:val="009946B9"/>
    <w:rsid w:val="009956FA"/>
    <w:rsid w:val="00996CC7"/>
    <w:rsid w:val="00996E03"/>
    <w:rsid w:val="009A1AF7"/>
    <w:rsid w:val="009A1F6B"/>
    <w:rsid w:val="009A49FC"/>
    <w:rsid w:val="009B34C8"/>
    <w:rsid w:val="009B41F8"/>
    <w:rsid w:val="009B4755"/>
    <w:rsid w:val="009C1E8B"/>
    <w:rsid w:val="009C22F0"/>
    <w:rsid w:val="009C61B9"/>
    <w:rsid w:val="009C6DAD"/>
    <w:rsid w:val="009D35AD"/>
    <w:rsid w:val="009D4F9A"/>
    <w:rsid w:val="009F180B"/>
    <w:rsid w:val="00A0749D"/>
    <w:rsid w:val="00A42FD5"/>
    <w:rsid w:val="00A51D06"/>
    <w:rsid w:val="00A558B4"/>
    <w:rsid w:val="00A60443"/>
    <w:rsid w:val="00A63463"/>
    <w:rsid w:val="00A635EF"/>
    <w:rsid w:val="00A650C9"/>
    <w:rsid w:val="00A71763"/>
    <w:rsid w:val="00A71FD5"/>
    <w:rsid w:val="00A72CD1"/>
    <w:rsid w:val="00A97792"/>
    <w:rsid w:val="00AA340C"/>
    <w:rsid w:val="00AA5517"/>
    <w:rsid w:val="00AA69D1"/>
    <w:rsid w:val="00AA6FB8"/>
    <w:rsid w:val="00AB0047"/>
    <w:rsid w:val="00AB0104"/>
    <w:rsid w:val="00AB0210"/>
    <w:rsid w:val="00AB1873"/>
    <w:rsid w:val="00AC2F92"/>
    <w:rsid w:val="00AC37D5"/>
    <w:rsid w:val="00AC79A5"/>
    <w:rsid w:val="00AD08EE"/>
    <w:rsid w:val="00AD3402"/>
    <w:rsid w:val="00AE4605"/>
    <w:rsid w:val="00B01D2A"/>
    <w:rsid w:val="00B058F2"/>
    <w:rsid w:val="00B064D3"/>
    <w:rsid w:val="00B15545"/>
    <w:rsid w:val="00B277B3"/>
    <w:rsid w:val="00B32B5E"/>
    <w:rsid w:val="00B37544"/>
    <w:rsid w:val="00B407A5"/>
    <w:rsid w:val="00B428AF"/>
    <w:rsid w:val="00B44CCE"/>
    <w:rsid w:val="00B451C9"/>
    <w:rsid w:val="00B5566A"/>
    <w:rsid w:val="00B57ED1"/>
    <w:rsid w:val="00B71C50"/>
    <w:rsid w:val="00B71DD8"/>
    <w:rsid w:val="00B72765"/>
    <w:rsid w:val="00B72D99"/>
    <w:rsid w:val="00B81836"/>
    <w:rsid w:val="00B87260"/>
    <w:rsid w:val="00B93D59"/>
    <w:rsid w:val="00B95F93"/>
    <w:rsid w:val="00BE2848"/>
    <w:rsid w:val="00BE642B"/>
    <w:rsid w:val="00BF57D9"/>
    <w:rsid w:val="00BF61C3"/>
    <w:rsid w:val="00BF72C3"/>
    <w:rsid w:val="00C02843"/>
    <w:rsid w:val="00C0677F"/>
    <w:rsid w:val="00C12A66"/>
    <w:rsid w:val="00C1369A"/>
    <w:rsid w:val="00C201D3"/>
    <w:rsid w:val="00C2523C"/>
    <w:rsid w:val="00C27AA1"/>
    <w:rsid w:val="00C37B6C"/>
    <w:rsid w:val="00C423E8"/>
    <w:rsid w:val="00C44D2F"/>
    <w:rsid w:val="00C46760"/>
    <w:rsid w:val="00C507CB"/>
    <w:rsid w:val="00C62391"/>
    <w:rsid w:val="00C66CDA"/>
    <w:rsid w:val="00C77FF5"/>
    <w:rsid w:val="00C8463A"/>
    <w:rsid w:val="00C95379"/>
    <w:rsid w:val="00C975D7"/>
    <w:rsid w:val="00CC43A3"/>
    <w:rsid w:val="00CD4F4E"/>
    <w:rsid w:val="00CE0664"/>
    <w:rsid w:val="00D0501F"/>
    <w:rsid w:val="00D07C63"/>
    <w:rsid w:val="00D13D9D"/>
    <w:rsid w:val="00D31318"/>
    <w:rsid w:val="00D341BE"/>
    <w:rsid w:val="00D3498B"/>
    <w:rsid w:val="00D35FEA"/>
    <w:rsid w:val="00D4316B"/>
    <w:rsid w:val="00D451B7"/>
    <w:rsid w:val="00D51702"/>
    <w:rsid w:val="00D529E7"/>
    <w:rsid w:val="00D5512E"/>
    <w:rsid w:val="00D60A68"/>
    <w:rsid w:val="00D630E4"/>
    <w:rsid w:val="00D93BA6"/>
    <w:rsid w:val="00D96A52"/>
    <w:rsid w:val="00DA1A61"/>
    <w:rsid w:val="00DA2343"/>
    <w:rsid w:val="00DA3EA5"/>
    <w:rsid w:val="00DB00C0"/>
    <w:rsid w:val="00DB1D06"/>
    <w:rsid w:val="00DB3753"/>
    <w:rsid w:val="00DB3F30"/>
    <w:rsid w:val="00DC2767"/>
    <w:rsid w:val="00DC4B9C"/>
    <w:rsid w:val="00DC7472"/>
    <w:rsid w:val="00DD0915"/>
    <w:rsid w:val="00DD1B4A"/>
    <w:rsid w:val="00DD39C6"/>
    <w:rsid w:val="00DD65EC"/>
    <w:rsid w:val="00DE2537"/>
    <w:rsid w:val="00DF4BAA"/>
    <w:rsid w:val="00DF6BC1"/>
    <w:rsid w:val="00DF7A5E"/>
    <w:rsid w:val="00E16F23"/>
    <w:rsid w:val="00E33352"/>
    <w:rsid w:val="00E333A8"/>
    <w:rsid w:val="00E34400"/>
    <w:rsid w:val="00E37C84"/>
    <w:rsid w:val="00E400B1"/>
    <w:rsid w:val="00E44601"/>
    <w:rsid w:val="00E44C1A"/>
    <w:rsid w:val="00E46005"/>
    <w:rsid w:val="00E57025"/>
    <w:rsid w:val="00E6294D"/>
    <w:rsid w:val="00E743E8"/>
    <w:rsid w:val="00E77756"/>
    <w:rsid w:val="00E94CB3"/>
    <w:rsid w:val="00E95F47"/>
    <w:rsid w:val="00EC37B1"/>
    <w:rsid w:val="00EC3977"/>
    <w:rsid w:val="00EC5D3E"/>
    <w:rsid w:val="00ED012B"/>
    <w:rsid w:val="00EE42B4"/>
    <w:rsid w:val="00EE56F7"/>
    <w:rsid w:val="00EE6FB5"/>
    <w:rsid w:val="00EF11A3"/>
    <w:rsid w:val="00EF466B"/>
    <w:rsid w:val="00F01C63"/>
    <w:rsid w:val="00F100C0"/>
    <w:rsid w:val="00F11241"/>
    <w:rsid w:val="00F1235B"/>
    <w:rsid w:val="00F235BC"/>
    <w:rsid w:val="00F275A1"/>
    <w:rsid w:val="00F434CD"/>
    <w:rsid w:val="00F6078A"/>
    <w:rsid w:val="00F60E36"/>
    <w:rsid w:val="00F702C2"/>
    <w:rsid w:val="00F81FB9"/>
    <w:rsid w:val="00FA03FB"/>
    <w:rsid w:val="00FA303C"/>
    <w:rsid w:val="00FA510E"/>
    <w:rsid w:val="00FD7463"/>
    <w:rsid w:val="00FE1ADE"/>
    <w:rsid w:val="00FE229F"/>
    <w:rsid w:val="00FE70F6"/>
    <w:rsid w:val="02742F3B"/>
    <w:rsid w:val="04552D0D"/>
    <w:rsid w:val="063D4CBA"/>
    <w:rsid w:val="0C253D7E"/>
    <w:rsid w:val="0E3E1F17"/>
    <w:rsid w:val="112F0164"/>
    <w:rsid w:val="174F2482"/>
    <w:rsid w:val="19C332D1"/>
    <w:rsid w:val="1A1623B3"/>
    <w:rsid w:val="1B29276F"/>
    <w:rsid w:val="1E401B20"/>
    <w:rsid w:val="2346394A"/>
    <w:rsid w:val="24F44C86"/>
    <w:rsid w:val="276641FA"/>
    <w:rsid w:val="2AB342D5"/>
    <w:rsid w:val="2C395B26"/>
    <w:rsid w:val="334562EF"/>
    <w:rsid w:val="3A211C22"/>
    <w:rsid w:val="3A6420B4"/>
    <w:rsid w:val="3F6F342F"/>
    <w:rsid w:val="44AE4CE5"/>
    <w:rsid w:val="473D0A98"/>
    <w:rsid w:val="4A23728B"/>
    <w:rsid w:val="4CD2369B"/>
    <w:rsid w:val="504D156B"/>
    <w:rsid w:val="532A7941"/>
    <w:rsid w:val="5A3652A7"/>
    <w:rsid w:val="5DAB753A"/>
    <w:rsid w:val="5FA665A1"/>
    <w:rsid w:val="612B4B14"/>
    <w:rsid w:val="660D348E"/>
    <w:rsid w:val="693D1D24"/>
    <w:rsid w:val="6A75729C"/>
    <w:rsid w:val="6ABF49BB"/>
    <w:rsid w:val="6B8579B3"/>
    <w:rsid w:val="75EF06B0"/>
    <w:rsid w:val="76DA1EB8"/>
    <w:rsid w:val="773F4EBA"/>
    <w:rsid w:val="7F1629A4"/>
    <w:rsid w:val="7FC066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Plain Text"/>
    <w:basedOn w:val="1"/>
    <w:link w:val="11"/>
    <w:qFormat/>
    <w:uiPriority w:val="99"/>
    <w:pPr>
      <w:spacing w:line="324" w:lineRule="auto"/>
    </w:pPr>
    <w:rPr>
      <w:rFonts w:ascii="宋体" w:hAnsi="Courier New" w:eastAsia="仿宋"/>
      <w:sz w:val="32"/>
      <w:szCs w:val="21"/>
    </w:rPr>
  </w:style>
  <w:style w:type="paragraph" w:styleId="4">
    <w:name w:val="Balloon Text"/>
    <w:basedOn w:val="1"/>
    <w:semiHidden/>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10">
    <w:name w:val="page number"/>
    <w:uiPriority w:val="0"/>
  </w:style>
  <w:style w:type="character" w:customStyle="1" w:styleId="11">
    <w:name w:val="纯文本 Char"/>
    <w:link w:val="3"/>
    <w:uiPriority w:val="99"/>
    <w:rPr>
      <w:rFonts w:ascii="宋体" w:hAnsi="Courier New" w:eastAsia="仿宋"/>
      <w:kern w:val="2"/>
      <w:sz w:val="32"/>
      <w:szCs w:val="21"/>
    </w:rPr>
  </w:style>
  <w:style w:type="character" w:customStyle="1" w:styleId="12">
    <w:name w:val="页脚 Char"/>
    <w:link w:val="5"/>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陕西天瑞电力</Company>
  <Pages>14</Pages>
  <Words>4217</Words>
  <Characters>4413</Characters>
  <Lines>33</Lines>
  <Paragraphs>9</Paragraphs>
  <TotalTime>12</TotalTime>
  <ScaleCrop>false</ScaleCrop>
  <LinksUpToDate>false</LinksUpToDate>
  <CharactersWithSpaces>4559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2023-06-16T00:31:00Z</dcterms:created>
  <dc:creator>dellpc</dc:creator>
  <cp:lastModifiedBy>WPS_1705369883</cp:lastModifiedBy>
  <cp:lastPrinted>2025-11-17T02:44:00Z</cp:lastPrinted>
  <dcterms:modified xsi:type="dcterms:W3CDTF">2026-06-11T06:23:12Z</dcterms:modified>
  <dc:title>西安市工业学校</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2D2A014AEB844B3EBBF7708B20B13993_13</vt:lpwstr>
  </property>
  <property fmtid="{D5CDD505-2E9C-101B-9397-08002B2CF9AE}" pid="4" name="KSOTemplateDocerSaveRecord">
    <vt:lpwstr>eyJoZGlkIjoiYjNhZGUzYTMyOWZjYTgzNWYyNzBlNzU4NDRmNmU1MWYiLCJ1c2VySWQiOiIxNTc2MjkwOTUyIn0=</vt:lpwstr>
  </property>
</Properties>
</file>