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E8286B">
      <w:pPr>
        <w:adjustRightInd w:val="0"/>
        <w:snapToGrid w:val="0"/>
        <w:spacing w:line="540" w:lineRule="exact"/>
        <w:ind w:firstLine="422" w:firstLineChars="200"/>
        <w:rPr>
          <w:rFonts w:hint="eastAsia" w:ascii="仿宋" w:hAnsi="仿宋" w:eastAsia="仿宋" w:cs="仿宋"/>
          <w:b/>
          <w:szCs w:val="24"/>
        </w:rPr>
      </w:pPr>
      <w:r>
        <w:rPr>
          <w:rFonts w:hint="eastAsia" w:ascii="仿宋" w:hAnsi="仿宋" w:eastAsia="仿宋" w:cs="仿宋"/>
          <w:b/>
          <w:szCs w:val="24"/>
        </w:rPr>
        <w:t>采购人（全称）：</w:t>
      </w:r>
      <w:r>
        <w:rPr>
          <w:rFonts w:hint="eastAsia" w:ascii="仿宋" w:hAnsi="仿宋" w:eastAsia="仿宋" w:cs="仿宋"/>
          <w:b/>
          <w:szCs w:val="24"/>
          <w:u w:val="single"/>
        </w:rPr>
        <w:t xml:space="preserve">                                      </w:t>
      </w:r>
    </w:p>
    <w:p w14:paraId="0A87DD8B">
      <w:pPr>
        <w:adjustRightInd w:val="0"/>
        <w:snapToGrid w:val="0"/>
        <w:spacing w:line="540" w:lineRule="exact"/>
        <w:ind w:firstLine="422" w:firstLineChars="200"/>
        <w:rPr>
          <w:rFonts w:hint="eastAsia" w:ascii="仿宋" w:hAnsi="仿宋" w:eastAsia="仿宋" w:cs="仿宋"/>
          <w:szCs w:val="24"/>
        </w:rPr>
      </w:pPr>
      <w:r>
        <w:rPr>
          <w:rFonts w:hint="eastAsia" w:ascii="仿宋" w:hAnsi="仿宋" w:eastAsia="仿宋" w:cs="仿宋"/>
          <w:b/>
          <w:szCs w:val="24"/>
        </w:rPr>
        <w:t>供应商（全称）：</w:t>
      </w:r>
      <w:r>
        <w:rPr>
          <w:rFonts w:hint="eastAsia" w:ascii="仿宋" w:hAnsi="仿宋" w:eastAsia="仿宋" w:cs="仿宋"/>
          <w:b/>
          <w:szCs w:val="24"/>
          <w:u w:val="single"/>
        </w:rPr>
        <w:t xml:space="preserve">                                   </w:t>
      </w:r>
      <w:r>
        <w:rPr>
          <w:rFonts w:hint="eastAsia" w:ascii="仿宋" w:hAnsi="仿宋" w:eastAsia="仿宋" w:cs="仿宋"/>
          <w:szCs w:val="24"/>
          <w:u w:val="single"/>
        </w:rPr>
        <w:t xml:space="preserve">   </w:t>
      </w:r>
    </w:p>
    <w:p w14:paraId="10085F1A">
      <w:pPr>
        <w:adjustRightInd w:val="0"/>
        <w:snapToGrid w:val="0"/>
        <w:spacing w:line="540" w:lineRule="exact"/>
        <w:ind w:firstLine="420" w:firstLineChars="200"/>
        <w:rPr>
          <w:rFonts w:hint="eastAsia" w:ascii="仿宋" w:hAnsi="仿宋" w:eastAsia="仿宋" w:cs="仿宋"/>
          <w:szCs w:val="24"/>
          <w:u w:val="single"/>
        </w:rPr>
      </w:pPr>
      <w:r>
        <w:rPr>
          <w:rFonts w:hint="eastAsia" w:ascii="仿宋" w:hAnsi="仿宋" w:eastAsia="仿宋" w:cs="仿宋"/>
          <w:szCs w:val="24"/>
        </w:rPr>
        <w:t>根据《中华人民共和国民法典》及其他有关法律、法规，遵循平等、自愿、公平和诚信的原则，双方就下述项目范围与相关服务事项协商一致，订立本合同。</w:t>
      </w:r>
    </w:p>
    <w:p w14:paraId="33FC2892">
      <w:pPr>
        <w:spacing w:line="540" w:lineRule="exact"/>
        <w:rPr>
          <w:rFonts w:hint="eastAsia" w:ascii="仿宋" w:hAnsi="仿宋" w:eastAsia="仿宋" w:cs="仿宋"/>
          <w:b/>
          <w:szCs w:val="24"/>
        </w:rPr>
      </w:pPr>
      <w:r>
        <w:rPr>
          <w:rFonts w:hint="eastAsia" w:ascii="仿宋" w:hAnsi="仿宋" w:eastAsia="仿宋" w:cs="仿宋"/>
          <w:b/>
          <w:szCs w:val="24"/>
        </w:rPr>
        <w:t>一、项目概况</w:t>
      </w:r>
    </w:p>
    <w:p w14:paraId="306A09E0">
      <w:pPr>
        <w:adjustRightInd w:val="0"/>
        <w:snapToGrid w:val="0"/>
        <w:spacing w:line="540" w:lineRule="exact"/>
        <w:ind w:firstLine="415" w:firstLineChars="198"/>
        <w:rPr>
          <w:rFonts w:hint="eastAsia" w:ascii="仿宋" w:hAnsi="仿宋" w:eastAsia="仿宋" w:cs="仿宋"/>
          <w:szCs w:val="24"/>
        </w:rPr>
      </w:pPr>
      <w:r>
        <w:rPr>
          <w:rFonts w:hint="eastAsia" w:ascii="仿宋" w:hAnsi="仿宋" w:eastAsia="仿宋" w:cs="仿宋"/>
          <w:szCs w:val="24"/>
        </w:rPr>
        <w:t>1. 项目名称：</w:t>
      </w:r>
      <w:r>
        <w:rPr>
          <w:rFonts w:hint="eastAsia" w:ascii="仿宋" w:hAnsi="仿宋" w:eastAsia="仿宋" w:cs="仿宋"/>
          <w:szCs w:val="24"/>
          <w:u w:val="single"/>
          <w:lang w:val="en-US" w:eastAsia="zh-CN"/>
        </w:rPr>
        <w:t xml:space="preserve">           </w:t>
      </w:r>
      <w:r>
        <w:rPr>
          <w:rFonts w:hint="eastAsia" w:ascii="仿宋" w:hAnsi="仿宋" w:eastAsia="仿宋" w:cs="仿宋"/>
          <w:szCs w:val="24"/>
          <w:u w:val="single"/>
        </w:rPr>
        <w:t xml:space="preserve">   ；</w:t>
      </w:r>
    </w:p>
    <w:p w14:paraId="601F5DAE">
      <w:pPr>
        <w:adjustRightInd w:val="0"/>
        <w:snapToGrid w:val="0"/>
        <w:spacing w:line="540" w:lineRule="exact"/>
        <w:ind w:firstLine="415" w:firstLineChars="198"/>
        <w:rPr>
          <w:rFonts w:hint="eastAsia" w:ascii="仿宋" w:hAnsi="仿宋" w:eastAsia="仿宋" w:cs="仿宋"/>
          <w:szCs w:val="24"/>
        </w:rPr>
      </w:pPr>
      <w:r>
        <w:rPr>
          <w:rFonts w:hint="eastAsia" w:ascii="仿宋" w:hAnsi="仿宋" w:eastAsia="仿宋" w:cs="仿宋"/>
          <w:szCs w:val="24"/>
        </w:rPr>
        <w:t>2. 项目地点：</w:t>
      </w:r>
      <w:r>
        <w:rPr>
          <w:rFonts w:hint="eastAsia" w:ascii="仿宋" w:hAnsi="仿宋" w:eastAsia="仿宋" w:cs="仿宋"/>
          <w:szCs w:val="24"/>
          <w:u w:val="single"/>
          <w:lang w:val="en-US" w:eastAsia="zh-CN"/>
        </w:rPr>
        <w:t xml:space="preserve">              </w:t>
      </w:r>
      <w:r>
        <w:rPr>
          <w:rFonts w:hint="eastAsia" w:ascii="仿宋" w:hAnsi="仿宋" w:eastAsia="仿宋" w:cs="仿宋"/>
          <w:szCs w:val="24"/>
          <w:u w:val="single"/>
        </w:rPr>
        <w:t>；</w:t>
      </w:r>
    </w:p>
    <w:p w14:paraId="6729C30F">
      <w:pPr>
        <w:spacing w:line="540" w:lineRule="exact"/>
        <w:rPr>
          <w:rFonts w:hint="eastAsia" w:ascii="仿宋" w:hAnsi="仿宋" w:eastAsia="仿宋" w:cs="仿宋"/>
          <w:b/>
          <w:szCs w:val="24"/>
        </w:rPr>
      </w:pPr>
      <w:r>
        <w:rPr>
          <w:rFonts w:hint="eastAsia" w:ascii="仿宋" w:hAnsi="仿宋" w:eastAsia="仿宋" w:cs="仿宋"/>
          <w:b/>
          <w:szCs w:val="24"/>
        </w:rPr>
        <w:t>二、组成本合同的文件</w:t>
      </w:r>
    </w:p>
    <w:p w14:paraId="16C6C0EF">
      <w:pPr>
        <w:adjustRightInd w:val="0"/>
        <w:snapToGrid w:val="0"/>
        <w:spacing w:line="540" w:lineRule="exact"/>
        <w:ind w:firstLine="415" w:firstLineChars="198"/>
        <w:rPr>
          <w:rFonts w:hint="eastAsia" w:ascii="仿宋" w:hAnsi="仿宋" w:eastAsia="仿宋" w:cs="仿宋"/>
          <w:szCs w:val="24"/>
        </w:rPr>
      </w:pPr>
      <w:r>
        <w:rPr>
          <w:rFonts w:hint="eastAsia" w:ascii="仿宋" w:hAnsi="仿宋" w:eastAsia="仿宋" w:cs="仿宋"/>
          <w:szCs w:val="24"/>
        </w:rPr>
        <w:t>1. 协议书；</w:t>
      </w:r>
    </w:p>
    <w:p w14:paraId="434089D1">
      <w:pPr>
        <w:adjustRightInd w:val="0"/>
        <w:snapToGrid w:val="0"/>
        <w:spacing w:line="540" w:lineRule="exact"/>
        <w:ind w:firstLine="415" w:firstLineChars="198"/>
        <w:rPr>
          <w:rFonts w:hint="eastAsia" w:ascii="仿宋" w:hAnsi="仿宋" w:eastAsia="仿宋" w:cs="仿宋"/>
          <w:szCs w:val="24"/>
        </w:rPr>
      </w:pPr>
      <w:r>
        <w:rPr>
          <w:rFonts w:hint="eastAsia" w:ascii="仿宋" w:hAnsi="仿宋" w:eastAsia="仿宋" w:cs="仿宋"/>
          <w:szCs w:val="24"/>
        </w:rPr>
        <w:t xml:space="preserve">2. </w:t>
      </w:r>
      <w:r>
        <w:rPr>
          <w:rFonts w:hint="eastAsia" w:ascii="仿宋" w:hAnsi="仿宋" w:eastAsia="仿宋" w:cs="仿宋"/>
          <w:szCs w:val="24"/>
          <w:lang w:val="en-US" w:eastAsia="zh-CN"/>
        </w:rPr>
        <w:t>成交</w:t>
      </w:r>
      <w:r>
        <w:rPr>
          <w:rFonts w:hint="eastAsia" w:ascii="仿宋" w:hAnsi="仿宋" w:eastAsia="仿宋" w:cs="仿宋"/>
          <w:szCs w:val="24"/>
        </w:rPr>
        <w:t>通知书、</w:t>
      </w:r>
      <w:r>
        <w:rPr>
          <w:rFonts w:hint="eastAsia" w:ascii="仿宋" w:hAnsi="仿宋" w:eastAsia="仿宋" w:cs="仿宋"/>
          <w:szCs w:val="24"/>
          <w:lang w:val="en-US" w:eastAsia="zh-CN"/>
        </w:rPr>
        <w:t>响应</w:t>
      </w:r>
      <w:r>
        <w:rPr>
          <w:rFonts w:hint="eastAsia" w:ascii="仿宋" w:hAnsi="仿宋" w:eastAsia="仿宋" w:cs="仿宋"/>
          <w:szCs w:val="24"/>
        </w:rPr>
        <w:t>文件、</w:t>
      </w:r>
      <w:r>
        <w:rPr>
          <w:rFonts w:hint="eastAsia" w:ascii="仿宋" w:hAnsi="仿宋" w:eastAsia="仿宋" w:cs="仿宋"/>
          <w:szCs w:val="24"/>
          <w:lang w:val="en-US" w:eastAsia="zh-CN"/>
        </w:rPr>
        <w:t>谈判</w:t>
      </w:r>
      <w:r>
        <w:rPr>
          <w:rFonts w:hint="eastAsia" w:ascii="仿宋" w:hAnsi="仿宋" w:eastAsia="仿宋" w:cs="仿宋"/>
          <w:szCs w:val="24"/>
        </w:rPr>
        <w:t>文件、澄清、</w:t>
      </w:r>
      <w:r>
        <w:rPr>
          <w:rFonts w:hint="eastAsia" w:ascii="仿宋" w:hAnsi="仿宋" w:eastAsia="仿宋" w:cs="仿宋"/>
          <w:szCs w:val="24"/>
          <w:lang w:val="en-US" w:eastAsia="zh-CN"/>
        </w:rPr>
        <w:t>谈判</w:t>
      </w:r>
      <w:r>
        <w:rPr>
          <w:rFonts w:hint="eastAsia" w:ascii="仿宋" w:hAnsi="仿宋" w:eastAsia="仿宋" w:cs="仿宋"/>
          <w:szCs w:val="24"/>
        </w:rPr>
        <w:t>补充文件；</w:t>
      </w:r>
    </w:p>
    <w:p w14:paraId="0D9AE95B">
      <w:pPr>
        <w:adjustRightInd w:val="0"/>
        <w:snapToGrid w:val="0"/>
        <w:spacing w:line="540" w:lineRule="exact"/>
        <w:ind w:firstLine="415" w:firstLineChars="198"/>
        <w:rPr>
          <w:rFonts w:hint="eastAsia" w:ascii="仿宋" w:hAnsi="仿宋" w:eastAsia="仿宋" w:cs="仿宋"/>
          <w:szCs w:val="24"/>
        </w:rPr>
      </w:pPr>
      <w:r>
        <w:rPr>
          <w:rFonts w:hint="eastAsia" w:ascii="仿宋" w:hAnsi="仿宋" w:eastAsia="仿宋" w:cs="仿宋"/>
          <w:szCs w:val="24"/>
        </w:rPr>
        <w:t>本合同签订后，双方依法签订的补充协议也是本合同文件的组成部分。</w:t>
      </w:r>
    </w:p>
    <w:p w14:paraId="06B53A8C">
      <w:pPr>
        <w:spacing w:line="540" w:lineRule="exact"/>
        <w:rPr>
          <w:rFonts w:hint="eastAsia" w:ascii="仿宋" w:hAnsi="仿宋" w:eastAsia="仿宋" w:cs="仿宋"/>
          <w:b/>
          <w:szCs w:val="24"/>
        </w:rPr>
      </w:pPr>
      <w:r>
        <w:rPr>
          <w:rFonts w:hint="eastAsia" w:ascii="仿宋" w:hAnsi="仿宋" w:eastAsia="仿宋" w:cs="仿宋"/>
          <w:b/>
          <w:szCs w:val="24"/>
        </w:rPr>
        <w:t>三、合同金额</w:t>
      </w:r>
    </w:p>
    <w:p w14:paraId="1D62D8C9">
      <w:pPr>
        <w:adjustRightInd w:val="0"/>
        <w:snapToGrid w:val="0"/>
        <w:spacing w:line="540" w:lineRule="exact"/>
        <w:ind w:firstLine="415" w:firstLineChars="198"/>
        <w:rPr>
          <w:rFonts w:hint="eastAsia" w:ascii="仿宋" w:hAnsi="仿宋" w:eastAsia="仿宋" w:cs="仿宋"/>
          <w:szCs w:val="24"/>
        </w:rPr>
      </w:pPr>
      <w:r>
        <w:rPr>
          <w:rFonts w:hint="eastAsia" w:ascii="仿宋" w:hAnsi="仿宋" w:eastAsia="仿宋" w:cs="仿宋"/>
          <w:szCs w:val="24"/>
        </w:rPr>
        <w:t>合同金额（大写）：</w:t>
      </w:r>
      <w:r>
        <w:rPr>
          <w:rFonts w:hint="eastAsia" w:ascii="仿宋" w:hAnsi="仿宋" w:eastAsia="仿宋" w:cs="仿宋"/>
          <w:szCs w:val="24"/>
          <w:u w:val="single"/>
        </w:rPr>
        <w:t xml:space="preserve">                            </w:t>
      </w:r>
      <w:r>
        <w:rPr>
          <w:rFonts w:hint="eastAsia" w:ascii="仿宋" w:hAnsi="仿宋" w:eastAsia="仿宋" w:cs="仿宋"/>
          <w:szCs w:val="24"/>
        </w:rPr>
        <w:t>（¥        ）。</w:t>
      </w:r>
    </w:p>
    <w:p w14:paraId="1BB9FCD9">
      <w:pPr>
        <w:adjustRightInd w:val="0"/>
        <w:snapToGrid w:val="0"/>
        <w:spacing w:line="540" w:lineRule="exact"/>
        <w:ind w:firstLine="415" w:firstLineChars="198"/>
        <w:rPr>
          <w:rFonts w:hint="eastAsia" w:ascii="仿宋" w:hAnsi="仿宋" w:eastAsia="仿宋" w:cs="仿宋"/>
          <w:szCs w:val="24"/>
        </w:rPr>
      </w:pPr>
      <w:r>
        <w:rPr>
          <w:rFonts w:hint="eastAsia" w:ascii="仿宋" w:hAnsi="仿宋" w:eastAsia="仿宋" w:cs="仿宋"/>
          <w:szCs w:val="24"/>
        </w:rPr>
        <w:t>合同总价即</w:t>
      </w:r>
      <w:r>
        <w:rPr>
          <w:rFonts w:hint="eastAsia" w:ascii="仿宋" w:hAnsi="仿宋" w:eastAsia="仿宋" w:cs="仿宋"/>
          <w:szCs w:val="24"/>
          <w:lang w:val="en-US" w:eastAsia="zh-CN"/>
        </w:rPr>
        <w:t>成交</w:t>
      </w:r>
      <w:r>
        <w:rPr>
          <w:rFonts w:hint="eastAsia" w:ascii="仿宋" w:hAnsi="仿宋" w:eastAsia="仿宋" w:cs="仿宋"/>
          <w:szCs w:val="24"/>
        </w:rPr>
        <w:t>价，为一次性报价，不受市场价变化或实际工作量变化的影响。合同价格为含税价，供应商提供产品所发生的一切税（包括增值税）费等都已包含于合同价款中。</w:t>
      </w:r>
    </w:p>
    <w:p w14:paraId="241C44C5">
      <w:pPr>
        <w:adjustRightInd w:val="0"/>
        <w:snapToGrid w:val="0"/>
        <w:spacing w:line="540" w:lineRule="exact"/>
        <w:rPr>
          <w:rFonts w:hint="eastAsia" w:ascii="仿宋" w:hAnsi="仿宋" w:eastAsia="仿宋" w:cs="仿宋"/>
          <w:b/>
          <w:szCs w:val="24"/>
        </w:rPr>
      </w:pPr>
      <w:r>
        <w:rPr>
          <w:rFonts w:hint="eastAsia" w:ascii="仿宋" w:hAnsi="仿宋" w:eastAsia="仿宋" w:cs="仿宋"/>
          <w:b/>
          <w:szCs w:val="24"/>
        </w:rPr>
        <w:t>四、结算方式</w:t>
      </w:r>
    </w:p>
    <w:p w14:paraId="1D9675AA">
      <w:pPr>
        <w:spacing w:line="540" w:lineRule="exact"/>
        <w:rPr>
          <w:rFonts w:hint="eastAsia" w:ascii="仿宋" w:hAnsi="仿宋" w:eastAsia="仿宋" w:cs="仿宋"/>
          <w:szCs w:val="24"/>
        </w:rPr>
      </w:pPr>
      <w:r>
        <w:rPr>
          <w:rFonts w:hint="eastAsia" w:ascii="仿宋" w:hAnsi="仿宋" w:eastAsia="仿宋" w:cs="仿宋"/>
          <w:szCs w:val="24"/>
        </w:rPr>
        <w:t xml:space="preserve">   1.结算单位：银行转账，由采购人负责结算。在付款前，供应商必须开具与合同金额相应的发票给采购人。</w:t>
      </w:r>
    </w:p>
    <w:p w14:paraId="120A0C68">
      <w:pPr>
        <w:spacing w:line="540" w:lineRule="exact"/>
        <w:rPr>
          <w:rFonts w:hint="eastAsia" w:ascii="仿宋" w:hAnsi="仿宋" w:eastAsia="仿宋" w:cs="仿宋"/>
          <w:szCs w:val="24"/>
          <w:lang w:val="en-US" w:eastAsia="zh-CN"/>
        </w:rPr>
      </w:pPr>
      <w:r>
        <w:rPr>
          <w:rFonts w:hint="eastAsia" w:ascii="仿宋" w:hAnsi="仿宋" w:eastAsia="仿宋" w:cs="仿宋"/>
          <w:szCs w:val="24"/>
        </w:rPr>
        <w:t xml:space="preserve">   2.付款方式：</w:t>
      </w:r>
      <w:r>
        <w:rPr>
          <w:rFonts w:hint="eastAsia" w:ascii="仿宋" w:hAnsi="仿宋" w:eastAsia="仿宋" w:cs="仿宋"/>
          <w:color w:val="auto"/>
          <w:lang w:val="en-US" w:eastAsia="zh-CN"/>
        </w:rPr>
        <w:t>设①设备安装完毕并经甲方验收合格后，采购人在收到发票后14日内支付合同总价款的60%；②剩余款项在验收合格6个月内开具发票，并在收到发票后14</w:t>
      </w:r>
      <w:bookmarkStart w:id="7" w:name="_GoBack"/>
      <w:bookmarkEnd w:id="7"/>
      <w:r>
        <w:rPr>
          <w:rFonts w:hint="eastAsia" w:ascii="仿宋" w:hAnsi="仿宋" w:eastAsia="仿宋" w:cs="仿宋"/>
          <w:color w:val="auto"/>
          <w:lang w:val="en-US" w:eastAsia="zh-CN"/>
        </w:rPr>
        <w:t>日内完成支付。</w:t>
      </w:r>
    </w:p>
    <w:p w14:paraId="5945B6C7">
      <w:pPr>
        <w:pStyle w:val="9"/>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b/>
          <w:sz w:val="24"/>
          <w:szCs w:val="24"/>
          <w:lang w:val="en-US" w:eastAsia="zh-CN" w:bidi="ar-SA"/>
        </w:rPr>
      </w:pPr>
      <w:r>
        <w:rPr>
          <w:rFonts w:hint="eastAsia" w:ascii="仿宋" w:hAnsi="仿宋" w:eastAsia="仿宋" w:cs="仿宋"/>
          <w:b/>
          <w:sz w:val="24"/>
          <w:szCs w:val="24"/>
          <w:lang w:val="en-US" w:eastAsia="zh-CN" w:bidi="ar-SA"/>
        </w:rPr>
        <w:t>五、交货期：</w:t>
      </w:r>
    </w:p>
    <w:p w14:paraId="1A4EA8C7">
      <w:pPr>
        <w:pStyle w:val="9"/>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合同签订后15个日历日内。</w:t>
      </w:r>
    </w:p>
    <w:p w14:paraId="7F71BBC3">
      <w:pPr>
        <w:adjustRightInd w:val="0"/>
        <w:snapToGrid w:val="0"/>
        <w:spacing w:line="520" w:lineRule="exact"/>
        <w:rPr>
          <w:rFonts w:ascii="仿宋" w:hAnsi="仿宋" w:eastAsia="仿宋" w:cs="仿宋"/>
          <w:b/>
          <w:szCs w:val="24"/>
          <w:highlight w:val="none"/>
        </w:rPr>
      </w:pPr>
      <w:r>
        <w:rPr>
          <w:rFonts w:hint="eastAsia" w:ascii="仿宋" w:hAnsi="仿宋" w:eastAsia="仿宋" w:cs="仿宋"/>
          <w:b/>
          <w:szCs w:val="24"/>
          <w:highlight w:val="none"/>
        </w:rPr>
        <w:t>六、质保期：</w:t>
      </w:r>
      <w:r>
        <w:rPr>
          <w:rFonts w:hint="eastAsia" w:ascii="仿宋" w:hAnsi="仿宋" w:eastAsia="仿宋" w:cs="仿宋"/>
          <w:b/>
          <w:szCs w:val="24"/>
          <w:highlight w:val="none"/>
          <w:lang w:val="en-US" w:eastAsia="zh-CN"/>
        </w:rPr>
        <w:t>3</w:t>
      </w:r>
      <w:r>
        <w:rPr>
          <w:rFonts w:hint="eastAsia" w:ascii="仿宋" w:hAnsi="仿宋" w:eastAsia="仿宋" w:cs="仿宋"/>
          <w:b/>
          <w:szCs w:val="24"/>
          <w:highlight w:val="none"/>
        </w:rPr>
        <w:t>年。</w:t>
      </w:r>
    </w:p>
    <w:p w14:paraId="49DC56A5">
      <w:pPr>
        <w:adjustRightInd w:val="0"/>
        <w:snapToGrid w:val="0"/>
        <w:spacing w:line="520" w:lineRule="exact"/>
        <w:rPr>
          <w:rFonts w:hint="eastAsia" w:ascii="仿宋" w:hAnsi="仿宋" w:eastAsia="仿宋" w:cs="仿宋"/>
          <w:b/>
          <w:szCs w:val="24"/>
          <w:highlight w:val="none"/>
        </w:rPr>
      </w:pPr>
      <w:r>
        <w:rPr>
          <w:rFonts w:hint="eastAsia" w:ascii="仿宋" w:hAnsi="仿宋" w:eastAsia="仿宋" w:cs="仿宋"/>
          <w:b/>
          <w:szCs w:val="24"/>
          <w:highlight w:val="none"/>
        </w:rPr>
        <w:t>七、内容及要求</w:t>
      </w:r>
    </w:p>
    <w:p w14:paraId="5A675542">
      <w:pPr>
        <w:pStyle w:val="6"/>
        <w:rPr>
          <w:rFonts w:hint="eastAsia"/>
        </w:rPr>
      </w:pPr>
    </w:p>
    <w:p w14:paraId="67F131B5">
      <w:pPr>
        <w:spacing w:after="120"/>
        <w:jc w:val="center"/>
        <w:rPr>
          <w:rFonts w:hint="eastAsia" w:ascii="仿宋" w:hAnsi="仿宋" w:eastAsia="仿宋" w:cs="仿宋"/>
          <w:b/>
          <w:szCs w:val="24"/>
        </w:rPr>
      </w:pPr>
      <w:r>
        <w:rPr>
          <w:rFonts w:hint="eastAsia" w:ascii="仿宋" w:hAnsi="仿宋" w:eastAsia="仿宋" w:cs="仿宋"/>
          <w:b/>
          <w:szCs w:val="24"/>
        </w:rPr>
        <w:t>供货内容一览表</w:t>
      </w:r>
      <w:r>
        <w:rPr>
          <w:rFonts w:hint="eastAsia" w:ascii="仿宋" w:hAnsi="仿宋" w:eastAsia="仿宋" w:cs="仿宋"/>
          <w:szCs w:val="24"/>
        </w:rPr>
        <w:t xml:space="preserve">                                </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5"/>
        <w:gridCol w:w="960"/>
        <w:gridCol w:w="1485"/>
        <w:gridCol w:w="1695"/>
        <w:gridCol w:w="825"/>
        <w:gridCol w:w="735"/>
        <w:gridCol w:w="1050"/>
        <w:gridCol w:w="1215"/>
        <w:gridCol w:w="903"/>
      </w:tblGrid>
      <w:tr w14:paraId="346DA4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center"/>
          </w:tcPr>
          <w:p w14:paraId="43CCBE1F">
            <w:pPr>
              <w:spacing w:before="156" w:beforeLines="50" w:line="360" w:lineRule="auto"/>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960" w:type="dxa"/>
            <w:noWrap w:val="0"/>
            <w:vAlign w:val="center"/>
          </w:tcPr>
          <w:p w14:paraId="3D27FBED">
            <w:pPr>
              <w:spacing w:before="156" w:beforeLines="50" w:line="360" w:lineRule="auto"/>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名称</w:t>
            </w:r>
          </w:p>
        </w:tc>
        <w:tc>
          <w:tcPr>
            <w:tcW w:w="1485" w:type="dxa"/>
            <w:tcBorders>
              <w:right w:val="single" w:color="auto" w:sz="4" w:space="0"/>
            </w:tcBorders>
            <w:noWrap w:val="0"/>
            <w:vAlign w:val="center"/>
          </w:tcPr>
          <w:p w14:paraId="76F5AFC5">
            <w:pPr>
              <w:pStyle w:val="2"/>
              <w:adjustRightInd w:val="0"/>
              <w:snapToGrid w:val="0"/>
              <w:ind w:left="0"/>
              <w:jc w:val="center"/>
              <w:rPr>
                <w:rFonts w:hint="eastAsia" w:ascii="仿宋" w:hAnsi="仿宋" w:eastAsia="仿宋" w:cs="仿宋"/>
                <w:color w:val="auto"/>
                <w:sz w:val="24"/>
                <w:szCs w:val="24"/>
                <w:highlight w:val="none"/>
              </w:rPr>
            </w:pPr>
            <w:bookmarkStart w:id="0" w:name="_Toc16727"/>
            <w:r>
              <w:rPr>
                <w:rFonts w:hint="eastAsia" w:ascii="仿宋" w:hAnsi="仿宋" w:eastAsia="仿宋" w:cs="仿宋"/>
                <w:color w:val="auto"/>
                <w:sz w:val="24"/>
                <w:szCs w:val="24"/>
                <w:highlight w:val="none"/>
              </w:rPr>
              <w:t>品牌、规格及型号</w:t>
            </w:r>
            <w:bookmarkEnd w:id="0"/>
          </w:p>
        </w:tc>
        <w:tc>
          <w:tcPr>
            <w:tcW w:w="1695" w:type="dxa"/>
            <w:tcBorders>
              <w:left w:val="single" w:color="auto" w:sz="4" w:space="0"/>
            </w:tcBorders>
            <w:noWrap w:val="0"/>
            <w:vAlign w:val="center"/>
          </w:tcPr>
          <w:p w14:paraId="711864B7">
            <w:pPr>
              <w:pStyle w:val="2"/>
              <w:adjustRightInd w:val="0"/>
              <w:snapToGrid w:val="0"/>
              <w:ind w:left="0"/>
              <w:jc w:val="center"/>
              <w:rPr>
                <w:rFonts w:hint="eastAsia" w:ascii="仿宋" w:hAnsi="仿宋" w:eastAsia="仿宋" w:cs="仿宋"/>
                <w:color w:val="auto"/>
                <w:sz w:val="24"/>
                <w:szCs w:val="24"/>
                <w:highlight w:val="none"/>
              </w:rPr>
            </w:pPr>
            <w:bookmarkStart w:id="1" w:name="_Toc20101"/>
            <w:r>
              <w:rPr>
                <w:rFonts w:hint="eastAsia" w:ascii="仿宋" w:hAnsi="仿宋" w:eastAsia="仿宋" w:cs="仿宋"/>
                <w:color w:val="auto"/>
                <w:sz w:val="24"/>
                <w:szCs w:val="24"/>
                <w:highlight w:val="none"/>
              </w:rPr>
              <w:t>原产地及制造厂名</w:t>
            </w:r>
            <w:bookmarkEnd w:id="1"/>
          </w:p>
        </w:tc>
        <w:tc>
          <w:tcPr>
            <w:tcW w:w="825" w:type="dxa"/>
            <w:tcBorders>
              <w:right w:val="single" w:color="auto" w:sz="4" w:space="0"/>
            </w:tcBorders>
            <w:noWrap w:val="0"/>
            <w:vAlign w:val="center"/>
          </w:tcPr>
          <w:p w14:paraId="5F8884CA">
            <w:pPr>
              <w:pStyle w:val="2"/>
              <w:adjustRightInd w:val="0"/>
              <w:snapToGrid w:val="0"/>
              <w:ind w:left="0"/>
              <w:jc w:val="center"/>
              <w:rPr>
                <w:rFonts w:hint="eastAsia" w:ascii="仿宋" w:hAnsi="仿宋" w:eastAsia="仿宋" w:cs="仿宋"/>
                <w:color w:val="auto"/>
                <w:sz w:val="24"/>
                <w:szCs w:val="24"/>
                <w:highlight w:val="none"/>
              </w:rPr>
            </w:pPr>
            <w:bookmarkStart w:id="2" w:name="_Toc27118"/>
            <w:r>
              <w:rPr>
                <w:rFonts w:hint="eastAsia" w:ascii="仿宋" w:hAnsi="仿宋" w:eastAsia="仿宋" w:cs="仿宋"/>
                <w:color w:val="auto"/>
                <w:sz w:val="24"/>
                <w:szCs w:val="24"/>
                <w:highlight w:val="none"/>
              </w:rPr>
              <w:t>单价</w:t>
            </w:r>
            <w:bookmarkEnd w:id="2"/>
          </w:p>
        </w:tc>
        <w:tc>
          <w:tcPr>
            <w:tcW w:w="735" w:type="dxa"/>
            <w:tcBorders>
              <w:left w:val="single" w:color="auto" w:sz="4" w:space="0"/>
              <w:right w:val="single" w:color="auto" w:sz="4" w:space="0"/>
            </w:tcBorders>
            <w:noWrap w:val="0"/>
            <w:vAlign w:val="center"/>
          </w:tcPr>
          <w:p w14:paraId="3A137CBF">
            <w:pPr>
              <w:pStyle w:val="2"/>
              <w:adjustRightInd w:val="0"/>
              <w:snapToGrid w:val="0"/>
              <w:ind w:left="0"/>
              <w:jc w:val="center"/>
              <w:rPr>
                <w:rFonts w:hint="eastAsia" w:ascii="仿宋" w:hAnsi="仿宋" w:eastAsia="仿宋" w:cs="仿宋"/>
                <w:color w:val="auto"/>
                <w:sz w:val="24"/>
                <w:szCs w:val="24"/>
                <w:highlight w:val="none"/>
              </w:rPr>
            </w:pPr>
            <w:bookmarkStart w:id="3" w:name="_Toc16584"/>
            <w:r>
              <w:rPr>
                <w:rFonts w:hint="eastAsia" w:ascii="仿宋" w:hAnsi="仿宋" w:eastAsia="仿宋" w:cs="仿宋"/>
                <w:color w:val="auto"/>
                <w:sz w:val="24"/>
                <w:szCs w:val="24"/>
                <w:highlight w:val="none"/>
              </w:rPr>
              <w:t>数量</w:t>
            </w:r>
            <w:bookmarkEnd w:id="3"/>
          </w:p>
        </w:tc>
        <w:tc>
          <w:tcPr>
            <w:tcW w:w="1050" w:type="dxa"/>
            <w:tcBorders>
              <w:left w:val="single" w:color="auto" w:sz="4" w:space="0"/>
            </w:tcBorders>
            <w:noWrap w:val="0"/>
            <w:vAlign w:val="center"/>
          </w:tcPr>
          <w:p w14:paraId="2C4BA3F1">
            <w:pPr>
              <w:pStyle w:val="2"/>
              <w:ind w:left="0"/>
              <w:jc w:val="center"/>
              <w:rPr>
                <w:rFonts w:hint="eastAsia" w:ascii="仿宋" w:hAnsi="仿宋" w:eastAsia="仿宋" w:cs="仿宋"/>
                <w:color w:val="auto"/>
                <w:sz w:val="24"/>
                <w:szCs w:val="24"/>
                <w:highlight w:val="none"/>
              </w:rPr>
            </w:pPr>
            <w:bookmarkStart w:id="4" w:name="_Toc11050"/>
            <w:r>
              <w:rPr>
                <w:rFonts w:hint="eastAsia" w:ascii="仿宋" w:hAnsi="仿宋" w:eastAsia="仿宋" w:cs="仿宋"/>
                <w:color w:val="auto"/>
                <w:sz w:val="24"/>
                <w:szCs w:val="24"/>
                <w:highlight w:val="none"/>
              </w:rPr>
              <w:t>交付地点</w:t>
            </w:r>
            <w:bookmarkEnd w:id="4"/>
          </w:p>
        </w:tc>
        <w:tc>
          <w:tcPr>
            <w:tcW w:w="1215" w:type="dxa"/>
            <w:tcBorders>
              <w:right w:val="single" w:color="auto" w:sz="4" w:space="0"/>
            </w:tcBorders>
            <w:noWrap w:val="0"/>
            <w:vAlign w:val="center"/>
          </w:tcPr>
          <w:p w14:paraId="1B259D44">
            <w:pPr>
              <w:pStyle w:val="2"/>
              <w:ind w:left="0"/>
              <w:jc w:val="center"/>
              <w:rPr>
                <w:rFonts w:hint="eastAsia" w:ascii="仿宋" w:hAnsi="仿宋" w:eastAsia="仿宋" w:cs="仿宋"/>
                <w:color w:val="auto"/>
                <w:sz w:val="24"/>
                <w:szCs w:val="24"/>
                <w:highlight w:val="none"/>
              </w:rPr>
            </w:pPr>
            <w:bookmarkStart w:id="5" w:name="_Toc8351"/>
            <w:r>
              <w:rPr>
                <w:rFonts w:hint="eastAsia" w:ascii="仿宋" w:hAnsi="仿宋" w:eastAsia="仿宋" w:cs="仿宋"/>
                <w:color w:val="auto"/>
                <w:sz w:val="24"/>
                <w:szCs w:val="24"/>
                <w:highlight w:val="none"/>
              </w:rPr>
              <w:t>交付时间</w:t>
            </w:r>
            <w:bookmarkEnd w:id="5"/>
          </w:p>
        </w:tc>
        <w:tc>
          <w:tcPr>
            <w:tcW w:w="903" w:type="dxa"/>
            <w:tcBorders>
              <w:right w:val="single" w:color="auto" w:sz="4" w:space="0"/>
            </w:tcBorders>
            <w:noWrap w:val="0"/>
            <w:vAlign w:val="center"/>
          </w:tcPr>
          <w:p w14:paraId="6FA1D156">
            <w:pPr>
              <w:pStyle w:val="2"/>
              <w:ind w:left="0"/>
              <w:jc w:val="center"/>
              <w:rPr>
                <w:rFonts w:hint="eastAsia" w:ascii="仿宋" w:hAnsi="仿宋" w:eastAsia="仿宋" w:cs="仿宋"/>
                <w:color w:val="auto"/>
                <w:sz w:val="24"/>
                <w:szCs w:val="24"/>
                <w:highlight w:val="none"/>
              </w:rPr>
            </w:pPr>
            <w:bookmarkStart w:id="6" w:name="_Toc24096"/>
            <w:r>
              <w:rPr>
                <w:rFonts w:hint="eastAsia" w:ascii="仿宋" w:hAnsi="仿宋" w:eastAsia="仿宋" w:cs="仿宋"/>
                <w:color w:val="auto"/>
                <w:sz w:val="24"/>
                <w:szCs w:val="24"/>
                <w:highlight w:val="none"/>
              </w:rPr>
              <w:t>备注</w:t>
            </w:r>
            <w:bookmarkEnd w:id="6"/>
          </w:p>
        </w:tc>
      </w:tr>
      <w:tr w14:paraId="3BCF2D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top"/>
          </w:tcPr>
          <w:p w14:paraId="5D780F3D">
            <w:pPr>
              <w:spacing w:before="156" w:beforeLines="50" w:line="360" w:lineRule="auto"/>
              <w:jc w:val="center"/>
              <w:rPr>
                <w:rFonts w:hint="eastAsia" w:ascii="仿宋" w:hAnsi="仿宋" w:eastAsia="仿宋" w:cs="仿宋"/>
                <w:color w:val="auto"/>
                <w:szCs w:val="24"/>
                <w:highlight w:val="none"/>
              </w:rPr>
            </w:pPr>
          </w:p>
        </w:tc>
        <w:tc>
          <w:tcPr>
            <w:tcW w:w="960" w:type="dxa"/>
            <w:noWrap w:val="0"/>
            <w:vAlign w:val="top"/>
          </w:tcPr>
          <w:p w14:paraId="5DFAC83C">
            <w:pPr>
              <w:spacing w:before="156" w:beforeLines="50" w:line="360" w:lineRule="auto"/>
              <w:jc w:val="center"/>
              <w:rPr>
                <w:rFonts w:hint="eastAsia" w:ascii="仿宋" w:hAnsi="仿宋" w:eastAsia="仿宋" w:cs="仿宋"/>
                <w:color w:val="auto"/>
                <w:szCs w:val="24"/>
                <w:highlight w:val="none"/>
              </w:rPr>
            </w:pPr>
          </w:p>
        </w:tc>
        <w:tc>
          <w:tcPr>
            <w:tcW w:w="1485" w:type="dxa"/>
            <w:tcBorders>
              <w:right w:val="single" w:color="auto" w:sz="4" w:space="0"/>
            </w:tcBorders>
            <w:noWrap w:val="0"/>
            <w:vAlign w:val="top"/>
          </w:tcPr>
          <w:p w14:paraId="60545429">
            <w:pPr>
              <w:spacing w:before="156" w:beforeLines="50" w:line="360" w:lineRule="auto"/>
              <w:jc w:val="center"/>
              <w:rPr>
                <w:rFonts w:hint="eastAsia" w:ascii="仿宋" w:hAnsi="仿宋" w:eastAsia="仿宋" w:cs="仿宋"/>
                <w:color w:val="auto"/>
                <w:szCs w:val="24"/>
                <w:highlight w:val="none"/>
              </w:rPr>
            </w:pPr>
          </w:p>
        </w:tc>
        <w:tc>
          <w:tcPr>
            <w:tcW w:w="1695" w:type="dxa"/>
            <w:tcBorders>
              <w:left w:val="single" w:color="auto" w:sz="4" w:space="0"/>
            </w:tcBorders>
            <w:noWrap w:val="0"/>
            <w:vAlign w:val="top"/>
          </w:tcPr>
          <w:p w14:paraId="6509CC9D">
            <w:pPr>
              <w:spacing w:before="156" w:beforeLines="50" w:line="360" w:lineRule="auto"/>
              <w:jc w:val="center"/>
              <w:rPr>
                <w:rFonts w:hint="eastAsia" w:ascii="仿宋" w:hAnsi="仿宋" w:eastAsia="仿宋" w:cs="仿宋"/>
                <w:color w:val="auto"/>
                <w:szCs w:val="24"/>
                <w:highlight w:val="none"/>
              </w:rPr>
            </w:pPr>
          </w:p>
        </w:tc>
        <w:tc>
          <w:tcPr>
            <w:tcW w:w="825" w:type="dxa"/>
            <w:tcBorders>
              <w:right w:val="single" w:color="auto" w:sz="4" w:space="0"/>
            </w:tcBorders>
            <w:noWrap w:val="0"/>
            <w:vAlign w:val="top"/>
          </w:tcPr>
          <w:p w14:paraId="15914568">
            <w:pPr>
              <w:spacing w:before="156" w:beforeLines="50" w:line="360" w:lineRule="auto"/>
              <w:jc w:val="center"/>
              <w:rPr>
                <w:rFonts w:hint="eastAsia" w:ascii="仿宋" w:hAnsi="仿宋" w:eastAsia="仿宋" w:cs="仿宋"/>
                <w:color w:val="auto"/>
                <w:szCs w:val="24"/>
                <w:highlight w:val="none"/>
              </w:rPr>
            </w:pPr>
          </w:p>
        </w:tc>
        <w:tc>
          <w:tcPr>
            <w:tcW w:w="735" w:type="dxa"/>
            <w:tcBorders>
              <w:left w:val="single" w:color="auto" w:sz="4" w:space="0"/>
              <w:right w:val="single" w:color="auto" w:sz="4" w:space="0"/>
            </w:tcBorders>
            <w:noWrap w:val="0"/>
            <w:vAlign w:val="top"/>
          </w:tcPr>
          <w:p w14:paraId="1CFF4E27">
            <w:pPr>
              <w:spacing w:before="156" w:beforeLines="50" w:line="360" w:lineRule="auto"/>
              <w:jc w:val="center"/>
              <w:rPr>
                <w:rFonts w:hint="eastAsia" w:ascii="仿宋" w:hAnsi="仿宋" w:eastAsia="仿宋" w:cs="仿宋"/>
                <w:color w:val="auto"/>
                <w:szCs w:val="24"/>
                <w:highlight w:val="none"/>
              </w:rPr>
            </w:pPr>
          </w:p>
        </w:tc>
        <w:tc>
          <w:tcPr>
            <w:tcW w:w="1050" w:type="dxa"/>
            <w:tcBorders>
              <w:left w:val="single" w:color="auto" w:sz="4" w:space="0"/>
            </w:tcBorders>
            <w:noWrap w:val="0"/>
            <w:vAlign w:val="top"/>
          </w:tcPr>
          <w:p w14:paraId="1124E2F8">
            <w:pPr>
              <w:spacing w:before="156" w:beforeLines="50" w:line="360" w:lineRule="auto"/>
              <w:jc w:val="center"/>
              <w:rPr>
                <w:rFonts w:hint="eastAsia" w:ascii="仿宋" w:hAnsi="仿宋" w:eastAsia="仿宋" w:cs="仿宋"/>
                <w:color w:val="auto"/>
                <w:szCs w:val="24"/>
                <w:highlight w:val="none"/>
              </w:rPr>
            </w:pPr>
          </w:p>
        </w:tc>
        <w:tc>
          <w:tcPr>
            <w:tcW w:w="1215" w:type="dxa"/>
            <w:tcBorders>
              <w:right w:val="single" w:color="auto" w:sz="4" w:space="0"/>
            </w:tcBorders>
            <w:noWrap w:val="0"/>
            <w:vAlign w:val="top"/>
          </w:tcPr>
          <w:p w14:paraId="447497AC">
            <w:pPr>
              <w:spacing w:before="156" w:beforeLines="50" w:line="360" w:lineRule="auto"/>
              <w:jc w:val="center"/>
              <w:rPr>
                <w:rFonts w:hint="eastAsia" w:ascii="仿宋" w:hAnsi="仿宋" w:eastAsia="仿宋" w:cs="仿宋"/>
                <w:color w:val="auto"/>
                <w:szCs w:val="24"/>
                <w:highlight w:val="none"/>
              </w:rPr>
            </w:pPr>
          </w:p>
        </w:tc>
        <w:tc>
          <w:tcPr>
            <w:tcW w:w="903" w:type="dxa"/>
            <w:tcBorders>
              <w:right w:val="single" w:color="auto" w:sz="4" w:space="0"/>
            </w:tcBorders>
            <w:noWrap w:val="0"/>
            <w:vAlign w:val="top"/>
          </w:tcPr>
          <w:p w14:paraId="33D5C459">
            <w:pPr>
              <w:spacing w:before="156" w:beforeLines="50" w:line="360" w:lineRule="auto"/>
              <w:jc w:val="center"/>
              <w:rPr>
                <w:rFonts w:hint="eastAsia" w:ascii="仿宋" w:hAnsi="仿宋" w:eastAsia="仿宋" w:cs="仿宋"/>
                <w:color w:val="auto"/>
                <w:szCs w:val="24"/>
                <w:highlight w:val="none"/>
              </w:rPr>
            </w:pPr>
          </w:p>
        </w:tc>
      </w:tr>
      <w:tr w14:paraId="256988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top"/>
          </w:tcPr>
          <w:p w14:paraId="12688C98">
            <w:pPr>
              <w:spacing w:before="156" w:beforeLines="50" w:line="360" w:lineRule="auto"/>
              <w:jc w:val="center"/>
              <w:rPr>
                <w:rFonts w:hint="eastAsia" w:ascii="仿宋" w:hAnsi="仿宋" w:eastAsia="仿宋" w:cs="仿宋"/>
                <w:color w:val="auto"/>
                <w:szCs w:val="24"/>
                <w:highlight w:val="none"/>
              </w:rPr>
            </w:pPr>
          </w:p>
        </w:tc>
        <w:tc>
          <w:tcPr>
            <w:tcW w:w="960" w:type="dxa"/>
            <w:noWrap w:val="0"/>
            <w:vAlign w:val="top"/>
          </w:tcPr>
          <w:p w14:paraId="0EB31FD2">
            <w:pPr>
              <w:spacing w:before="156" w:beforeLines="50" w:line="360" w:lineRule="auto"/>
              <w:jc w:val="center"/>
              <w:rPr>
                <w:rFonts w:hint="eastAsia" w:ascii="仿宋" w:hAnsi="仿宋" w:eastAsia="仿宋" w:cs="仿宋"/>
                <w:color w:val="auto"/>
                <w:szCs w:val="24"/>
                <w:highlight w:val="none"/>
              </w:rPr>
            </w:pPr>
          </w:p>
        </w:tc>
        <w:tc>
          <w:tcPr>
            <w:tcW w:w="1485" w:type="dxa"/>
            <w:tcBorders>
              <w:right w:val="single" w:color="auto" w:sz="4" w:space="0"/>
            </w:tcBorders>
            <w:noWrap w:val="0"/>
            <w:vAlign w:val="top"/>
          </w:tcPr>
          <w:p w14:paraId="3B519077">
            <w:pPr>
              <w:spacing w:before="156" w:beforeLines="50" w:line="360" w:lineRule="auto"/>
              <w:jc w:val="center"/>
              <w:rPr>
                <w:rFonts w:hint="eastAsia" w:ascii="仿宋" w:hAnsi="仿宋" w:eastAsia="仿宋" w:cs="仿宋"/>
                <w:color w:val="auto"/>
                <w:szCs w:val="24"/>
                <w:highlight w:val="none"/>
              </w:rPr>
            </w:pPr>
          </w:p>
        </w:tc>
        <w:tc>
          <w:tcPr>
            <w:tcW w:w="1695" w:type="dxa"/>
            <w:tcBorders>
              <w:left w:val="single" w:color="auto" w:sz="4" w:space="0"/>
            </w:tcBorders>
            <w:noWrap w:val="0"/>
            <w:vAlign w:val="top"/>
          </w:tcPr>
          <w:p w14:paraId="00B44333">
            <w:pPr>
              <w:spacing w:before="156" w:beforeLines="50" w:line="360" w:lineRule="auto"/>
              <w:jc w:val="center"/>
              <w:rPr>
                <w:rFonts w:hint="eastAsia" w:ascii="仿宋" w:hAnsi="仿宋" w:eastAsia="仿宋" w:cs="仿宋"/>
                <w:color w:val="auto"/>
                <w:szCs w:val="24"/>
                <w:highlight w:val="none"/>
              </w:rPr>
            </w:pPr>
          </w:p>
        </w:tc>
        <w:tc>
          <w:tcPr>
            <w:tcW w:w="825" w:type="dxa"/>
            <w:tcBorders>
              <w:right w:val="single" w:color="auto" w:sz="4" w:space="0"/>
            </w:tcBorders>
            <w:noWrap w:val="0"/>
            <w:vAlign w:val="top"/>
          </w:tcPr>
          <w:p w14:paraId="745DED1A">
            <w:pPr>
              <w:spacing w:before="156" w:beforeLines="50" w:line="360" w:lineRule="auto"/>
              <w:jc w:val="center"/>
              <w:rPr>
                <w:rFonts w:hint="eastAsia" w:ascii="仿宋" w:hAnsi="仿宋" w:eastAsia="仿宋" w:cs="仿宋"/>
                <w:color w:val="auto"/>
                <w:szCs w:val="24"/>
                <w:highlight w:val="none"/>
              </w:rPr>
            </w:pPr>
          </w:p>
        </w:tc>
        <w:tc>
          <w:tcPr>
            <w:tcW w:w="735" w:type="dxa"/>
            <w:tcBorders>
              <w:left w:val="single" w:color="auto" w:sz="4" w:space="0"/>
              <w:right w:val="single" w:color="auto" w:sz="4" w:space="0"/>
            </w:tcBorders>
            <w:noWrap w:val="0"/>
            <w:vAlign w:val="top"/>
          </w:tcPr>
          <w:p w14:paraId="130FBD35">
            <w:pPr>
              <w:spacing w:before="156" w:beforeLines="50" w:line="360" w:lineRule="auto"/>
              <w:jc w:val="center"/>
              <w:rPr>
                <w:rFonts w:hint="eastAsia" w:ascii="仿宋" w:hAnsi="仿宋" w:eastAsia="仿宋" w:cs="仿宋"/>
                <w:color w:val="auto"/>
                <w:szCs w:val="24"/>
                <w:highlight w:val="none"/>
              </w:rPr>
            </w:pPr>
          </w:p>
        </w:tc>
        <w:tc>
          <w:tcPr>
            <w:tcW w:w="1050" w:type="dxa"/>
            <w:tcBorders>
              <w:left w:val="single" w:color="auto" w:sz="4" w:space="0"/>
            </w:tcBorders>
            <w:noWrap w:val="0"/>
            <w:vAlign w:val="top"/>
          </w:tcPr>
          <w:p w14:paraId="290BAAF8">
            <w:pPr>
              <w:spacing w:before="156" w:beforeLines="50" w:line="360" w:lineRule="auto"/>
              <w:jc w:val="center"/>
              <w:rPr>
                <w:rFonts w:hint="eastAsia" w:ascii="仿宋" w:hAnsi="仿宋" w:eastAsia="仿宋" w:cs="仿宋"/>
                <w:color w:val="auto"/>
                <w:szCs w:val="24"/>
                <w:highlight w:val="none"/>
              </w:rPr>
            </w:pPr>
          </w:p>
        </w:tc>
        <w:tc>
          <w:tcPr>
            <w:tcW w:w="1215" w:type="dxa"/>
            <w:tcBorders>
              <w:right w:val="single" w:color="auto" w:sz="4" w:space="0"/>
            </w:tcBorders>
            <w:noWrap w:val="0"/>
            <w:vAlign w:val="top"/>
          </w:tcPr>
          <w:p w14:paraId="5B0E8A5E">
            <w:pPr>
              <w:spacing w:before="156" w:beforeLines="50" w:line="360" w:lineRule="auto"/>
              <w:jc w:val="center"/>
              <w:rPr>
                <w:rFonts w:hint="eastAsia" w:ascii="仿宋" w:hAnsi="仿宋" w:eastAsia="仿宋" w:cs="仿宋"/>
                <w:color w:val="auto"/>
                <w:szCs w:val="24"/>
                <w:highlight w:val="none"/>
              </w:rPr>
            </w:pPr>
          </w:p>
        </w:tc>
        <w:tc>
          <w:tcPr>
            <w:tcW w:w="903" w:type="dxa"/>
            <w:tcBorders>
              <w:right w:val="single" w:color="auto" w:sz="4" w:space="0"/>
            </w:tcBorders>
            <w:noWrap w:val="0"/>
            <w:vAlign w:val="top"/>
          </w:tcPr>
          <w:p w14:paraId="5901E817">
            <w:pPr>
              <w:spacing w:before="156" w:beforeLines="50" w:line="360" w:lineRule="auto"/>
              <w:jc w:val="center"/>
              <w:rPr>
                <w:rFonts w:hint="eastAsia" w:ascii="仿宋" w:hAnsi="仿宋" w:eastAsia="仿宋" w:cs="仿宋"/>
                <w:color w:val="auto"/>
                <w:szCs w:val="24"/>
                <w:highlight w:val="none"/>
              </w:rPr>
            </w:pPr>
          </w:p>
        </w:tc>
      </w:tr>
      <w:tr w14:paraId="0704EF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top"/>
          </w:tcPr>
          <w:p w14:paraId="7B19B28C">
            <w:pPr>
              <w:spacing w:before="156" w:beforeLines="50" w:line="360" w:lineRule="auto"/>
              <w:jc w:val="center"/>
              <w:rPr>
                <w:rFonts w:hint="eastAsia" w:ascii="仿宋" w:hAnsi="仿宋" w:eastAsia="仿宋" w:cs="仿宋"/>
                <w:color w:val="auto"/>
                <w:szCs w:val="24"/>
                <w:highlight w:val="none"/>
              </w:rPr>
            </w:pPr>
          </w:p>
        </w:tc>
        <w:tc>
          <w:tcPr>
            <w:tcW w:w="960" w:type="dxa"/>
            <w:noWrap w:val="0"/>
            <w:vAlign w:val="top"/>
          </w:tcPr>
          <w:p w14:paraId="59940CA7">
            <w:pPr>
              <w:spacing w:before="156" w:beforeLines="50" w:line="360" w:lineRule="auto"/>
              <w:jc w:val="center"/>
              <w:rPr>
                <w:rFonts w:hint="eastAsia" w:ascii="仿宋" w:hAnsi="仿宋" w:eastAsia="仿宋" w:cs="仿宋"/>
                <w:color w:val="auto"/>
                <w:szCs w:val="24"/>
                <w:highlight w:val="none"/>
              </w:rPr>
            </w:pPr>
          </w:p>
        </w:tc>
        <w:tc>
          <w:tcPr>
            <w:tcW w:w="1485" w:type="dxa"/>
            <w:tcBorders>
              <w:right w:val="single" w:color="auto" w:sz="4" w:space="0"/>
            </w:tcBorders>
            <w:noWrap w:val="0"/>
            <w:vAlign w:val="top"/>
          </w:tcPr>
          <w:p w14:paraId="2DDB6D26">
            <w:pPr>
              <w:spacing w:before="156" w:beforeLines="50" w:line="360" w:lineRule="auto"/>
              <w:jc w:val="center"/>
              <w:rPr>
                <w:rFonts w:hint="eastAsia" w:ascii="仿宋" w:hAnsi="仿宋" w:eastAsia="仿宋" w:cs="仿宋"/>
                <w:color w:val="auto"/>
                <w:szCs w:val="24"/>
                <w:highlight w:val="none"/>
              </w:rPr>
            </w:pPr>
          </w:p>
        </w:tc>
        <w:tc>
          <w:tcPr>
            <w:tcW w:w="1695" w:type="dxa"/>
            <w:tcBorders>
              <w:left w:val="single" w:color="auto" w:sz="4" w:space="0"/>
            </w:tcBorders>
            <w:noWrap w:val="0"/>
            <w:vAlign w:val="top"/>
          </w:tcPr>
          <w:p w14:paraId="01C0F20B">
            <w:pPr>
              <w:spacing w:before="156" w:beforeLines="50" w:line="360" w:lineRule="auto"/>
              <w:jc w:val="center"/>
              <w:rPr>
                <w:rFonts w:hint="eastAsia" w:ascii="仿宋" w:hAnsi="仿宋" w:eastAsia="仿宋" w:cs="仿宋"/>
                <w:color w:val="auto"/>
                <w:szCs w:val="24"/>
                <w:highlight w:val="none"/>
              </w:rPr>
            </w:pPr>
          </w:p>
        </w:tc>
        <w:tc>
          <w:tcPr>
            <w:tcW w:w="825" w:type="dxa"/>
            <w:tcBorders>
              <w:right w:val="single" w:color="auto" w:sz="4" w:space="0"/>
            </w:tcBorders>
            <w:noWrap w:val="0"/>
            <w:vAlign w:val="top"/>
          </w:tcPr>
          <w:p w14:paraId="10BBF34B">
            <w:pPr>
              <w:spacing w:before="156" w:beforeLines="50" w:line="360" w:lineRule="auto"/>
              <w:jc w:val="center"/>
              <w:rPr>
                <w:rFonts w:hint="eastAsia" w:ascii="仿宋" w:hAnsi="仿宋" w:eastAsia="仿宋" w:cs="仿宋"/>
                <w:color w:val="auto"/>
                <w:szCs w:val="24"/>
                <w:highlight w:val="none"/>
              </w:rPr>
            </w:pPr>
          </w:p>
        </w:tc>
        <w:tc>
          <w:tcPr>
            <w:tcW w:w="735" w:type="dxa"/>
            <w:tcBorders>
              <w:left w:val="single" w:color="auto" w:sz="4" w:space="0"/>
              <w:right w:val="single" w:color="auto" w:sz="4" w:space="0"/>
            </w:tcBorders>
            <w:noWrap w:val="0"/>
            <w:vAlign w:val="top"/>
          </w:tcPr>
          <w:p w14:paraId="7BB1F169">
            <w:pPr>
              <w:spacing w:before="156" w:beforeLines="50" w:line="360" w:lineRule="auto"/>
              <w:jc w:val="center"/>
              <w:rPr>
                <w:rFonts w:hint="eastAsia" w:ascii="仿宋" w:hAnsi="仿宋" w:eastAsia="仿宋" w:cs="仿宋"/>
                <w:color w:val="auto"/>
                <w:szCs w:val="24"/>
                <w:highlight w:val="none"/>
              </w:rPr>
            </w:pPr>
          </w:p>
        </w:tc>
        <w:tc>
          <w:tcPr>
            <w:tcW w:w="1050" w:type="dxa"/>
            <w:tcBorders>
              <w:left w:val="single" w:color="auto" w:sz="4" w:space="0"/>
            </w:tcBorders>
            <w:noWrap w:val="0"/>
            <w:vAlign w:val="top"/>
          </w:tcPr>
          <w:p w14:paraId="78314155">
            <w:pPr>
              <w:spacing w:before="156" w:beforeLines="50" w:line="360" w:lineRule="auto"/>
              <w:jc w:val="center"/>
              <w:rPr>
                <w:rFonts w:hint="eastAsia" w:ascii="仿宋" w:hAnsi="仿宋" w:eastAsia="仿宋" w:cs="仿宋"/>
                <w:color w:val="auto"/>
                <w:szCs w:val="24"/>
                <w:highlight w:val="none"/>
              </w:rPr>
            </w:pPr>
          </w:p>
        </w:tc>
        <w:tc>
          <w:tcPr>
            <w:tcW w:w="1215" w:type="dxa"/>
            <w:tcBorders>
              <w:right w:val="single" w:color="auto" w:sz="4" w:space="0"/>
            </w:tcBorders>
            <w:noWrap w:val="0"/>
            <w:vAlign w:val="top"/>
          </w:tcPr>
          <w:p w14:paraId="1C162336">
            <w:pPr>
              <w:spacing w:before="156" w:beforeLines="50" w:line="360" w:lineRule="auto"/>
              <w:jc w:val="center"/>
              <w:rPr>
                <w:rFonts w:hint="eastAsia" w:ascii="仿宋" w:hAnsi="仿宋" w:eastAsia="仿宋" w:cs="仿宋"/>
                <w:color w:val="auto"/>
                <w:szCs w:val="24"/>
                <w:highlight w:val="none"/>
              </w:rPr>
            </w:pPr>
          </w:p>
        </w:tc>
        <w:tc>
          <w:tcPr>
            <w:tcW w:w="903" w:type="dxa"/>
            <w:tcBorders>
              <w:right w:val="single" w:color="auto" w:sz="4" w:space="0"/>
            </w:tcBorders>
            <w:noWrap w:val="0"/>
            <w:vAlign w:val="top"/>
          </w:tcPr>
          <w:p w14:paraId="038F9D9C">
            <w:pPr>
              <w:spacing w:before="156" w:beforeLines="50" w:line="360" w:lineRule="auto"/>
              <w:jc w:val="center"/>
              <w:rPr>
                <w:rFonts w:hint="eastAsia" w:ascii="仿宋" w:hAnsi="仿宋" w:eastAsia="仿宋" w:cs="仿宋"/>
                <w:color w:val="auto"/>
                <w:szCs w:val="24"/>
                <w:highlight w:val="none"/>
              </w:rPr>
            </w:pPr>
          </w:p>
        </w:tc>
      </w:tr>
      <w:tr w14:paraId="63FD0F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top"/>
          </w:tcPr>
          <w:p w14:paraId="48FDD906">
            <w:pPr>
              <w:spacing w:before="156" w:beforeLines="50" w:line="360" w:lineRule="auto"/>
              <w:jc w:val="center"/>
              <w:rPr>
                <w:rFonts w:hint="eastAsia" w:ascii="仿宋" w:hAnsi="仿宋" w:eastAsia="仿宋" w:cs="仿宋"/>
                <w:color w:val="auto"/>
                <w:szCs w:val="24"/>
                <w:highlight w:val="none"/>
              </w:rPr>
            </w:pPr>
          </w:p>
        </w:tc>
        <w:tc>
          <w:tcPr>
            <w:tcW w:w="960" w:type="dxa"/>
            <w:noWrap w:val="0"/>
            <w:vAlign w:val="top"/>
          </w:tcPr>
          <w:p w14:paraId="5808BC12">
            <w:pPr>
              <w:spacing w:before="156" w:beforeLines="50" w:line="360" w:lineRule="auto"/>
              <w:jc w:val="center"/>
              <w:rPr>
                <w:rFonts w:hint="eastAsia" w:ascii="仿宋" w:hAnsi="仿宋" w:eastAsia="仿宋" w:cs="仿宋"/>
                <w:color w:val="auto"/>
                <w:szCs w:val="24"/>
                <w:highlight w:val="none"/>
              </w:rPr>
            </w:pPr>
          </w:p>
        </w:tc>
        <w:tc>
          <w:tcPr>
            <w:tcW w:w="1485" w:type="dxa"/>
            <w:tcBorders>
              <w:right w:val="single" w:color="auto" w:sz="4" w:space="0"/>
            </w:tcBorders>
            <w:noWrap w:val="0"/>
            <w:vAlign w:val="top"/>
          </w:tcPr>
          <w:p w14:paraId="25DD194C">
            <w:pPr>
              <w:spacing w:before="156" w:beforeLines="50" w:line="360" w:lineRule="auto"/>
              <w:jc w:val="center"/>
              <w:rPr>
                <w:rFonts w:hint="eastAsia" w:ascii="仿宋" w:hAnsi="仿宋" w:eastAsia="仿宋" w:cs="仿宋"/>
                <w:color w:val="auto"/>
                <w:szCs w:val="24"/>
                <w:highlight w:val="none"/>
              </w:rPr>
            </w:pPr>
          </w:p>
        </w:tc>
        <w:tc>
          <w:tcPr>
            <w:tcW w:w="1695" w:type="dxa"/>
            <w:tcBorders>
              <w:left w:val="single" w:color="auto" w:sz="4" w:space="0"/>
            </w:tcBorders>
            <w:noWrap w:val="0"/>
            <w:vAlign w:val="top"/>
          </w:tcPr>
          <w:p w14:paraId="488F6FE8">
            <w:pPr>
              <w:spacing w:before="156" w:beforeLines="50" w:line="360" w:lineRule="auto"/>
              <w:jc w:val="center"/>
              <w:rPr>
                <w:rFonts w:hint="eastAsia" w:ascii="仿宋" w:hAnsi="仿宋" w:eastAsia="仿宋" w:cs="仿宋"/>
                <w:color w:val="auto"/>
                <w:szCs w:val="24"/>
                <w:highlight w:val="none"/>
              </w:rPr>
            </w:pPr>
          </w:p>
        </w:tc>
        <w:tc>
          <w:tcPr>
            <w:tcW w:w="825" w:type="dxa"/>
            <w:tcBorders>
              <w:right w:val="single" w:color="auto" w:sz="4" w:space="0"/>
            </w:tcBorders>
            <w:noWrap w:val="0"/>
            <w:vAlign w:val="top"/>
          </w:tcPr>
          <w:p w14:paraId="19F1E62E">
            <w:pPr>
              <w:spacing w:before="156" w:beforeLines="50" w:line="360" w:lineRule="auto"/>
              <w:jc w:val="center"/>
              <w:rPr>
                <w:rFonts w:hint="eastAsia" w:ascii="仿宋" w:hAnsi="仿宋" w:eastAsia="仿宋" w:cs="仿宋"/>
                <w:color w:val="auto"/>
                <w:szCs w:val="24"/>
                <w:highlight w:val="none"/>
              </w:rPr>
            </w:pPr>
          </w:p>
        </w:tc>
        <w:tc>
          <w:tcPr>
            <w:tcW w:w="735" w:type="dxa"/>
            <w:tcBorders>
              <w:left w:val="single" w:color="auto" w:sz="4" w:space="0"/>
              <w:right w:val="single" w:color="auto" w:sz="4" w:space="0"/>
            </w:tcBorders>
            <w:noWrap w:val="0"/>
            <w:vAlign w:val="top"/>
          </w:tcPr>
          <w:p w14:paraId="16490CC6">
            <w:pPr>
              <w:spacing w:before="156" w:beforeLines="50" w:line="360" w:lineRule="auto"/>
              <w:jc w:val="center"/>
              <w:rPr>
                <w:rFonts w:hint="eastAsia" w:ascii="仿宋" w:hAnsi="仿宋" w:eastAsia="仿宋" w:cs="仿宋"/>
                <w:color w:val="auto"/>
                <w:szCs w:val="24"/>
                <w:highlight w:val="none"/>
              </w:rPr>
            </w:pPr>
          </w:p>
        </w:tc>
        <w:tc>
          <w:tcPr>
            <w:tcW w:w="1050" w:type="dxa"/>
            <w:tcBorders>
              <w:left w:val="single" w:color="auto" w:sz="4" w:space="0"/>
            </w:tcBorders>
            <w:noWrap w:val="0"/>
            <w:vAlign w:val="top"/>
          </w:tcPr>
          <w:p w14:paraId="7DC2359C">
            <w:pPr>
              <w:spacing w:before="156" w:beforeLines="50" w:line="360" w:lineRule="auto"/>
              <w:jc w:val="center"/>
              <w:rPr>
                <w:rFonts w:hint="eastAsia" w:ascii="仿宋" w:hAnsi="仿宋" w:eastAsia="仿宋" w:cs="仿宋"/>
                <w:color w:val="auto"/>
                <w:szCs w:val="24"/>
                <w:highlight w:val="none"/>
              </w:rPr>
            </w:pPr>
          </w:p>
        </w:tc>
        <w:tc>
          <w:tcPr>
            <w:tcW w:w="1215" w:type="dxa"/>
            <w:tcBorders>
              <w:right w:val="single" w:color="auto" w:sz="4" w:space="0"/>
            </w:tcBorders>
            <w:noWrap w:val="0"/>
            <w:vAlign w:val="top"/>
          </w:tcPr>
          <w:p w14:paraId="20AA46CE">
            <w:pPr>
              <w:spacing w:before="156" w:beforeLines="50" w:line="360" w:lineRule="auto"/>
              <w:jc w:val="center"/>
              <w:rPr>
                <w:rFonts w:hint="eastAsia" w:ascii="仿宋" w:hAnsi="仿宋" w:eastAsia="仿宋" w:cs="仿宋"/>
                <w:color w:val="auto"/>
                <w:szCs w:val="24"/>
                <w:highlight w:val="none"/>
              </w:rPr>
            </w:pPr>
          </w:p>
        </w:tc>
        <w:tc>
          <w:tcPr>
            <w:tcW w:w="903" w:type="dxa"/>
            <w:tcBorders>
              <w:right w:val="single" w:color="auto" w:sz="4" w:space="0"/>
            </w:tcBorders>
            <w:noWrap w:val="0"/>
            <w:vAlign w:val="top"/>
          </w:tcPr>
          <w:p w14:paraId="647071F8">
            <w:pPr>
              <w:spacing w:before="156" w:beforeLines="50" w:line="360" w:lineRule="auto"/>
              <w:jc w:val="center"/>
              <w:rPr>
                <w:rFonts w:hint="eastAsia" w:ascii="仿宋" w:hAnsi="仿宋" w:eastAsia="仿宋" w:cs="仿宋"/>
                <w:color w:val="auto"/>
                <w:szCs w:val="24"/>
                <w:highlight w:val="none"/>
              </w:rPr>
            </w:pPr>
          </w:p>
        </w:tc>
      </w:tr>
    </w:tbl>
    <w:p w14:paraId="2CC8FB4C">
      <w:pPr>
        <w:spacing w:line="520" w:lineRule="exact"/>
        <w:rPr>
          <w:rFonts w:hint="eastAsia" w:ascii="仿宋" w:hAnsi="仿宋" w:eastAsia="仿宋" w:cs="仿宋"/>
          <w:color w:val="auto"/>
          <w:szCs w:val="24"/>
          <w:highlight w:val="none"/>
        </w:rPr>
      </w:pPr>
      <w:r>
        <w:rPr>
          <w:rFonts w:hint="eastAsia" w:ascii="仿宋" w:hAnsi="仿宋" w:eastAsia="仿宋" w:cs="仿宋"/>
          <w:b/>
          <w:color w:val="auto"/>
          <w:szCs w:val="24"/>
          <w:highlight w:val="none"/>
        </w:rPr>
        <w:t xml:space="preserve">八、运输、安装、调试要求 </w:t>
      </w:r>
    </w:p>
    <w:p w14:paraId="0BE281C5">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1、供应商根据产品特性，自行选择运输及包装方式，承担一切运输费用，包括从生产厂到采购人指定交货地点所需的装卸、运输（含保险费）及其他一切费用。</w:t>
      </w:r>
    </w:p>
    <w:p w14:paraId="7C3A484C">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2、由供应商安装、调试及试运行的进度计划表。</w:t>
      </w:r>
    </w:p>
    <w:p w14:paraId="258968A9">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供应商应在合同规定的安装调试期内完成该项工作。如因供应商责任而造成延期，每超过一天按合同总价款的（1‰）支付采购人误期赔偿金，直至交货或提供服务结束为止，所有因延期而产生的费用由供应商承担。</w:t>
      </w:r>
    </w:p>
    <w:p w14:paraId="6D51576A">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4、安装和调试期间所发生的费用均由供应商负责。</w:t>
      </w:r>
    </w:p>
    <w:p w14:paraId="63BCC43E">
      <w:pPr>
        <w:spacing w:line="52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5、供应商应对安装调试、整改等实施过程的安全负责，如发生人身伤亡、财产损失的由供应商负责解决并承担全部责任。</w:t>
      </w:r>
    </w:p>
    <w:p w14:paraId="19B20DF3">
      <w:pPr>
        <w:spacing w:line="520" w:lineRule="exact"/>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九、技术支持</w:t>
      </w:r>
    </w:p>
    <w:p w14:paraId="11076719">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提供质保期内全年7×24小时的技术咨询服务。供应商怠于或无法提供技术支持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w:t>
      </w:r>
    </w:p>
    <w:p w14:paraId="6838C494">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2、供应商在项目实施过程中，质量保障人员、资源不足或者执行不力，给项目质量带来的风险超出采购人认定的允许范围时，采购人可终止本项目的合作并进行索赔。</w:t>
      </w:r>
    </w:p>
    <w:p w14:paraId="4EDD96A9">
      <w:pPr>
        <w:numPr>
          <w:ilvl w:val="0"/>
          <w:numId w:val="2"/>
        </w:numPr>
        <w:spacing w:line="520" w:lineRule="exact"/>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技术培训</w:t>
      </w:r>
    </w:p>
    <w:p w14:paraId="033F2491">
      <w:pPr>
        <w:pStyle w:val="5"/>
        <w:spacing w:line="360" w:lineRule="auto"/>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应包括产品使用操作、保养、维修等培训内容。供应商需按采购人要求的时间为采购人免费培训技术人员若干名，培训服务以受培训人员熟练掌握相应技能为原则。在产品投入使用初期进行必要的跟踪指导，保障产品的稳定运行。投标产品需在培训基地培训的，供应商应按要求履行，培训产生的交通费、食宿费、培训费等均由供应商承担。</w:t>
      </w:r>
    </w:p>
    <w:p w14:paraId="70C03877">
      <w:pPr>
        <w:numPr>
          <w:ilvl w:val="0"/>
          <w:numId w:val="2"/>
        </w:numPr>
        <w:spacing w:line="520" w:lineRule="exact"/>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技术资料要求</w:t>
      </w:r>
    </w:p>
    <w:p w14:paraId="637B16B5">
      <w:pPr>
        <w:pStyle w:val="6"/>
        <w:spacing w:line="360" w:lineRule="auto"/>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供应商应向采购人提供全套中文技术资料一套，其费用包括在投标价格中：</w:t>
      </w:r>
    </w:p>
    <w:p w14:paraId="523AC67E">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1、完整的产品操作使用手册、说明书和维护、修理技术文件，图纸（线路图、原理图等）、保修卡等；</w:t>
      </w:r>
    </w:p>
    <w:p w14:paraId="6D74E654">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2、制造厂的检验、测试报告、产品检验合格证书，质量保证书等文件验收时须一并提供；</w:t>
      </w:r>
    </w:p>
    <w:p w14:paraId="1B5235F5">
      <w:pPr>
        <w:pStyle w:val="4"/>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3、产品验收标准；</w:t>
      </w:r>
    </w:p>
    <w:p w14:paraId="67977EF1">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4、技术说明书及必须的其它技术资料；</w:t>
      </w:r>
    </w:p>
    <w:p w14:paraId="3A5E249B">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5、产品安装，调试、维修线路图及原理图；</w:t>
      </w:r>
    </w:p>
    <w:p w14:paraId="563F7A36">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6、零部件目录；</w:t>
      </w:r>
    </w:p>
    <w:p w14:paraId="52517EA9">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7、备品备件、易损件清单；</w:t>
      </w:r>
    </w:p>
    <w:p w14:paraId="00B617F8">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8、整体验收后提供验收报告；</w:t>
      </w:r>
    </w:p>
    <w:p w14:paraId="262AD140">
      <w:pPr>
        <w:pStyle w:val="5"/>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9、合同中要求的其他文件资料。</w:t>
      </w:r>
    </w:p>
    <w:p w14:paraId="782149DE">
      <w:pPr>
        <w:numPr>
          <w:ilvl w:val="0"/>
          <w:numId w:val="2"/>
        </w:numPr>
        <w:spacing w:line="520" w:lineRule="exact"/>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质量保证</w:t>
      </w:r>
    </w:p>
    <w:p w14:paraId="7527E71C">
      <w:pPr>
        <w:spacing w:line="52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供应商提供的产品及材料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w:t>
      </w:r>
    </w:p>
    <w:p w14:paraId="44423B5E">
      <w:pPr>
        <w:spacing w:line="52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2、供应商应保证所有产品的完好无损包括配套设施，如有缺漏、损坏，由供应商负责调换、补齐或赔偿。</w:t>
      </w:r>
    </w:p>
    <w:p w14:paraId="60ECBF38">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3、采购人使用产品过程中因产品质量、产品缺陷及安装质量等造成人身伤亡、财产损失的，由供应商负责解决并承担全部责任。</w:t>
      </w:r>
    </w:p>
    <w:p w14:paraId="5873BCDA">
      <w:pPr>
        <w:tabs>
          <w:tab w:val="left" w:pos="1080"/>
        </w:tabs>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4、供应商应提供可承担维修职能的公司、全资分公司或办事处，并驻守多名维护技术人员，并提供地点、联系人（常驻工程师）及联系电话（服务热线），随时解答各种疑问（需提供相关证明材料）。</w:t>
      </w:r>
    </w:p>
    <w:p w14:paraId="5918234F">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服务方式:现场服务，质保期内维修费用含在合同总价中（中标价格），提供终身维修（护）。在质量保证期内发生重大故障，维修工程师抵达现场时间≤8小时。产品实行“三包”，并承担由此产生的包装、运输等的一切费用。</w:t>
      </w:r>
    </w:p>
    <w:p w14:paraId="68FD1458">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质保期内:对用户的维护维修要求保证在2小时内做出维修响应。接到用户维修要求后，售后服务技术人员8小时内到达现场，但不可抗力因素（自然及环境因素）除外。在设备投入运行后，持续保证现场技术服务，在</w:t>
      </w:r>
      <w:r>
        <w:rPr>
          <w:rFonts w:hint="eastAsia" w:ascii="仿宋" w:hAnsi="仿宋" w:eastAsia="仿宋" w:cs="仿宋"/>
          <w:color w:val="auto"/>
          <w:szCs w:val="24"/>
          <w:highlight w:val="none"/>
          <w:lang w:val="en-US" w:eastAsia="zh-CN"/>
        </w:rPr>
        <w:t>设备</w:t>
      </w:r>
      <w:r>
        <w:rPr>
          <w:rFonts w:hint="eastAsia" w:ascii="仿宋" w:hAnsi="仿宋" w:eastAsia="仿宋" w:cs="仿宋"/>
          <w:color w:val="auto"/>
          <w:szCs w:val="24"/>
          <w:highlight w:val="none"/>
        </w:rPr>
        <w:t>发生事故时，将积极采取一切积极手段和必要措施进行恢复，并向用户及时提供书面的事故原因分析和处理措施报告。</w:t>
      </w:r>
    </w:p>
    <w:p w14:paraId="1925F8B1">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质保期外：设备仪器发生故障，乙方维修工程师要在2小时内给予答复，24小时内到达用户所在地进行维修，仅收取基本材料费。用户需要对</w:t>
      </w:r>
      <w:r>
        <w:rPr>
          <w:rFonts w:hint="eastAsia" w:ascii="仿宋" w:hAnsi="仿宋" w:eastAsia="仿宋" w:cs="仿宋"/>
          <w:color w:val="auto"/>
          <w:szCs w:val="24"/>
          <w:highlight w:val="none"/>
          <w:lang w:val="en-US" w:eastAsia="zh-CN"/>
        </w:rPr>
        <w:t>设备</w:t>
      </w:r>
      <w:r>
        <w:rPr>
          <w:rFonts w:hint="eastAsia" w:ascii="仿宋" w:hAnsi="仿宋" w:eastAsia="仿宋" w:cs="仿宋"/>
          <w:color w:val="auto"/>
          <w:szCs w:val="24"/>
          <w:highlight w:val="none"/>
        </w:rPr>
        <w:t>进行扩展或增加时，应以最优惠的价格提供。</w:t>
      </w:r>
    </w:p>
    <w:p w14:paraId="0E42E7B3">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7、对于存在质量问题或者短少的产品，供应商应在接到采购人的通知2个日历日内负责修复，调换、重新制作或补齐。</w:t>
      </w:r>
    </w:p>
    <w:p w14:paraId="69CC8E1C">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8、在最终验收后的质量保证期内，供应商应对设计、工艺或材料等的缺陷而产生的故障负责（负责解决并承担全部费用）。质保期满后如出现此类问题亦应负责。</w:t>
      </w:r>
    </w:p>
    <w:p w14:paraId="2E2D1B81">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9、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招标文件要求对待。</w:t>
      </w:r>
    </w:p>
    <w:p w14:paraId="789254D1">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10、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w:t>
      </w:r>
    </w:p>
    <w:p w14:paraId="76A55002">
      <w:pPr>
        <w:numPr>
          <w:ilvl w:val="0"/>
          <w:numId w:val="2"/>
        </w:numPr>
        <w:spacing w:line="520" w:lineRule="exact"/>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验收</w:t>
      </w:r>
    </w:p>
    <w:p w14:paraId="5A8C1DAD">
      <w:pPr>
        <w:spacing w:line="360" w:lineRule="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由采购人对项目进行整体验收，供应商协助配合。其内容包括确认产品的产地、规格、型号和数量，对其产品技术指标、性能参数、样式、颜色、以及质量是否达到现行国家有关验收规范“合格”标准、是否按照采购人要求安装到位、是否按照采购人要求进行调试和提供相关培训、是否在规定时间内安装完毕、所有产品的配套包装是否完好无损等进行逐项检查。</w:t>
      </w:r>
    </w:p>
    <w:p w14:paraId="0334E5BF">
      <w:pPr>
        <w:spacing w:line="52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所验产品的指标、性能参数最终验收达不到招标文件要求和投标文件承诺的，或在使用中发现采购人不能容忍的缺陷等，将视为产品验收不合格，供应商应在采购人要求的时间内无条件免费更换或退货。</w:t>
      </w:r>
    </w:p>
    <w:p w14:paraId="0E044DE0">
      <w:pPr>
        <w:spacing w:line="520" w:lineRule="exact"/>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十四、保密</w:t>
      </w:r>
    </w:p>
    <w:p w14:paraId="710E0B99">
      <w:pPr>
        <w:tabs>
          <w:tab w:val="left" w:pos="1080"/>
        </w:tabs>
        <w:spacing w:line="520" w:lineRule="exact"/>
        <w:ind w:firstLine="525" w:firstLineChars="250"/>
        <w:rPr>
          <w:rFonts w:hint="eastAsia" w:ascii="仿宋" w:hAnsi="仿宋" w:eastAsia="仿宋" w:cs="仿宋"/>
          <w:color w:val="auto"/>
          <w:szCs w:val="24"/>
          <w:highlight w:val="none"/>
        </w:rPr>
      </w:pPr>
      <w:r>
        <w:rPr>
          <w:rFonts w:hint="eastAsia" w:ascii="仿宋" w:hAnsi="仿宋" w:eastAsia="仿宋" w:cs="仿宋"/>
          <w:color w:val="auto"/>
          <w:szCs w:val="24"/>
          <w:highlight w:val="none"/>
        </w:rPr>
        <w:t>对工作中了解到的采购人的技术、机密等进行严格保密，不得向他人泄漏。本合同的解除或终止不免除供应商应承担的保密义务。</w:t>
      </w:r>
    </w:p>
    <w:p w14:paraId="04113210">
      <w:pPr>
        <w:spacing w:line="520" w:lineRule="exact"/>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十五、知识产权</w:t>
      </w:r>
    </w:p>
    <w:p w14:paraId="6742A7B8">
      <w:pPr>
        <w:spacing w:line="52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47410DB4">
      <w:pPr>
        <w:spacing w:line="520" w:lineRule="exact"/>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十六、合同争议的解决</w:t>
      </w:r>
    </w:p>
    <w:p w14:paraId="5E8DD21D">
      <w:pPr>
        <w:spacing w:line="52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合同执行中发生争议的，当事人双方应协商解决。协商达不成一致时，可向当地行政仲裁机关申请仲裁或者向人民法院提请诉讼。</w:t>
      </w:r>
    </w:p>
    <w:p w14:paraId="2793125C">
      <w:pPr>
        <w:numPr>
          <w:ilvl w:val="0"/>
          <w:numId w:val="3"/>
        </w:numPr>
        <w:spacing w:line="520" w:lineRule="exact"/>
        <w:jc w:val="left"/>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不可抗力情况下的免责约定</w:t>
      </w:r>
    </w:p>
    <w:p w14:paraId="05F1DD65">
      <w:pPr>
        <w:spacing w:line="520" w:lineRule="exact"/>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双方约定不可抗力情况指：双方不可预见、不可避免、不可克服的客观情况，但不包括双方的违约或疏忽。这些事件包括但不限于：战争、严重火灾、洪水、台风、地震等。</w:t>
      </w:r>
    </w:p>
    <w:p w14:paraId="46E06970">
      <w:pPr>
        <w:numPr>
          <w:ilvl w:val="0"/>
          <w:numId w:val="3"/>
        </w:numPr>
        <w:spacing w:line="520" w:lineRule="exact"/>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违约责任</w:t>
      </w:r>
    </w:p>
    <w:p w14:paraId="5FE991ED">
      <w:pPr>
        <w:spacing w:line="52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依据《中华人民共和国民法典》、《中华人民共和国政府采购法》、《中华人民共和国政府采购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w:t>
      </w:r>
    </w:p>
    <w:p w14:paraId="7EB6D3F4">
      <w:pPr>
        <w:keepNext w:val="0"/>
        <w:keepLines w:val="0"/>
        <w:pageBreakBefore w:val="0"/>
        <w:tabs>
          <w:tab w:val="left" w:pos="840"/>
        </w:tabs>
        <w:kinsoku/>
        <w:wordWrap/>
        <w:overflowPunct/>
        <w:topLinePunct w:val="0"/>
        <w:autoSpaceDE/>
        <w:autoSpaceDN/>
        <w:bidi w:val="0"/>
        <w:adjustRightInd/>
        <w:snapToGrid/>
        <w:spacing w:line="360" w:lineRule="auto"/>
        <w:textAlignment w:val="auto"/>
        <w:rPr>
          <w:rFonts w:hint="default" w:ascii="仿宋" w:hAnsi="仿宋" w:eastAsia="仿宋" w:cs="仿宋"/>
          <w:b/>
          <w:color w:val="auto"/>
          <w:sz w:val="24"/>
          <w:highlight w:val="none"/>
          <w:lang w:val="en-US" w:eastAsia="zh-CN"/>
        </w:rPr>
      </w:pPr>
      <w:r>
        <w:rPr>
          <w:rFonts w:hint="eastAsia" w:ascii="仿宋" w:hAnsi="仿宋" w:eastAsia="仿宋" w:cs="仿宋"/>
          <w:b/>
          <w:color w:val="auto"/>
          <w:szCs w:val="24"/>
          <w:highlight w:val="none"/>
        </w:rPr>
        <w:t>十九、</w:t>
      </w:r>
      <w:r>
        <w:rPr>
          <w:rFonts w:hint="eastAsia" w:ascii="仿宋" w:hAnsi="仿宋" w:eastAsia="仿宋" w:cs="仿宋"/>
          <w:b/>
          <w:color w:val="auto"/>
          <w:sz w:val="24"/>
          <w:highlight w:val="none"/>
          <w:lang w:val="en-US" w:eastAsia="zh-CN"/>
        </w:rPr>
        <w:t>甲方权利与义务</w:t>
      </w:r>
    </w:p>
    <w:p w14:paraId="56332F37">
      <w:pPr>
        <w:keepNext w:val="0"/>
        <w:keepLines w:val="0"/>
        <w:pageBreakBefore w:val="0"/>
        <w:tabs>
          <w:tab w:val="left" w:pos="84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1、甲方权利</w:t>
      </w:r>
    </w:p>
    <w:p w14:paraId="45139D01">
      <w:pPr>
        <w:keepNext w:val="0"/>
        <w:keepLines w:val="0"/>
        <w:pageBreakBefore w:val="0"/>
        <w:tabs>
          <w:tab w:val="left" w:pos="840"/>
        </w:tabs>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1.1、</w:t>
      </w:r>
      <w:r>
        <w:rPr>
          <w:rFonts w:hint="eastAsia" w:ascii="仿宋" w:hAnsi="仿宋" w:eastAsia="仿宋" w:cs="仿宋"/>
          <w:color w:val="auto"/>
          <w:sz w:val="24"/>
          <w:highlight w:val="none"/>
        </w:rPr>
        <w:t>有权要求乙方按照本合同约定、</w:t>
      </w:r>
      <w:r>
        <w:rPr>
          <w:rFonts w:hint="eastAsia" w:ascii="仿宋" w:hAnsi="仿宋" w:eastAsia="仿宋" w:cs="仿宋"/>
          <w:color w:val="auto"/>
          <w:sz w:val="24"/>
          <w:highlight w:val="none"/>
          <w:lang w:val="en-US" w:eastAsia="zh-CN"/>
        </w:rPr>
        <w:t>谈判</w:t>
      </w:r>
      <w:r>
        <w:rPr>
          <w:rFonts w:hint="eastAsia" w:ascii="仿宋" w:hAnsi="仿宋" w:eastAsia="仿宋" w:cs="仿宋"/>
          <w:color w:val="auto"/>
          <w:sz w:val="24"/>
          <w:highlight w:val="none"/>
        </w:rPr>
        <w:t>文件及乙方响应文件的承诺，提供符合国家质量标准、行业规范及合同约定规格、数量、性能的货物，对货物的质量、规格、数量、交付时间及相关服务进行全过程监督、检查和验收。</w:t>
      </w:r>
    </w:p>
    <w:p w14:paraId="6AFF6BF0">
      <w:pPr>
        <w:keepNext w:val="0"/>
        <w:keepLines w:val="0"/>
        <w:pageBreakBefore w:val="0"/>
        <w:tabs>
          <w:tab w:val="left" w:pos="84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1.2、</w:t>
      </w:r>
      <w:r>
        <w:rPr>
          <w:rFonts w:hint="eastAsia" w:ascii="仿宋" w:hAnsi="仿宋" w:eastAsia="仿宋" w:cs="仿宋"/>
          <w:color w:val="auto"/>
          <w:sz w:val="24"/>
          <w:highlight w:val="none"/>
        </w:rPr>
        <w:t>有权对乙方的履约行为进行核查，发现乙方未按合同约定履约（包括但不限于货物质量不达标、交付延迟、服务不到位等）时，有权要求乙方限期整改、更换不合格货物，情节严重的，可依据合同约定追究乙方违约责任，直至解除合同。</w:t>
      </w:r>
    </w:p>
    <w:p w14:paraId="2E150C12">
      <w:pPr>
        <w:keepNext w:val="0"/>
        <w:keepLines w:val="0"/>
        <w:pageBreakBefore w:val="0"/>
        <w:tabs>
          <w:tab w:val="left" w:pos="84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1.3、</w:t>
      </w:r>
      <w:r>
        <w:rPr>
          <w:rFonts w:hint="eastAsia" w:ascii="仿宋" w:hAnsi="仿宋" w:eastAsia="仿宋" w:cs="仿宋"/>
          <w:color w:val="auto"/>
          <w:sz w:val="24"/>
          <w:highlight w:val="none"/>
        </w:rPr>
        <w:t>有权就合同履行过程中出现的疑问、争议，要求乙方作出书面说明和解释，协商解决相关问题。</w:t>
      </w:r>
    </w:p>
    <w:p w14:paraId="757DE7A3">
      <w:pPr>
        <w:keepNext w:val="0"/>
        <w:keepLines w:val="0"/>
        <w:pageBreakBefore w:val="0"/>
        <w:tabs>
          <w:tab w:val="left" w:pos="84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2、甲方义务</w:t>
      </w:r>
    </w:p>
    <w:p w14:paraId="519D1761">
      <w:pPr>
        <w:keepNext w:val="0"/>
        <w:keepLines w:val="0"/>
        <w:pageBreakBefore w:val="0"/>
        <w:tabs>
          <w:tab w:val="left" w:pos="84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2.1、</w:t>
      </w:r>
      <w:r>
        <w:rPr>
          <w:rFonts w:hint="eastAsia" w:ascii="仿宋" w:hAnsi="仿宋" w:eastAsia="仿宋" w:cs="仿宋"/>
          <w:color w:val="auto"/>
          <w:sz w:val="24"/>
          <w:highlight w:val="none"/>
        </w:rPr>
        <w:t>严格遵守《中华人民共和国政府采购法》《中华人民共和国政府采购法实施条例》等相关法律法规，秉持公平、公正、公开、诚实信用原则履行合同，不得滥用职权、刁难乙方，不得向乙方索要或接受赠品、回扣及与采购无关的其他商品、服务。</w:t>
      </w:r>
    </w:p>
    <w:p w14:paraId="3E6CF262">
      <w:pPr>
        <w:keepNext w:val="0"/>
        <w:keepLines w:val="0"/>
        <w:pageBreakBefore w:val="0"/>
        <w:tabs>
          <w:tab w:val="left" w:pos="840"/>
        </w:tabs>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2.2、</w:t>
      </w:r>
      <w:r>
        <w:rPr>
          <w:rFonts w:hint="eastAsia" w:ascii="仿宋" w:hAnsi="仿宋" w:eastAsia="仿宋" w:cs="仿宋"/>
          <w:color w:val="auto"/>
          <w:sz w:val="24"/>
          <w:highlight w:val="none"/>
        </w:rPr>
        <w:t>按照合同约定及时向乙方提供货物交付、安装、调试所需的必要条件（包括但不限于交付地点、场地、相关技术参数确认等），配合乙方完成货物的交付、验收及相关后续工作。</w:t>
      </w:r>
    </w:p>
    <w:p w14:paraId="60A67179">
      <w:pPr>
        <w:keepNext w:val="0"/>
        <w:keepLines w:val="0"/>
        <w:pageBreakBefore w:val="0"/>
        <w:tabs>
          <w:tab w:val="left" w:pos="840"/>
        </w:tabs>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2.3、</w:t>
      </w:r>
      <w:r>
        <w:rPr>
          <w:rFonts w:hint="eastAsia" w:ascii="仿宋" w:hAnsi="仿宋" w:eastAsia="仿宋" w:cs="仿宋"/>
          <w:color w:val="auto"/>
          <w:sz w:val="24"/>
          <w:highlight w:val="none"/>
        </w:rPr>
        <w:t>在乙方按合同约定完成货物交付后，按照合同约定的验收标准和期限，组织相关人员（必要时邀请国家认可的质量检测机构）对货物进行验收，验收合格的，及时出具验收报告；验收不合格的，应书面通知乙方并明确不合格事项及整改要求，不得无故拖延验收或拒绝验收。</w:t>
      </w:r>
    </w:p>
    <w:p w14:paraId="611FDB7C">
      <w:pPr>
        <w:keepNext w:val="0"/>
        <w:keepLines w:val="0"/>
        <w:pageBreakBefore w:val="0"/>
        <w:tabs>
          <w:tab w:val="left" w:pos="840"/>
        </w:tabs>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2.4、</w:t>
      </w:r>
      <w:r>
        <w:rPr>
          <w:rFonts w:hint="eastAsia" w:ascii="仿宋" w:hAnsi="仿宋" w:eastAsia="仿宋" w:cs="仿宋"/>
          <w:color w:val="auto"/>
          <w:sz w:val="24"/>
          <w:highlight w:val="none"/>
        </w:rPr>
        <w:t>按照合同约定的付款期限和方式，及时足额支付合同款项，不得无故拖欠、克扣，不得以内部人员变更、履行内部付款流程等为由拒绝或迟延支付。</w:t>
      </w:r>
    </w:p>
    <w:p w14:paraId="4E4A27AA">
      <w:pPr>
        <w:keepNext w:val="0"/>
        <w:keepLines w:val="0"/>
        <w:pageBreakBefore w:val="0"/>
        <w:tabs>
          <w:tab w:val="left" w:pos="840"/>
        </w:tabs>
        <w:kinsoku/>
        <w:wordWrap/>
        <w:overflowPunct/>
        <w:topLinePunct w:val="0"/>
        <w:autoSpaceDE/>
        <w:autoSpaceDN/>
        <w:bidi w:val="0"/>
        <w:adjustRightInd/>
        <w:snapToGrid/>
        <w:spacing w:line="360" w:lineRule="auto"/>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二十</w:t>
      </w:r>
      <w:r>
        <w:rPr>
          <w:rFonts w:hint="eastAsia" w:ascii="仿宋" w:hAnsi="仿宋" w:eastAsia="仿宋" w:cs="仿宋"/>
          <w:b/>
          <w:color w:val="auto"/>
          <w:sz w:val="24"/>
          <w:highlight w:val="none"/>
        </w:rPr>
        <w:t>、</w:t>
      </w:r>
      <w:r>
        <w:rPr>
          <w:rFonts w:hint="eastAsia" w:ascii="仿宋" w:hAnsi="仿宋" w:eastAsia="仿宋" w:cs="仿宋"/>
          <w:b/>
          <w:color w:val="auto"/>
          <w:sz w:val="24"/>
          <w:highlight w:val="none"/>
          <w:lang w:val="en-US" w:eastAsia="zh-CN"/>
        </w:rPr>
        <w:t>乙</w:t>
      </w:r>
      <w:r>
        <w:rPr>
          <w:rFonts w:hint="eastAsia" w:ascii="仿宋" w:hAnsi="仿宋" w:eastAsia="仿宋" w:cs="仿宋"/>
          <w:b/>
          <w:color w:val="auto"/>
          <w:sz w:val="24"/>
          <w:highlight w:val="none"/>
        </w:rPr>
        <w:t>方权利与义务</w:t>
      </w:r>
    </w:p>
    <w:p w14:paraId="4122F59E">
      <w:pPr>
        <w:keepNext w:val="0"/>
        <w:keepLines w:val="0"/>
        <w:pageBreakBefore w:val="0"/>
        <w:tabs>
          <w:tab w:val="left" w:pos="84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乙</w:t>
      </w:r>
      <w:r>
        <w:rPr>
          <w:rFonts w:hint="eastAsia" w:ascii="仿宋" w:hAnsi="仿宋" w:eastAsia="仿宋" w:cs="仿宋"/>
          <w:color w:val="auto"/>
          <w:sz w:val="24"/>
          <w:highlight w:val="none"/>
        </w:rPr>
        <w:t>方权利</w:t>
      </w:r>
    </w:p>
    <w:p w14:paraId="518008C3">
      <w:pPr>
        <w:keepNext w:val="0"/>
        <w:keepLines w:val="0"/>
        <w:pageBreakBefore w:val="0"/>
        <w:tabs>
          <w:tab w:val="left" w:pos="84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1.1、有权要求甲方按照合同约定及时提供货物交付、安装、调试所需的必要条件，配合乙方完成货物交付、验收等相关工作。</w:t>
      </w:r>
    </w:p>
    <w:p w14:paraId="286F3818">
      <w:pPr>
        <w:keepNext w:val="0"/>
        <w:keepLines w:val="0"/>
        <w:pageBreakBefore w:val="0"/>
        <w:tabs>
          <w:tab w:val="left" w:pos="84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1.2、有权要求甲方按照合同约定的付款期限和方式，及时足额支付合同款项，对甲方无故拖欠、克扣款项的行为，有权要求甲方支付逾期付款违约金并赔偿损失。</w:t>
      </w:r>
    </w:p>
    <w:p w14:paraId="06092415">
      <w:pPr>
        <w:keepNext w:val="0"/>
        <w:keepLines w:val="0"/>
        <w:pageBreakBefore w:val="0"/>
        <w:tabs>
          <w:tab w:val="left" w:pos="840"/>
        </w:tabs>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1.3、有权要求甲方按照政府采购相关法律法规及合同约定，公平、公正地履行合同，不得因不合理条件对乙方实行差别待遇或歧视待遇</w:t>
      </w:r>
    </w:p>
    <w:p w14:paraId="7C6C06E0">
      <w:pPr>
        <w:keepNext w:val="0"/>
        <w:keepLines w:val="0"/>
        <w:pageBreakBefore w:val="0"/>
        <w:tabs>
          <w:tab w:val="left" w:pos="84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lang w:val="en-US" w:eastAsia="zh-CN"/>
        </w:rPr>
      </w:pPr>
      <w:r>
        <w:rPr>
          <w:rFonts w:hint="eastAsia" w:ascii="仿宋" w:hAnsi="仿宋" w:eastAsia="仿宋" w:cs="仿宋"/>
          <w:color w:val="auto"/>
          <w:sz w:val="24"/>
          <w:highlight w:val="none"/>
          <w:lang w:val="en-US" w:eastAsia="zh-CN"/>
        </w:rPr>
        <w:t>2、乙方义务</w:t>
      </w:r>
    </w:p>
    <w:p w14:paraId="2E2E6BF5">
      <w:pPr>
        <w:keepNext w:val="0"/>
        <w:keepLines w:val="0"/>
        <w:pageBreakBefore w:val="0"/>
        <w:tabs>
          <w:tab w:val="left" w:pos="84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2.1、严格遵守《中华人民共和国政府采购法》《中华人民共和国政府采购法实施条例》等相关法律法规及本合同约定，秉持诚实信用原则履行合同，不得提供虚假材料、虚假承诺，不得串通投标、弄虚作假，不得擅自变更合同约定的货物规格、数量、质量及服务标准。</w:t>
      </w:r>
    </w:p>
    <w:p w14:paraId="795E90BD">
      <w:pPr>
        <w:keepNext w:val="0"/>
        <w:keepLines w:val="0"/>
        <w:pageBreakBefore w:val="0"/>
        <w:tabs>
          <w:tab w:val="left" w:pos="84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2.2、保证所提供的货物符合国家强制性标准、行业标准及合同约定的质量、规格、数量、性能要求，来源合法、无质量瑕疵，能够正常使用，且在正确安装、正常使用和保养条件下，在合同约定的质量保证期内具备相应的使用性能。</w:t>
      </w:r>
    </w:p>
    <w:p w14:paraId="2CD6B83F">
      <w:pPr>
        <w:keepNext w:val="0"/>
        <w:keepLines w:val="0"/>
        <w:pageBreakBefore w:val="0"/>
        <w:tabs>
          <w:tab w:val="left" w:pos="84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2.3、保证对所提供的货物享有合法的所有权或处分权，不存在抵押权等担保物权，不侵犯任何第三方的知识产权（包括著作权、商标权、专利权等），若因货物知识产权问题引发第三方投诉、索赔或诉讼，由乙方承担全部责任（包括但不限于赔偿金、诉讼费、律师费等），并赔偿甲方因此遭受的全部损失。</w:t>
      </w:r>
    </w:p>
    <w:p w14:paraId="0396CE00">
      <w:pPr>
        <w:keepNext w:val="0"/>
        <w:keepLines w:val="0"/>
        <w:pageBreakBefore w:val="0"/>
        <w:tabs>
          <w:tab w:val="left" w:pos="84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2.4、按照合同约定的时间、地点，将货物安全、完好地交付给甲方，负责货物的包装、运输、装卸等相关事宜，包装应符合远距离运输、防潮、防震、防锈和防野蛮装卸等要求，确保货物无损送达，相关费用已包含在合同价款中；若因包装、运输问题导致货物损毁、丢失或品质下降，由乙方承担全部责任，负责更换、维修或赔偿损失。</w:t>
      </w:r>
    </w:p>
    <w:p w14:paraId="0A2B37BB">
      <w:pPr>
        <w:keepNext w:val="0"/>
        <w:keepLines w:val="0"/>
        <w:pageBreakBefore w:val="0"/>
        <w:tabs>
          <w:tab w:val="left" w:pos="84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2.5、按照合同约定提供货物的安装、调试、培训、维修等相关服务，及时响应甲方的服务需求，在合同约定的响应时间内解决货物使用过程中出现的故障和问题，确保货物正常运行。</w:t>
      </w:r>
    </w:p>
    <w:p w14:paraId="0E5CCA40">
      <w:pPr>
        <w:keepNext w:val="0"/>
        <w:keepLines w:val="0"/>
        <w:pageBreakBefore w:val="0"/>
        <w:tabs>
          <w:tab w:val="left" w:pos="84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2.6、不得将本合同项下的权利义务擅自转让给第三方，不得将合同项下的货物转包、分包（经甲方书面同意的除外），若擅自转让、转包、分包，甲方有权解除合同并追究乙方违约责任。</w:t>
      </w:r>
    </w:p>
    <w:p w14:paraId="071CD9CD">
      <w:pPr>
        <w:spacing w:line="580" w:lineRule="exact"/>
        <w:rPr>
          <w:rFonts w:hint="eastAsia" w:ascii="仿宋" w:hAnsi="仿宋" w:eastAsia="仿宋" w:cs="仿宋"/>
          <w:b/>
          <w:szCs w:val="24"/>
        </w:rPr>
      </w:pPr>
      <w:r>
        <w:rPr>
          <w:rFonts w:hint="eastAsia" w:ascii="仿宋" w:hAnsi="仿宋" w:eastAsia="仿宋" w:cs="仿宋"/>
          <w:b/>
          <w:szCs w:val="24"/>
        </w:rPr>
        <w:t>二十、合同订立</w:t>
      </w:r>
    </w:p>
    <w:p w14:paraId="1C099F06">
      <w:pPr>
        <w:adjustRightInd w:val="0"/>
        <w:snapToGrid w:val="0"/>
        <w:spacing w:line="580" w:lineRule="exact"/>
        <w:ind w:firstLine="415" w:firstLineChars="198"/>
        <w:rPr>
          <w:rFonts w:hint="eastAsia" w:ascii="仿宋" w:hAnsi="仿宋" w:eastAsia="仿宋" w:cs="仿宋"/>
          <w:szCs w:val="24"/>
        </w:rPr>
      </w:pPr>
      <w:r>
        <w:rPr>
          <w:rFonts w:hint="eastAsia" w:ascii="仿宋" w:hAnsi="仿宋" w:eastAsia="仿宋" w:cs="仿宋"/>
          <w:szCs w:val="24"/>
        </w:rPr>
        <w:t>1. 订立时间：</w:t>
      </w:r>
      <w:r>
        <w:rPr>
          <w:rFonts w:hint="eastAsia" w:ascii="仿宋" w:hAnsi="仿宋" w:eastAsia="仿宋" w:cs="仿宋"/>
          <w:szCs w:val="24"/>
          <w:u w:val="single"/>
        </w:rPr>
        <w:t xml:space="preserve">          </w:t>
      </w:r>
      <w:r>
        <w:rPr>
          <w:rFonts w:hint="eastAsia" w:ascii="仿宋" w:hAnsi="仿宋" w:eastAsia="仿宋" w:cs="仿宋"/>
          <w:szCs w:val="24"/>
        </w:rPr>
        <w:t>年</w:t>
      </w:r>
      <w:r>
        <w:rPr>
          <w:rFonts w:hint="eastAsia" w:ascii="仿宋" w:hAnsi="仿宋" w:eastAsia="仿宋" w:cs="仿宋"/>
          <w:szCs w:val="24"/>
          <w:u w:val="single"/>
        </w:rPr>
        <w:t xml:space="preserve">       </w:t>
      </w:r>
      <w:r>
        <w:rPr>
          <w:rFonts w:hint="eastAsia" w:ascii="仿宋" w:hAnsi="仿宋" w:eastAsia="仿宋" w:cs="仿宋"/>
          <w:szCs w:val="24"/>
        </w:rPr>
        <w:t>月</w:t>
      </w:r>
      <w:r>
        <w:rPr>
          <w:rFonts w:hint="eastAsia" w:ascii="仿宋" w:hAnsi="仿宋" w:eastAsia="仿宋" w:cs="仿宋"/>
          <w:szCs w:val="24"/>
          <w:u w:val="single"/>
        </w:rPr>
        <w:t xml:space="preserve">      </w:t>
      </w:r>
      <w:r>
        <w:rPr>
          <w:rFonts w:hint="eastAsia" w:ascii="仿宋" w:hAnsi="仿宋" w:eastAsia="仿宋" w:cs="仿宋"/>
          <w:szCs w:val="24"/>
        </w:rPr>
        <w:t>日。</w:t>
      </w:r>
    </w:p>
    <w:p w14:paraId="274859DC">
      <w:pPr>
        <w:adjustRightInd w:val="0"/>
        <w:snapToGrid w:val="0"/>
        <w:spacing w:line="580" w:lineRule="exact"/>
        <w:ind w:firstLine="415" w:firstLineChars="198"/>
        <w:rPr>
          <w:rFonts w:hint="eastAsia" w:ascii="仿宋" w:hAnsi="仿宋" w:eastAsia="仿宋" w:cs="仿宋"/>
          <w:szCs w:val="24"/>
        </w:rPr>
      </w:pPr>
      <w:r>
        <w:rPr>
          <w:rFonts w:hint="eastAsia" w:ascii="仿宋" w:hAnsi="仿宋" w:eastAsia="仿宋" w:cs="仿宋"/>
          <w:szCs w:val="24"/>
        </w:rPr>
        <w:t>2. 订立地点：</w:t>
      </w:r>
      <w:r>
        <w:rPr>
          <w:rFonts w:hint="eastAsia" w:ascii="仿宋" w:hAnsi="仿宋" w:eastAsia="仿宋" w:cs="仿宋"/>
          <w:szCs w:val="24"/>
          <w:u w:val="single"/>
        </w:rPr>
        <w:t xml:space="preserve">                                 </w:t>
      </w:r>
      <w:r>
        <w:rPr>
          <w:rFonts w:hint="eastAsia" w:ascii="仿宋" w:hAnsi="仿宋" w:eastAsia="仿宋" w:cs="仿宋"/>
          <w:szCs w:val="24"/>
        </w:rPr>
        <w:t>。</w:t>
      </w:r>
    </w:p>
    <w:p w14:paraId="46E0CA40">
      <w:pPr>
        <w:tabs>
          <w:tab w:val="left" w:pos="980"/>
        </w:tabs>
        <w:kinsoku w:val="0"/>
        <w:spacing w:line="580" w:lineRule="exact"/>
        <w:ind w:firstLine="420" w:firstLineChars="200"/>
        <w:rPr>
          <w:rFonts w:hint="eastAsia" w:ascii="仿宋" w:hAnsi="仿宋" w:eastAsia="仿宋" w:cs="仿宋"/>
          <w:szCs w:val="24"/>
        </w:rPr>
      </w:pPr>
      <w:r>
        <w:rPr>
          <w:rFonts w:hint="eastAsia" w:ascii="仿宋" w:hAnsi="仿宋" w:eastAsia="仿宋" w:cs="仿宋"/>
          <w:szCs w:val="24"/>
        </w:rPr>
        <w:t>3. 本合同一式</w:t>
      </w:r>
      <w:r>
        <w:rPr>
          <w:rFonts w:hint="eastAsia" w:ascii="仿宋" w:hAnsi="仿宋" w:eastAsia="仿宋" w:cs="仿宋"/>
          <w:szCs w:val="24"/>
          <w:u w:val="single"/>
        </w:rPr>
        <w:t xml:space="preserve"> </w:t>
      </w:r>
      <w:r>
        <w:rPr>
          <w:rFonts w:hint="eastAsia" w:ascii="仿宋" w:hAnsi="仿宋" w:eastAsia="仿宋" w:cs="仿宋"/>
          <w:szCs w:val="24"/>
          <w:u w:val="single"/>
          <w:lang w:val="en-US" w:eastAsia="zh-CN"/>
        </w:rPr>
        <w:t xml:space="preserve">   </w:t>
      </w:r>
      <w:r>
        <w:rPr>
          <w:rFonts w:hint="eastAsia" w:ascii="仿宋" w:hAnsi="仿宋" w:eastAsia="仿宋" w:cs="仿宋"/>
          <w:szCs w:val="24"/>
          <w:u w:val="single"/>
        </w:rPr>
        <w:t xml:space="preserve"> </w:t>
      </w:r>
      <w:r>
        <w:rPr>
          <w:rFonts w:hint="eastAsia" w:ascii="仿宋" w:hAnsi="仿宋" w:eastAsia="仿宋" w:cs="仿宋"/>
          <w:szCs w:val="24"/>
        </w:rPr>
        <w:t>份，具有同等法律效力，双方各执</w:t>
      </w:r>
      <w:r>
        <w:rPr>
          <w:rFonts w:hint="eastAsia" w:ascii="仿宋" w:hAnsi="仿宋" w:eastAsia="仿宋" w:cs="仿宋"/>
          <w:szCs w:val="24"/>
          <w:u w:val="single"/>
        </w:rPr>
        <w:t xml:space="preserve"> </w:t>
      </w:r>
      <w:r>
        <w:rPr>
          <w:rFonts w:hint="eastAsia" w:ascii="仿宋" w:hAnsi="仿宋" w:eastAsia="仿宋" w:cs="仿宋"/>
          <w:szCs w:val="24"/>
          <w:u w:val="single"/>
          <w:lang w:val="en-US" w:eastAsia="zh-CN"/>
        </w:rPr>
        <w:t xml:space="preserve">  </w:t>
      </w:r>
      <w:r>
        <w:rPr>
          <w:rFonts w:hint="eastAsia" w:ascii="仿宋" w:hAnsi="仿宋" w:eastAsia="仿宋" w:cs="仿宋"/>
          <w:szCs w:val="24"/>
          <w:u w:val="single"/>
        </w:rPr>
        <w:t xml:space="preserve">  </w:t>
      </w:r>
      <w:r>
        <w:rPr>
          <w:rFonts w:hint="eastAsia" w:ascii="仿宋" w:hAnsi="仿宋" w:eastAsia="仿宋" w:cs="仿宋"/>
          <w:szCs w:val="24"/>
        </w:rPr>
        <w:t>份，监管部门备案</w:t>
      </w:r>
      <w:r>
        <w:rPr>
          <w:rFonts w:hint="eastAsia" w:ascii="仿宋" w:hAnsi="仿宋" w:eastAsia="仿宋" w:cs="仿宋"/>
          <w:szCs w:val="24"/>
          <w:u w:val="single"/>
        </w:rPr>
        <w:t xml:space="preserve"> </w:t>
      </w:r>
      <w:r>
        <w:rPr>
          <w:rFonts w:hint="eastAsia" w:ascii="仿宋" w:hAnsi="仿宋" w:eastAsia="仿宋" w:cs="仿宋"/>
          <w:szCs w:val="24"/>
          <w:u w:val="single"/>
          <w:lang w:val="en-US" w:eastAsia="zh-CN"/>
        </w:rPr>
        <w:t xml:space="preserve"> </w:t>
      </w:r>
      <w:r>
        <w:rPr>
          <w:rFonts w:hint="eastAsia" w:ascii="仿宋" w:hAnsi="仿宋" w:eastAsia="仿宋" w:cs="仿宋"/>
          <w:szCs w:val="24"/>
          <w:u w:val="single"/>
        </w:rPr>
        <w:t xml:space="preserve"> </w:t>
      </w:r>
      <w:r>
        <w:rPr>
          <w:rFonts w:hint="eastAsia" w:ascii="仿宋" w:hAnsi="仿宋" w:eastAsia="仿宋" w:cs="仿宋"/>
          <w:szCs w:val="24"/>
          <w:u w:val="single"/>
          <w:lang w:val="en-US" w:eastAsia="zh-CN"/>
        </w:rPr>
        <w:t xml:space="preserve"> </w:t>
      </w:r>
      <w:r>
        <w:rPr>
          <w:rFonts w:hint="eastAsia" w:ascii="仿宋" w:hAnsi="仿宋" w:eastAsia="仿宋" w:cs="仿宋"/>
          <w:szCs w:val="24"/>
          <w:u w:val="single"/>
        </w:rPr>
        <w:t xml:space="preserve"> </w:t>
      </w:r>
      <w:r>
        <w:rPr>
          <w:rFonts w:hint="eastAsia" w:ascii="仿宋" w:hAnsi="仿宋" w:eastAsia="仿宋" w:cs="仿宋"/>
          <w:szCs w:val="24"/>
        </w:rPr>
        <w:t>份、采购代理机构存档</w:t>
      </w:r>
      <w:r>
        <w:rPr>
          <w:rFonts w:hint="eastAsia" w:ascii="仿宋" w:hAnsi="仿宋" w:eastAsia="仿宋" w:cs="仿宋"/>
          <w:szCs w:val="24"/>
          <w:u w:val="single"/>
        </w:rPr>
        <w:t xml:space="preserve"> </w:t>
      </w:r>
      <w:r>
        <w:rPr>
          <w:rFonts w:hint="eastAsia" w:ascii="仿宋" w:hAnsi="仿宋" w:eastAsia="仿宋" w:cs="仿宋"/>
          <w:szCs w:val="24"/>
          <w:u w:val="single"/>
          <w:lang w:val="en-US" w:eastAsia="zh-CN"/>
        </w:rPr>
        <w:t xml:space="preserve"> </w:t>
      </w:r>
      <w:r>
        <w:rPr>
          <w:rFonts w:hint="eastAsia" w:ascii="仿宋" w:hAnsi="仿宋" w:eastAsia="仿宋" w:cs="仿宋"/>
          <w:szCs w:val="24"/>
          <w:u w:val="single"/>
        </w:rPr>
        <w:t xml:space="preserve"> </w:t>
      </w:r>
      <w:r>
        <w:rPr>
          <w:rFonts w:hint="eastAsia" w:ascii="仿宋" w:hAnsi="仿宋" w:eastAsia="仿宋" w:cs="仿宋"/>
          <w:szCs w:val="24"/>
          <w:u w:val="single"/>
          <w:lang w:val="en-US" w:eastAsia="zh-CN"/>
        </w:rPr>
        <w:t xml:space="preserve"> </w:t>
      </w:r>
      <w:r>
        <w:rPr>
          <w:rFonts w:hint="eastAsia" w:ascii="仿宋" w:hAnsi="仿宋" w:eastAsia="仿宋" w:cs="仿宋"/>
          <w:szCs w:val="24"/>
          <w:u w:val="single"/>
        </w:rPr>
        <w:t xml:space="preserve"> </w:t>
      </w:r>
      <w:r>
        <w:rPr>
          <w:rFonts w:hint="eastAsia" w:ascii="仿宋" w:hAnsi="仿宋" w:eastAsia="仿宋" w:cs="仿宋"/>
          <w:szCs w:val="24"/>
        </w:rPr>
        <w:t>份。各方签字盖章后生效，合同执行完毕自动失效。（合同的服务承诺则长期有效）。</w:t>
      </w:r>
    </w:p>
    <w:p w14:paraId="5441C740">
      <w:pPr>
        <w:adjustRightInd w:val="0"/>
        <w:snapToGrid w:val="0"/>
        <w:spacing w:line="580" w:lineRule="exact"/>
        <w:ind w:firstLine="415" w:firstLineChars="198"/>
        <w:rPr>
          <w:rFonts w:hint="eastAsia" w:ascii="仿宋" w:hAnsi="仿宋" w:eastAsia="仿宋" w:cs="仿宋"/>
          <w:szCs w:val="24"/>
        </w:rPr>
      </w:pPr>
    </w:p>
    <w:p w14:paraId="7C18EB8F">
      <w:pPr>
        <w:adjustRightInd w:val="0"/>
        <w:snapToGrid w:val="0"/>
        <w:spacing w:line="400" w:lineRule="exact"/>
        <w:ind w:firstLine="415" w:firstLineChars="198"/>
        <w:rPr>
          <w:rFonts w:hint="eastAsia" w:ascii="仿宋" w:hAnsi="仿宋" w:eastAsia="仿宋" w:cs="仿宋"/>
          <w:szCs w:val="24"/>
        </w:rPr>
      </w:pPr>
      <w:r>
        <w:rPr>
          <w:rFonts w:hint="eastAsia" w:ascii="仿宋" w:hAnsi="仿宋" w:eastAsia="仿宋" w:cs="仿宋"/>
          <w:szCs w:val="24"/>
        </w:rPr>
        <w:t>采购人：</w:t>
      </w:r>
      <w:r>
        <w:rPr>
          <w:rFonts w:hint="eastAsia" w:ascii="仿宋" w:hAnsi="仿宋" w:eastAsia="仿宋" w:cs="仿宋"/>
          <w:szCs w:val="24"/>
          <w:u w:val="single"/>
        </w:rPr>
        <w:t xml:space="preserve">   （盖章）      </w:t>
      </w:r>
      <w:r>
        <w:rPr>
          <w:rFonts w:hint="eastAsia" w:ascii="仿宋" w:hAnsi="仿宋" w:eastAsia="仿宋" w:cs="仿宋"/>
          <w:szCs w:val="24"/>
        </w:rPr>
        <w:t xml:space="preserve">            供应商：</w:t>
      </w:r>
      <w:r>
        <w:rPr>
          <w:rFonts w:hint="eastAsia" w:ascii="仿宋" w:hAnsi="仿宋" w:eastAsia="仿宋" w:cs="仿宋"/>
          <w:szCs w:val="24"/>
          <w:u w:val="single"/>
        </w:rPr>
        <w:t xml:space="preserve">   （盖章）         </w:t>
      </w:r>
    </w:p>
    <w:p w14:paraId="1BC69095">
      <w:pPr>
        <w:adjustRightInd w:val="0"/>
        <w:snapToGrid w:val="0"/>
        <w:spacing w:line="400" w:lineRule="exact"/>
        <w:ind w:firstLine="415" w:firstLineChars="198"/>
        <w:rPr>
          <w:rFonts w:hint="eastAsia" w:ascii="仿宋" w:hAnsi="仿宋" w:eastAsia="仿宋" w:cs="仿宋"/>
          <w:szCs w:val="24"/>
          <w:u w:val="single"/>
        </w:rPr>
      </w:pPr>
      <w:r>
        <w:rPr>
          <w:rFonts w:hint="eastAsia" w:ascii="仿宋" w:hAnsi="仿宋" w:eastAsia="仿宋" w:cs="仿宋"/>
          <w:szCs w:val="24"/>
        </w:rPr>
        <w:t xml:space="preserve">地 址： </w:t>
      </w:r>
      <w:r>
        <w:rPr>
          <w:rFonts w:hint="eastAsia" w:ascii="仿宋" w:hAnsi="仿宋" w:eastAsia="仿宋" w:cs="仿宋"/>
          <w:szCs w:val="24"/>
          <w:u w:val="single"/>
        </w:rPr>
        <w:t xml:space="preserve">                  </w:t>
      </w:r>
      <w:r>
        <w:rPr>
          <w:rFonts w:hint="eastAsia" w:ascii="仿宋" w:hAnsi="仿宋" w:eastAsia="仿宋" w:cs="仿宋"/>
          <w:szCs w:val="24"/>
        </w:rPr>
        <w:t xml:space="preserve">           地  址：</w:t>
      </w:r>
      <w:r>
        <w:rPr>
          <w:rFonts w:hint="eastAsia" w:ascii="仿宋" w:hAnsi="仿宋" w:eastAsia="仿宋" w:cs="仿宋"/>
          <w:szCs w:val="24"/>
          <w:u w:val="single"/>
        </w:rPr>
        <w:t xml:space="preserve">                    </w:t>
      </w:r>
    </w:p>
    <w:p w14:paraId="5A5FC600">
      <w:pPr>
        <w:adjustRightInd w:val="0"/>
        <w:snapToGrid w:val="0"/>
        <w:spacing w:line="400" w:lineRule="exact"/>
        <w:ind w:firstLine="420" w:firstLineChars="200"/>
        <w:rPr>
          <w:rFonts w:hint="eastAsia" w:ascii="仿宋" w:hAnsi="仿宋" w:eastAsia="仿宋" w:cs="仿宋"/>
          <w:szCs w:val="24"/>
        </w:rPr>
      </w:pPr>
      <w:r>
        <w:rPr>
          <w:rFonts w:hint="eastAsia" w:ascii="仿宋" w:hAnsi="仿宋" w:eastAsia="仿宋" w:cs="仿宋"/>
          <w:szCs w:val="24"/>
        </w:rPr>
        <w:t>邮政编码：</w:t>
      </w:r>
      <w:r>
        <w:rPr>
          <w:rFonts w:hint="eastAsia" w:ascii="仿宋" w:hAnsi="仿宋" w:eastAsia="仿宋" w:cs="仿宋"/>
          <w:szCs w:val="24"/>
          <w:u w:val="single"/>
        </w:rPr>
        <w:t xml:space="preserve">                 </w:t>
      </w:r>
      <w:r>
        <w:rPr>
          <w:rFonts w:hint="eastAsia" w:ascii="仿宋" w:hAnsi="仿宋" w:eastAsia="仿宋" w:cs="仿宋"/>
          <w:szCs w:val="24"/>
        </w:rPr>
        <w:t xml:space="preserve">          邮政编码：</w:t>
      </w:r>
      <w:r>
        <w:rPr>
          <w:rFonts w:hint="eastAsia" w:ascii="仿宋" w:hAnsi="仿宋" w:eastAsia="仿宋" w:cs="仿宋"/>
          <w:szCs w:val="24"/>
          <w:u w:val="single"/>
        </w:rPr>
        <w:t xml:space="preserve">                   </w:t>
      </w:r>
    </w:p>
    <w:p w14:paraId="53CD5196">
      <w:pPr>
        <w:adjustRightInd w:val="0"/>
        <w:snapToGrid w:val="0"/>
        <w:spacing w:line="400" w:lineRule="exact"/>
        <w:ind w:firstLine="415" w:firstLineChars="198"/>
        <w:rPr>
          <w:rFonts w:hint="eastAsia" w:ascii="仿宋" w:hAnsi="仿宋" w:eastAsia="仿宋" w:cs="仿宋"/>
          <w:szCs w:val="24"/>
        </w:rPr>
      </w:pPr>
      <w:r>
        <w:rPr>
          <w:rFonts w:hint="eastAsia" w:ascii="仿宋" w:hAnsi="仿宋" w:eastAsia="仿宋" w:cs="仿宋"/>
          <w:szCs w:val="24"/>
        </w:rPr>
        <w:t xml:space="preserve">法定代表人或其授权                   法定代表人或其授权 </w:t>
      </w:r>
    </w:p>
    <w:p w14:paraId="2BABFE74">
      <w:pPr>
        <w:adjustRightInd w:val="0"/>
        <w:snapToGrid w:val="0"/>
        <w:spacing w:line="400" w:lineRule="exact"/>
        <w:ind w:firstLine="415" w:firstLineChars="198"/>
        <w:rPr>
          <w:rFonts w:hint="eastAsia" w:ascii="仿宋" w:hAnsi="仿宋" w:eastAsia="仿宋" w:cs="仿宋"/>
          <w:szCs w:val="24"/>
        </w:rPr>
      </w:pPr>
      <w:r>
        <w:rPr>
          <w:rFonts w:hint="eastAsia" w:ascii="仿宋" w:hAnsi="仿宋" w:eastAsia="仿宋" w:cs="仿宋"/>
          <w:szCs w:val="24"/>
        </w:rPr>
        <w:t>的代理人：</w:t>
      </w:r>
      <w:r>
        <w:rPr>
          <w:rFonts w:hint="eastAsia" w:ascii="仿宋" w:hAnsi="仿宋" w:eastAsia="仿宋" w:cs="仿宋"/>
          <w:szCs w:val="24"/>
          <w:u w:val="single"/>
        </w:rPr>
        <w:t xml:space="preserve">（签字）      </w:t>
      </w:r>
      <w:r>
        <w:rPr>
          <w:rFonts w:hint="eastAsia" w:ascii="仿宋" w:hAnsi="仿宋" w:eastAsia="仿宋" w:cs="仿宋"/>
          <w:szCs w:val="24"/>
        </w:rPr>
        <w:t xml:space="preserve">             的代理人：</w:t>
      </w:r>
      <w:r>
        <w:rPr>
          <w:rFonts w:hint="eastAsia" w:ascii="仿宋" w:hAnsi="仿宋" w:eastAsia="仿宋" w:cs="仿宋"/>
          <w:szCs w:val="24"/>
          <w:u w:val="single"/>
        </w:rPr>
        <w:t xml:space="preserve">（签字）           </w:t>
      </w:r>
    </w:p>
    <w:p w14:paraId="058637BC">
      <w:pPr>
        <w:adjustRightInd w:val="0"/>
        <w:snapToGrid w:val="0"/>
        <w:spacing w:line="400" w:lineRule="exact"/>
        <w:ind w:firstLine="415" w:firstLineChars="198"/>
        <w:rPr>
          <w:rFonts w:hint="eastAsia" w:ascii="仿宋" w:hAnsi="仿宋" w:eastAsia="仿宋" w:cs="仿宋"/>
          <w:szCs w:val="24"/>
        </w:rPr>
      </w:pPr>
      <w:r>
        <w:rPr>
          <w:rFonts w:hint="eastAsia" w:ascii="仿宋" w:hAnsi="仿宋" w:eastAsia="仿宋" w:cs="仿宋"/>
          <w:szCs w:val="24"/>
        </w:rPr>
        <w:t>开户银行：</w:t>
      </w:r>
      <w:r>
        <w:rPr>
          <w:rFonts w:hint="eastAsia" w:ascii="仿宋" w:hAnsi="仿宋" w:eastAsia="仿宋" w:cs="仿宋"/>
          <w:szCs w:val="24"/>
          <w:u w:val="single"/>
        </w:rPr>
        <w:t xml:space="preserve">                 </w:t>
      </w:r>
      <w:r>
        <w:rPr>
          <w:rFonts w:hint="eastAsia" w:ascii="仿宋" w:hAnsi="仿宋" w:eastAsia="仿宋" w:cs="仿宋"/>
          <w:szCs w:val="24"/>
        </w:rPr>
        <w:t xml:space="preserve">          开户银行：</w:t>
      </w:r>
      <w:r>
        <w:rPr>
          <w:rFonts w:hint="eastAsia" w:ascii="仿宋" w:hAnsi="仿宋" w:eastAsia="仿宋" w:cs="仿宋"/>
          <w:szCs w:val="24"/>
          <w:u w:val="single"/>
        </w:rPr>
        <w:t xml:space="preserve">                   </w:t>
      </w:r>
    </w:p>
    <w:p w14:paraId="5773B9EC">
      <w:pPr>
        <w:adjustRightInd w:val="0"/>
        <w:snapToGrid w:val="0"/>
        <w:spacing w:line="400" w:lineRule="exact"/>
        <w:ind w:firstLine="415" w:firstLineChars="198"/>
        <w:rPr>
          <w:rFonts w:hint="eastAsia" w:ascii="仿宋" w:hAnsi="仿宋" w:eastAsia="仿宋" w:cs="仿宋"/>
          <w:szCs w:val="24"/>
        </w:rPr>
      </w:pPr>
      <w:r>
        <w:rPr>
          <w:rFonts w:hint="eastAsia" w:ascii="仿宋" w:hAnsi="仿宋" w:eastAsia="仿宋" w:cs="仿宋"/>
          <w:szCs w:val="24"/>
        </w:rPr>
        <w:t>账号：</w:t>
      </w:r>
      <w:r>
        <w:rPr>
          <w:rFonts w:hint="eastAsia" w:ascii="仿宋" w:hAnsi="仿宋" w:eastAsia="仿宋" w:cs="仿宋"/>
          <w:szCs w:val="24"/>
          <w:u w:val="single"/>
        </w:rPr>
        <w:t xml:space="preserve">                      </w:t>
      </w:r>
      <w:r>
        <w:rPr>
          <w:rFonts w:hint="eastAsia" w:ascii="仿宋" w:hAnsi="仿宋" w:eastAsia="仿宋" w:cs="仿宋"/>
          <w:szCs w:val="24"/>
        </w:rPr>
        <w:t xml:space="preserve">         账号：</w:t>
      </w:r>
      <w:r>
        <w:rPr>
          <w:rFonts w:hint="eastAsia" w:ascii="仿宋" w:hAnsi="仿宋" w:eastAsia="仿宋" w:cs="仿宋"/>
          <w:szCs w:val="24"/>
          <w:u w:val="single"/>
        </w:rPr>
        <w:t xml:space="preserve">                       </w:t>
      </w:r>
      <w:r>
        <w:rPr>
          <w:rFonts w:hint="eastAsia" w:ascii="仿宋" w:hAnsi="仿宋" w:eastAsia="仿宋" w:cs="仿宋"/>
          <w:szCs w:val="24"/>
        </w:rPr>
        <w:t xml:space="preserve"> </w:t>
      </w:r>
    </w:p>
    <w:p w14:paraId="109C6E91">
      <w:pPr>
        <w:adjustRightInd w:val="0"/>
        <w:snapToGrid w:val="0"/>
        <w:spacing w:line="400" w:lineRule="exact"/>
        <w:ind w:firstLine="415" w:firstLineChars="198"/>
        <w:rPr>
          <w:rFonts w:hint="eastAsia" w:ascii="仿宋" w:hAnsi="仿宋" w:eastAsia="仿宋" w:cs="仿宋"/>
          <w:szCs w:val="24"/>
        </w:rPr>
      </w:pPr>
      <w:r>
        <w:rPr>
          <w:rFonts w:hint="eastAsia" w:ascii="仿宋" w:hAnsi="仿宋" w:eastAsia="仿宋" w:cs="仿宋"/>
          <w:szCs w:val="24"/>
        </w:rPr>
        <w:t>电话：</w:t>
      </w:r>
      <w:r>
        <w:rPr>
          <w:rFonts w:hint="eastAsia" w:ascii="仿宋" w:hAnsi="仿宋" w:eastAsia="仿宋" w:cs="仿宋"/>
          <w:szCs w:val="24"/>
          <w:u w:val="single"/>
        </w:rPr>
        <w:t xml:space="preserve">                      </w:t>
      </w:r>
      <w:r>
        <w:rPr>
          <w:rFonts w:hint="eastAsia" w:ascii="仿宋" w:hAnsi="仿宋" w:eastAsia="仿宋" w:cs="仿宋"/>
          <w:szCs w:val="24"/>
        </w:rPr>
        <w:t xml:space="preserve">         电话：</w:t>
      </w:r>
      <w:r>
        <w:rPr>
          <w:rFonts w:hint="eastAsia" w:ascii="仿宋" w:hAnsi="仿宋" w:eastAsia="仿宋" w:cs="仿宋"/>
          <w:szCs w:val="24"/>
          <w:u w:val="single"/>
        </w:rPr>
        <w:t xml:space="preserve">                       </w:t>
      </w:r>
    </w:p>
    <w:p w14:paraId="4E4D61F5">
      <w:pPr>
        <w:adjustRightInd w:val="0"/>
        <w:snapToGrid w:val="0"/>
        <w:spacing w:line="400" w:lineRule="exact"/>
        <w:ind w:firstLine="415" w:firstLineChars="198"/>
        <w:rPr>
          <w:rFonts w:hint="eastAsia" w:ascii="仿宋" w:hAnsi="仿宋" w:eastAsia="仿宋" w:cs="仿宋"/>
          <w:szCs w:val="24"/>
        </w:rPr>
      </w:pPr>
      <w:r>
        <w:rPr>
          <w:rFonts w:hint="eastAsia" w:ascii="仿宋" w:hAnsi="仿宋" w:eastAsia="仿宋" w:cs="仿宋"/>
          <w:szCs w:val="24"/>
        </w:rPr>
        <w:t>传真：</w:t>
      </w:r>
      <w:r>
        <w:rPr>
          <w:rFonts w:hint="eastAsia" w:ascii="仿宋" w:hAnsi="仿宋" w:eastAsia="仿宋" w:cs="仿宋"/>
          <w:szCs w:val="24"/>
          <w:u w:val="single"/>
        </w:rPr>
        <w:t xml:space="preserve">                      </w:t>
      </w:r>
      <w:r>
        <w:rPr>
          <w:rFonts w:hint="eastAsia" w:ascii="仿宋" w:hAnsi="仿宋" w:eastAsia="仿宋" w:cs="仿宋"/>
          <w:szCs w:val="24"/>
        </w:rPr>
        <w:t xml:space="preserve">         传真：</w:t>
      </w:r>
      <w:r>
        <w:rPr>
          <w:rFonts w:hint="eastAsia" w:ascii="仿宋" w:hAnsi="仿宋" w:eastAsia="仿宋" w:cs="仿宋"/>
          <w:szCs w:val="24"/>
          <w:u w:val="single"/>
        </w:rPr>
        <w:t xml:space="preserve">                       </w:t>
      </w:r>
    </w:p>
    <w:p w14:paraId="0CBC5324">
      <w:pPr>
        <w:adjustRightInd w:val="0"/>
        <w:snapToGrid w:val="0"/>
        <w:spacing w:line="400" w:lineRule="exact"/>
        <w:ind w:firstLine="415" w:firstLineChars="198"/>
        <w:rPr>
          <w:rFonts w:hint="eastAsia" w:ascii="仿宋" w:hAnsi="仿宋" w:eastAsia="仿宋" w:cs="仿宋"/>
          <w:szCs w:val="24"/>
          <w:u w:val="single"/>
        </w:rPr>
      </w:pPr>
      <w:r>
        <w:rPr>
          <w:rFonts w:hint="eastAsia" w:ascii="仿宋" w:hAnsi="仿宋" w:eastAsia="仿宋" w:cs="仿宋"/>
          <w:szCs w:val="24"/>
        </w:rPr>
        <w:t>电子邮箱：</w:t>
      </w:r>
      <w:r>
        <w:rPr>
          <w:rFonts w:hint="eastAsia" w:ascii="仿宋" w:hAnsi="仿宋" w:eastAsia="仿宋" w:cs="仿宋"/>
          <w:szCs w:val="24"/>
          <w:u w:val="single"/>
        </w:rPr>
        <w:t xml:space="preserve">                 </w:t>
      </w:r>
      <w:r>
        <w:rPr>
          <w:rFonts w:hint="eastAsia" w:ascii="仿宋" w:hAnsi="仿宋" w:eastAsia="仿宋" w:cs="仿宋"/>
          <w:szCs w:val="24"/>
        </w:rPr>
        <w:t xml:space="preserve">          电子邮箱：</w:t>
      </w:r>
      <w:r>
        <w:rPr>
          <w:rFonts w:hint="eastAsia" w:ascii="仿宋" w:hAnsi="仿宋" w:eastAsia="仿宋" w:cs="仿宋"/>
          <w:szCs w:val="24"/>
          <w:u w:val="single"/>
        </w:rPr>
        <w:t xml:space="preserve">                   </w:t>
      </w:r>
    </w:p>
    <w:p w14:paraId="701D521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auto"/>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5448FA"/>
    <w:multiLevelType w:val="multilevel"/>
    <w:tmpl w:val="3F5448FA"/>
    <w:lvl w:ilvl="0" w:tentative="0">
      <w:start w:val="1"/>
      <w:numFmt w:val="decimal"/>
      <w:lvlText w:val="%1"/>
      <w:lvlJc w:val="left"/>
      <w:pPr>
        <w:ind w:left="425" w:hanging="425"/>
      </w:pPr>
      <w:rPr>
        <w:rFonts w:hint="eastAsia"/>
      </w:rPr>
    </w:lvl>
    <w:lvl w:ilvl="1" w:tentative="0">
      <w:start w:val="1"/>
      <w:numFmt w:val="decimal"/>
      <w:pStyle w:val="2"/>
      <w:isLgl/>
      <w:lvlText w:val="%1.%2"/>
      <w:lvlJc w:val="left"/>
      <w:pPr>
        <w:ind w:left="992" w:hanging="567"/>
      </w:pPr>
      <w:rPr>
        <w:rFonts w:hint="eastAsia" w:eastAsia="微软雅黑"/>
        <w:b/>
        <w:i w:val="0"/>
        <w:sz w:val="24"/>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5847DFF0"/>
    <w:multiLevelType w:val="singleLevel"/>
    <w:tmpl w:val="5847DFF0"/>
    <w:lvl w:ilvl="0" w:tentative="0">
      <w:start w:val="10"/>
      <w:numFmt w:val="chineseCounting"/>
      <w:suff w:val="nothing"/>
      <w:lvlText w:val="%1、"/>
      <w:lvlJc w:val="left"/>
    </w:lvl>
  </w:abstractNum>
  <w:abstractNum w:abstractNumId="2">
    <w:nsid w:val="58490119"/>
    <w:multiLevelType w:val="singleLevel"/>
    <w:tmpl w:val="58490119"/>
    <w:lvl w:ilvl="0" w:tentative="0">
      <w:start w:val="17"/>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D91A72"/>
    <w:rsid w:val="45CD6339"/>
    <w:rsid w:val="4FD91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unhideWhenUsed/>
    <w:qFormat/>
    <w:uiPriority w:val="9"/>
    <w:pPr>
      <w:keepNext/>
      <w:keepLines/>
      <w:numPr>
        <w:ilvl w:val="1"/>
        <w:numId w:val="1"/>
      </w:numPr>
      <w:outlineLvl w:val="1"/>
    </w:pPr>
    <w:rPr>
      <w:rFonts w:eastAsia="微软雅黑" w:asciiTheme="majorHAnsi" w:hAnsiTheme="majorHAnsi" w:cstheme="majorBidi"/>
      <w:b/>
      <w:bCs/>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annotation text"/>
    <w:basedOn w:val="1"/>
    <w:qFormat/>
    <w:uiPriority w:val="0"/>
    <w:pPr>
      <w:jc w:val="left"/>
    </w:pPr>
  </w:style>
  <w:style w:type="paragraph" w:styleId="5">
    <w:name w:val="Body Text"/>
    <w:basedOn w:val="1"/>
    <w:next w:val="1"/>
    <w:qFormat/>
    <w:uiPriority w:val="0"/>
    <w:rPr>
      <w:color w:val="993300"/>
      <w:sz w:val="24"/>
    </w:rPr>
  </w:style>
  <w:style w:type="paragraph" w:styleId="6">
    <w:name w:val="Plain Text"/>
    <w:basedOn w:val="1"/>
    <w:qFormat/>
    <w:uiPriority w:val="0"/>
    <w:rPr>
      <w:rFonts w:hAnsi="Courier New"/>
      <w:kern w:val="2"/>
      <w:sz w:val="21"/>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4934</Words>
  <Characters>4983</Characters>
  <Lines>0</Lines>
  <Paragraphs>0</Paragraphs>
  <TotalTime>0</TotalTime>
  <ScaleCrop>false</ScaleCrop>
  <LinksUpToDate>false</LinksUpToDate>
  <CharactersWithSpaces>5702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2026-05-11T06:00:00Z</dcterms:created>
  <dc:creator>弥猫深巷°</dc:creator>
  <cp:lastModifiedBy>弥猫深巷°</cp:lastModifiedBy>
  <dcterms:modified xsi:type="dcterms:W3CDTF">2026-05-11T07:12:39Z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C04CD917A42B4343BC66F8AC3DEA557B_11</vt:lpwstr>
  </property>
  <property fmtid="{D5CDD505-2E9C-101B-9397-08002B2CF9AE}" pid="4" name="KSOTemplateDocerSaveRecord">
    <vt:lpwstr>eyJoZGlkIjoiNjdlNGM1NWU5ZTM1Mzc3ZjUzODQ4MTgyZmMyNmQyNjciLCJ1c2VySWQiOiIyNTEwOTc4MjkifQ==</vt:lpwstr>
  </property>
</Properties>
</file>