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版本号：ZXGC-2026-040520260428001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2026年镇巴县简池镇李塘村经济合作社高密度特色水产养殖项目(二期)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ZXGC-2026-0405</w:t>
      </w:r>
      <w:r>
        <w:br/>
      </w:r>
      <w:r>
        <w:br/>
      </w:r>
      <w:r>
        <w:br/>
      </w:r>
    </w:p>
    <w:p>
      <w:pPr>
        <w:pStyle w:val="null3"/>
        <w:jc w:val="center"/>
        <w:outlineLvl w:val="2"/>
      </w:pPr>
      <w:r>
        <w:rPr>
          <w:rFonts w:ascii="仿宋_GB2312" w:hAnsi="仿宋_GB2312" w:cs="仿宋_GB2312" w:eastAsia="仿宋_GB2312"/>
          <w:sz w:val="28"/>
          <w:b/>
        </w:rPr>
        <w:t>镇巴县简池镇人民政府</w:t>
      </w:r>
    </w:p>
    <w:p>
      <w:pPr>
        <w:pStyle w:val="null3"/>
        <w:jc w:val="center"/>
        <w:outlineLvl w:val="2"/>
      </w:pPr>
      <w:r>
        <w:rPr>
          <w:rFonts w:ascii="仿宋_GB2312" w:hAnsi="仿宋_GB2312" w:cs="仿宋_GB2312" w:eastAsia="仿宋_GB2312"/>
          <w:sz w:val="28"/>
          <w:b/>
        </w:rPr>
        <w:t>陕西众欣共创工程项目管理有限公司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陕西众欣共创工程项目管理有限公司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镇巴县简池镇人民政府</w:t>
      </w:r>
      <w:r>
        <w:rPr>
          <w:rFonts w:ascii="仿宋_GB2312" w:hAnsi="仿宋_GB2312" w:cs="仿宋_GB2312" w:eastAsia="仿宋_GB2312"/>
        </w:rPr>
        <w:t>委托，拟对</w:t>
      </w:r>
      <w:r>
        <w:rPr>
          <w:rFonts w:ascii="仿宋_GB2312" w:hAnsi="仿宋_GB2312" w:cs="仿宋_GB2312" w:eastAsia="仿宋_GB2312"/>
        </w:rPr>
        <w:t>2026年镇巴县简池镇李塘村经济合作社高密度特色水产养殖项目(二期)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ZXGC-2026-0405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2026年镇巴县简池镇李塘村经济合作社高密度特色水产养殖项目(二期)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新建圆形硅胶池9个，150立方米水箱，饲料药剂室1座，300立方米化粪池一座，750㎡钢架大棚一座。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采购包1（2026年镇巴县简池镇李塘村经济合作社高密度特色水产养殖项目(二期)）：属于专门面向中小企业采购。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 人、事业法人、其他组织，提供营业执照（事 业单位须事业单位法人证、组织机构代码证等 证明文件；其他组织应提供合法证明文件）， 供应商需在项目电子化交易系统中按要求上传 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 证(附法定代表人身份证复印件);法定代表人授 权代表参加投标的，须出具法定代表人授权书 及授权代表身份证(附法定代表人身份证复印件 及被授权人身份证复印件)，供应商需在项目电 子化交易系统中按要求上传相应证明文件并进 行电子签章；</w:t>
      </w:r>
    </w:p>
    <w:p>
      <w:pPr>
        <w:pStyle w:val="null3"/>
      </w:pPr>
      <w:r>
        <w:rPr>
          <w:rFonts w:ascii="仿宋_GB2312" w:hAnsi="仿宋_GB2312" w:cs="仿宋_GB2312" w:eastAsia="仿宋_GB2312"/>
        </w:rPr>
        <w:t>3、供应商资格承诺函：供应商须具有良好的商业信誉和健全的财务会 计制度、具有履行合同所必需的设备和专业技 术能力、具有依法缴纳税收和社会保障资金的 良好记录，参加本项目采购活动前三年内在经 营活动中无重大违法活动记录，未列入在信用 中国网站“失信被执行人”、“重大税收违法案件 当事人名单”中(www.creditchina.gov.cn)， 未列入中国政府采购网“政府采购严重违法失信 行为记录名单”中（www.ccgp.gov.cn），供 应商需提供加盖公章的《汉中市政府采购供应 商资格承诺函》，供应商需在项目电子化交易 系统中按要求上传相应证明文件并进行电子签 章；</w:t>
      </w:r>
    </w:p>
    <w:p>
      <w:pPr>
        <w:pStyle w:val="null3"/>
      </w:pPr>
      <w:r>
        <w:rPr>
          <w:rFonts w:ascii="仿宋_GB2312" w:hAnsi="仿宋_GB2312" w:cs="仿宋_GB2312" w:eastAsia="仿宋_GB2312"/>
        </w:rPr>
        <w:t>4、拟派项目负责人资质：项目负责人应具备建筑工程专业二级（含二级 ）及以上注册建造师资格、具有有效的安全考 核合格证（B证），且无在建工程（出具无在建 承诺书）</w:t>
      </w:r>
    </w:p>
    <w:p>
      <w:pPr>
        <w:pStyle w:val="null3"/>
      </w:pPr>
      <w:r>
        <w:rPr>
          <w:rFonts w:ascii="仿宋_GB2312" w:hAnsi="仿宋_GB2312" w:cs="仿宋_GB2312" w:eastAsia="仿宋_GB2312"/>
        </w:rPr>
        <w:t>5、供应商资质：供应商具有建设行政主管部门核发的建筑工程 施工总承包三级以上（含三级）资质或钢结构 工程专业承包三级三级以上（含三级）资质， 具有有效的安全生产许可证；</w:t>
      </w:r>
    </w:p>
    <w:p>
      <w:pPr>
        <w:pStyle w:val="null3"/>
      </w:pPr>
      <w:r>
        <w:rPr>
          <w:rFonts w:ascii="仿宋_GB2312" w:hAnsi="仿宋_GB2312" w:cs="仿宋_GB2312" w:eastAsia="仿宋_GB2312"/>
        </w:rPr>
        <w:t>6、非联合体投标声明及无关联关系 ：本项目不接受联合体投标；单位负责人为同一 人或者存在控股、管理关系的不同单位，不得 参加同一项目的响应，供应商需在项目电子化 交易系统中按要求上传相应证明文件并进行电 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镇巴县简池镇人民政府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镇巴县简池镇简池社区中坝小组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镇巴县简池镇人民政府经办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13571487221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陕西众欣共创工程项目管理有限公司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陕西省西安市未央区未央路荣民时代广场第一幢3单元15层31513号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饶先生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029-81617819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采购包1：1,280,345.47元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开户名称：陕西众欣共创工程项目管理有限公司镇巴分公司</w:t>
            </w:r>
          </w:p>
          <w:p>
            <w:pPr>
              <w:pStyle w:val="null3"/>
            </w:pPr>
            <w:r>
              <w:rPr>
                <w:rFonts w:ascii="仿宋_GB2312" w:hAnsi="仿宋_GB2312" w:cs="仿宋_GB2312" w:eastAsia="仿宋_GB2312"/>
              </w:rPr>
              <w:t>开户银行：中国农业银行股份有限公司镇巴县新街支行</w:t>
            </w:r>
          </w:p>
          <w:p>
            <w:pPr>
              <w:pStyle w:val="null3"/>
            </w:pPr>
            <w:r>
              <w:rPr>
                <w:rFonts w:ascii="仿宋_GB2312" w:hAnsi="仿宋_GB2312" w:cs="仿宋_GB2312" w:eastAsia="仿宋_GB2312"/>
              </w:rPr>
              <w:t>银行账号：26645301040011135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代理服务费收费标准：代理服务费收费标准：1、代理服务费收费标准：参照原国家计委《招标代理服务收费管理暂行 办法》(计价格[2002]1980号)、国家发展和改革委员会《国家发展改革委办公厅关于招标代理 服务收费有关问题的通知》(发改办价格[2003]857号)和《国家发展改革委关于降低部分建设 项目收费标准规范收费行为等有关问题的通知》(发改价格[2011]534号)文件的相关规定收取 。2、采购代理服务费的缴纳方式:在领取《成交通知书》前向采购代理机均一次性全额缴纳采 购代理服务费。3、代理服务费的具体金额后续见本项目中标（成交）结果公告。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镇巴县简池镇人民政府</w:t>
      </w:r>
      <w:r>
        <w:rPr>
          <w:rFonts w:ascii="仿宋_GB2312" w:hAnsi="仿宋_GB2312" w:cs="仿宋_GB2312" w:eastAsia="仿宋_GB2312"/>
        </w:rPr>
        <w:t>和</w:t>
      </w:r>
      <w:r>
        <w:rPr>
          <w:rFonts w:ascii="仿宋_GB2312" w:hAnsi="仿宋_GB2312" w:cs="仿宋_GB2312" w:eastAsia="仿宋_GB2312"/>
        </w:rPr>
        <w:t>陕西众欣共创工程项目管理有限公司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镇巴县简池镇人民政府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陕西众欣共创工程项目管理有限公司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镇巴县简池镇人民政府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陕西众欣共创工程项目管理有限公司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联系人：饶先生</w:t>
      </w:r>
    </w:p>
    <w:p>
      <w:pPr>
        <w:pStyle w:val="null3"/>
      </w:pPr>
      <w:r>
        <w:rPr>
          <w:rFonts w:ascii="仿宋_GB2312" w:hAnsi="仿宋_GB2312" w:cs="仿宋_GB2312" w:eastAsia="仿宋_GB2312"/>
        </w:rPr>
        <w:t>联系电话：15399346888</w:t>
      </w:r>
    </w:p>
    <w:p>
      <w:pPr>
        <w:pStyle w:val="null3"/>
      </w:pPr>
      <w:r>
        <w:rPr>
          <w:rFonts w:ascii="仿宋_GB2312" w:hAnsi="仿宋_GB2312" w:cs="仿宋_GB2312" w:eastAsia="仿宋_GB2312"/>
        </w:rPr>
        <w:t>地址：镇巴县泾洋街道办庞家坝小组原水泥厂向前150米</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1,280,345.47</w:t>
      </w:r>
    </w:p>
    <w:p>
      <w:pPr>
        <w:pStyle w:val="null3"/>
      </w:pPr>
      <w:r>
        <w:rPr>
          <w:rFonts w:ascii="仿宋_GB2312" w:hAnsi="仿宋_GB2312" w:cs="仿宋_GB2312" w:eastAsia="仿宋_GB2312"/>
        </w:rPr>
        <w:t>采购包最高限价（元）: 1,280,345.47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2026年镇巴县简池镇李塘村经济合作社高密度特色水产养殖项目(二期)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1,280,345.47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标的名称：2026年镇巴县简池镇李塘村经济合作社高密度特色水产养殖项目(二期)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 xml:space="preserve"> </w:t>
            </w:r>
            <w:r>
              <w:rPr>
                <w:rFonts w:ascii="仿宋_GB2312" w:hAnsi="仿宋_GB2312" w:cs="仿宋_GB2312" w:eastAsia="仿宋_GB2312"/>
                <w:sz w:val="18"/>
                <w:b/>
                <w:color w:val="000000"/>
              </w:rPr>
              <w:t>一、工程概况</w:t>
            </w:r>
          </w:p>
          <w:p>
            <w:pPr>
              <w:pStyle w:val="null3"/>
              <w:ind w:firstLine="480"/>
              <w:jc w:val="both"/>
            </w:pPr>
            <w:r>
              <w:rPr>
                <w:rFonts w:ascii="仿宋_GB2312" w:hAnsi="仿宋_GB2312" w:cs="仿宋_GB2312" w:eastAsia="仿宋_GB2312"/>
                <w:sz w:val="18"/>
              </w:rPr>
              <w:t>2026年镇巴县简池镇李塘村经济合作社高密度特色水产养殖项目(二期)，工程主要建设内容为：圆形硅胶池9个，150立方米水箱，饲料药剂室1座，300立方化粪池一座，钢架大棚一座。</w:t>
            </w:r>
          </w:p>
          <w:p>
            <w:pPr>
              <w:pStyle w:val="null3"/>
              <w:ind w:firstLine="630"/>
              <w:jc w:val="both"/>
            </w:pPr>
            <w:r>
              <w:rPr>
                <w:rFonts w:ascii="仿宋_GB2312" w:hAnsi="仿宋_GB2312" w:cs="仿宋_GB2312" w:eastAsia="仿宋_GB2312"/>
                <w:sz w:val="18"/>
                <w:b/>
                <w:color w:val="000000"/>
              </w:rPr>
              <w:t>二、编制范围</w:t>
            </w:r>
          </w:p>
          <w:p>
            <w:pPr>
              <w:pStyle w:val="null3"/>
              <w:jc w:val="left"/>
            </w:pPr>
            <w:r>
              <w:rPr>
                <w:rFonts w:ascii="仿宋_GB2312" w:hAnsi="仿宋_GB2312" w:cs="仿宋_GB2312" w:eastAsia="仿宋_GB2312"/>
                <w:sz w:val="18"/>
                <w:b/>
              </w:rPr>
              <w:t xml:space="preserve">   </w:t>
            </w:r>
            <w:r>
              <w:rPr>
                <w:rFonts w:ascii="仿宋_GB2312" w:hAnsi="仿宋_GB2312" w:cs="仿宋_GB2312" w:eastAsia="仿宋_GB2312"/>
                <w:sz w:val="18"/>
              </w:rPr>
              <w:t xml:space="preserve"> 此次招标范围，详见工程量清单。</w:t>
            </w:r>
          </w:p>
          <w:p>
            <w:pPr>
              <w:pStyle w:val="null3"/>
              <w:ind w:firstLine="630"/>
              <w:jc w:val="both"/>
            </w:pPr>
            <w:r>
              <w:rPr>
                <w:rFonts w:ascii="仿宋_GB2312" w:hAnsi="仿宋_GB2312" w:cs="仿宋_GB2312" w:eastAsia="仿宋_GB2312"/>
                <w:sz w:val="18"/>
                <w:b/>
                <w:color w:val="000000"/>
              </w:rPr>
              <w:t>三、编制依据</w:t>
            </w:r>
          </w:p>
          <w:p>
            <w:pPr>
              <w:pStyle w:val="null3"/>
              <w:ind w:firstLine="640"/>
              <w:jc w:val="both"/>
            </w:pPr>
            <w:r>
              <w:rPr>
                <w:rFonts w:ascii="仿宋_GB2312" w:hAnsi="仿宋_GB2312" w:cs="仿宋_GB2312" w:eastAsia="仿宋_GB2312"/>
                <w:sz w:val="18"/>
              </w:rPr>
              <w:t>1、《2026年镇巴县简池镇李塘村经济合作社高密度特色水产养殖项目(二期)》设计图；</w:t>
            </w:r>
          </w:p>
          <w:p>
            <w:pPr>
              <w:pStyle w:val="null3"/>
              <w:ind w:firstLine="640"/>
              <w:jc w:val="both"/>
            </w:pPr>
            <w:r>
              <w:rPr>
                <w:rFonts w:ascii="仿宋_GB2312" w:hAnsi="仿宋_GB2312" w:cs="仿宋_GB2312" w:eastAsia="仿宋_GB2312"/>
                <w:sz w:val="18"/>
              </w:rPr>
              <w:t>2、陕西省住房和城乡建设厅《关于印发2025陕西省建设工程费用规则等计价依据的通知》陕建管发[2025]10号文，发布的《陕西省建设工程费用规则（2025）》与各专业的消耗量定额与基价表及相配套计价文件；</w:t>
            </w:r>
          </w:p>
          <w:p>
            <w:pPr>
              <w:pStyle w:val="null3"/>
              <w:ind w:firstLine="640"/>
              <w:jc w:val="both"/>
            </w:pPr>
            <w:r>
              <w:rPr>
                <w:rFonts w:ascii="仿宋_GB2312" w:hAnsi="仿宋_GB2312" w:cs="仿宋_GB2312" w:eastAsia="仿宋_GB2312"/>
                <w:sz w:val="18"/>
              </w:rPr>
              <w:t>3、与建设工程项目有关的标准、规范、图集、技术资料、政策文件。</w:t>
            </w:r>
            <w:r>
              <w:rPr>
                <w:rFonts w:ascii="仿宋_GB2312" w:hAnsi="仿宋_GB2312" w:cs="仿宋_GB2312" w:eastAsia="仿宋_GB2312"/>
                <w:sz w:val="18"/>
              </w:rPr>
              <w:t xml:space="preserve"> </w:t>
            </w:r>
          </w:p>
          <w:p>
            <w:pPr>
              <w:pStyle w:val="null3"/>
              <w:ind w:firstLine="643"/>
              <w:jc w:val="both"/>
            </w:pPr>
            <w:r>
              <w:rPr>
                <w:rFonts w:ascii="仿宋_GB2312" w:hAnsi="仿宋_GB2312" w:cs="仿宋_GB2312" w:eastAsia="仿宋_GB2312"/>
                <w:sz w:val="18"/>
                <w:b/>
              </w:rPr>
              <w:t>四、编制软件采用</w:t>
            </w:r>
            <w:r>
              <w:rPr>
                <w:rFonts w:ascii="仿宋_GB2312" w:hAnsi="仿宋_GB2312" w:cs="仿宋_GB2312" w:eastAsia="仿宋_GB2312"/>
                <w:sz w:val="18"/>
                <w:b/>
              </w:rPr>
              <w:t>广联达GCCP7.0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19"/>
                <w:color w:val="000000"/>
              </w:rPr>
              <w:t>工期：</w:t>
            </w:r>
            <w:r>
              <w:rPr>
                <w:rFonts w:ascii="仿宋_GB2312" w:hAnsi="仿宋_GB2312" w:cs="仿宋_GB2312" w:eastAsia="仿宋_GB2312"/>
                <w:sz w:val="19"/>
                <w:color w:val="000000"/>
              </w:rPr>
              <w:t>90</w:t>
            </w:r>
            <w:r>
              <w:rPr>
                <w:rFonts w:ascii="仿宋_GB2312" w:hAnsi="仿宋_GB2312" w:cs="仿宋_GB2312" w:eastAsia="仿宋_GB2312"/>
                <w:sz w:val="19"/>
                <w:color w:val="000000"/>
              </w:rPr>
              <w:t>日历天</w:t>
            </w:r>
          </w:p>
          <w:p>
            <w:pPr>
              <w:pStyle w:val="null3"/>
              <w:jc w:val="left"/>
            </w:pPr>
            <w:r>
              <w:rPr>
                <w:rFonts w:ascii="仿宋_GB2312" w:hAnsi="仿宋_GB2312" w:cs="仿宋_GB2312" w:eastAsia="仿宋_GB2312"/>
                <w:sz w:val="19"/>
                <w:color w:val="000000"/>
              </w:rPr>
              <w:t>质量标准：</w:t>
            </w:r>
          </w:p>
          <w:p>
            <w:pPr>
              <w:pStyle w:val="null3"/>
              <w:jc w:val="left"/>
            </w:pPr>
            <w:r>
              <w:rPr>
                <w:rFonts w:ascii="仿宋_GB2312" w:hAnsi="仿宋_GB2312" w:cs="仿宋_GB2312" w:eastAsia="仿宋_GB2312"/>
                <w:sz w:val="19"/>
                <w:color w:val="000000"/>
              </w:rPr>
              <w:t>工程质量达到国家现行《施工质量验收规范》合格标准。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工期：90日历天；质量标准：工程质量达到国家现行《施工质量验收规范》合格标准。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 人、事业法人、其他组织，提供营业执照（事 业单位须事业单位法人证、组织机构代码证等 证明文件；其他组织应提供合法证明文件）， 供应商需在项目电子化交易系统中按要求上传 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 证(附法定代表人身份证复印件);法定代表人授 权代表参加投标的，须出具法定代表人授权书 及授权代表身份证(附法定代表人身份证复印件 及被授权人身份证复印件)，供应商需在项目电 子化交易系统中按要求上传相应证明文件并进 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 计制度、具有履行合同所必需的设备和专业技 术能力、具有依法缴纳税收和社会保障资金的 良好记录，参加本项目采购活动前三年内在经 营活动中无重大违法活动记录，未列入在信用 中国网站“失信被执行人”、“重大税收违法案件 当事人名单”中(www.creditchina.gov.cn)， 未列入中国政府采购网“政府采购严重违法失信 行为记录名单”中（www.ccgp.gov.cn），供 应商需提供加盖公章的《汉中市政府采购供应 商资格承诺函》，供应商需在项目电子化交易 系统中按要求上传相应证明文件并进行电子签 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项目负责人应具备建筑工程专业二级（含二级 ）及以上注册建造师资格、具有有效的安全考 核合格证（B证），且无在建工程（出具无在建 承诺书）</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供应商具有建设行政主管部门核发的建筑工程 施工总承包三级以上（含三级）资质或钢结构 工程专业承包三级三级以上（含三级）资质， 具有有效的安全生产许可证；</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 人或者存在控股、管理关系的不同单位，不得 参加同一项目的响应，供应商需在项目电子化 交易系统中按要求上传相应证明文件并进行电 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 盖章并加盖投标供应商公章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供应商认为需要补充的其他内容.pdf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 2、未超出采购预算或磋商文件规定的最高限价.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 他无效情形（供应商应当使用纳入陕西省政府 采购综合管理平台数字证书互认范围的数字证 书及签章进行系统操作。供应商对其系统操作 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供应商认为需要补充的其他内容.pdf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评审内容供应商针对本项目编制完 善的施工部署，内容包含：①施工 目标:成本目标、工期目标、质量目 标②施工平面布置与安排：现场围 挡及出入口管理、交通组织安排、 消防安排、施工平面布置图。一、 评审标准1、完整性：方案必须全 面，对评审内容中的各项要求有详 细描述； 2、可实施性：切合本项 目实际情况，提出步骤清晰、合理 的方案； 3、针对性：方案能够紧 扣项目实际情况，内容科学合理。 三、赋分标准①施工目标：每完全 满足一个评审标准得1 .5分，满分4 .5分； ②施工平面布置与安排：每 完全满足一个评审标准得1 .5分， 满分4 .5分；未提供或明显套用其 他项目内容的不得分。(缺陷是指: 存在不适用项目实际情况的情形、 凭空编造、套用其他项目方案、内 容前后不一致、前后逻辑错误、涉 及的规范及标准错误、地点区域错 误、内容缺失、不符合采购需求、 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一、评审内容供应商编制完善的施 工总进度计划，内容包含：①施工 进度目标②施工进度保障措施。二 、评审标准1、完整性：方案须全 面，对评审内容中的各项要求有详 细描述及说明； 2、可实施性：切 合本项目实际情况，实施步骤清晰 、合理； 3、针对性：方案能够紧 扣项目实际情况，内容科学合理。 三、赋分标准①施工进度目标：每 完全满足一个评审标准得1分，满 分3分； ②施工进度保障措施：每 完全满足一个评审标准得1分，满 分3分。未提供或明显套用其他项 目内容的不得分。(缺陷是指:存在 不适用项目实际情况的情形、凭空 编造、套用其他项目方案、内容前 后不一致、前后逻辑错误、涉及的 规范及标准错误、地点区域错误、 内容缺失、不符合采购需求、不可 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一、评审内容供应商编制完善的质 量技术措施，内容包含：①质量管 理目标②施工质量保障措施③施工 质量检验制度。二、评审标准1、 完整性：方案须全面，对评审内容 中的各项要求有详细描述及说明； 2、可实施性：切合本项目实际情 况，实施步骤清晰、合理；3、针 对性：方案能够紧扣项目实际情况 ，内容科学合理。三、赋分标准 ①质量管理目标：每完全满足一个 评审标准得1分，满分3分； ②施工 质量保障措施：每完全满足一个评 审标准得1分，满分3分； ③施工质 量检验制度：每完全满足一个评审 标准得1分，满分3分。未提供或明 显套用其他项目内容的不得分。( 缺陷是指:存在不适用项目实际情况 的情形、凭空编造、套用其他项目 方案、内容前后不一致、前后逻辑 错误、涉及的规范及标准错误、地 点区域错误、内容缺失、不符合采 购需求、不可能实现的情形等任意 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一、评审内容供应商编制完善的安 全技术措施，内容包含：①安全管 理制度②安全责任归属划分③安全 标识：安全警戒标语、施工人员安 全警示服和安全帽穿配要求④安全 教育培训。二、评审标准1、完整 性：方案须全面，对评审内容中的 各项要求有详细描述及说明； 2、 可实施性：切合本项目实际情况， 实施步骤清晰、合理； 3、针对性 ：方案能够紧扣项目实际情况，内 容科学合理。三、赋分标准①安 全管理制度：每完全满足一个评审 标准得1分，满分3分； ②安全责任 归属划分：每完全满足一个评审标 准得1分，满3分； ③安全标识：每 完全满足一个评审标准得1分，满 分3分； ④安全教育培训：每完全 满足一个评审标准得1分，满分3分 。未提供或明显套用其他项目内容 的不得分。(缺陷是指:存在不适用 项目实际情况的情形、凭空编造、 套用其他项目方案、内容前后不一 致、前后逻辑错误、涉及的规范及 标准错误、地点区域错误、内容缺 失、不符合采购需求、不可能实现 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一、评审内容供应商编制完善的文 明施工措施，内容包含：①材料、 半成品和机具的堆放管理②文明施 工检查措施。二、评审标准1、完 整性：方案须全面，对评审内容中 的各项要求有详细描述及说明； 2 、可实施性：切合本项目实际情况 ，实施步骤清晰、合理； 3、针对 性：方案能够紧扣项目实际情况， 内容科学合理。三、赋分标准① 材料、半成品和机具的堆放管理： 每完全满足一个评审标准得1分， 满分3分； ②文明施工检查措施： 每完全满足一个评审标准得1分， 满分3分。未提供或明显套用其他 项目内容的不得分。(缺陷是指:存 在不适用项目实际情况的情形、凭 空编造、套用其他项目方案、内容 前后不一致、前后逻辑错误、涉及 的规范及标准错误、地点区域错误 、内容缺失、不符合采购需求、不 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一、评审内容供应商编制完善的环 境保护措施，内容包含：①噪音控 制措施②防尘及扬尘的控制措施。 二、评审标准1、完整性：方案须 全面，对评审内容中的各项要求有 详细描述及说明； 2、可实施性： 切合本项目实际情况，实施步骤清 晰、合理； 3、针对性：方案能够 紧扣项目实际情况，内容科学合理 。三、赋分标准①噪音控制措施 ：每完全满足一个评审标准1分， 满分3分； ②防尘及扬尘的控制措 施：每完全满足一个评审标准得1 分，满分3分。未提供或明显套用 其他项目内容的不得分。(缺陷是 指:存在不适用项目实际情况的情形 、凭空编造、套用其他项目方案、 内容前后不一致、前后逻辑错误、 涉及的规范及标准错误、地点区域 错误、内容缺失、不符合采购需求 、不可能实现的情形等任意一种情 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一、评审内容供应商针对本项目编 制主要管理措施，内容包含：①分 部分项工程施工方法②成品保护措 施二、评审标准1、完整性：方案 须全面，对评审内容中的各项要求 有详细描述及说明； 2、可实施性 ：切合本项目实际情况，实施步骤 清晰、合理； 3、针对性：方案能 够紧扣项目实际情况，内容科学合 理。三、赋分标准①分部分项工 程施工方法：每完全满足一个评审 标准得2分，满分6分； ②成品保护 措施：每完全满足一个评审标准得 2分，满分6分；未提供或明显套用 其他项目内容的不得分。(缺陷是 指:存在不适用项目实际情况的情形 、凭空编造、套用其他项目方案、 内容前后不一致、前后逻辑错误、 涉及的规范及标准错误、地点区域 错误、内容缺失、不符合采购需求 、不可能实现的情形等任意一种情 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 方案。由评标专家对供应商响应内 容进行对比，根据优良程度打分： （优秀得3分，良好得2分，一般得 1分）项目负责人具有相关专业高 级工程师职称得2分，中级职称得1 分，没有职称不得分。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 项目业绩，响应文件中应附有其业 绩证明材料，业绩以协议书（合同 ）或（中标）成交通知书加盖公章 的复印件为依据，每提供一个得2 . 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 3、供应商报价得分=（磋商基准价/最终磋商报价）×30（四舍五入后保留小数点后两位）。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