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版本号：ZCZX2026-CS-103.1B220260821001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曲江新区城管执法大队工作用车燃油采购(三次)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ZCZX2026-CS-103.1B2</w:t>
      </w:r>
      <w:r>
        <w:br/>
      </w:r>
      <w:r>
        <w:br/>
      </w:r>
      <w:r>
        <w:br/>
      </w:r>
    </w:p>
    <w:p>
      <w:pPr>
        <w:pStyle w:val="null3"/>
        <w:jc w:val="center"/>
        <w:outlineLvl w:val="2"/>
      </w:pPr>
      <w:r>
        <w:rPr>
          <w:rFonts w:ascii="仿宋_GB2312" w:hAnsi="仿宋_GB2312" w:cs="仿宋_GB2312" w:eastAsia="仿宋_GB2312"/>
          <w:sz w:val="28"/>
          <w:b/>
        </w:rPr>
        <w:t>西安曲江新区管理委员会</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西安曲江新区管理委员会</w:t>
      </w:r>
      <w:r>
        <w:rPr>
          <w:rFonts w:ascii="仿宋_GB2312" w:hAnsi="仿宋_GB2312" w:cs="仿宋_GB2312" w:eastAsia="仿宋_GB2312"/>
        </w:rPr>
        <w:t>委托，拟对</w:t>
      </w:r>
      <w:r>
        <w:rPr>
          <w:rFonts w:ascii="仿宋_GB2312" w:hAnsi="仿宋_GB2312" w:cs="仿宋_GB2312" w:eastAsia="仿宋_GB2312"/>
        </w:rPr>
        <w:t>曲江新区城管执法大队工作用车燃油采购(三次)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ZCZX2026-CS-103.1B2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曲江新区城管执法大队工作用车燃油采购(三次)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曲江新区城管执法大队工作用车燃油采购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及授权代表本单位证明：供应商应授权合法的人员参加磋商全过程，法定代表人（或负责人）委托代理人参加磋商时，应提供法定代表人委托授权书及被授权人的参保缴费证明（须赋可查询的验证编号或验证二维码）；法定代表人（或负责人）亲自参加磋商时，应提供法定代表人（或负责人）身份证，并与营业执照上信息一致。</w:t>
      </w:r>
    </w:p>
    <w:p>
      <w:pPr>
        <w:pStyle w:val="null3"/>
      </w:pPr>
      <w:r>
        <w:rPr>
          <w:rFonts w:ascii="仿宋_GB2312" w:hAnsi="仿宋_GB2312" w:cs="仿宋_GB2312" w:eastAsia="仿宋_GB2312"/>
        </w:rPr>
        <w:t>2、供应商资质：供应商须具有有效的《危险化学品经营许可证》及《成品油零售经营批准证书》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西安曲江新区管理委员会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029-68660318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高蕊玲 吴芳超 张斌 雷高峰 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西安曲江新区财政局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由于本项目报价为下浮率，因此计费基数以采购预算为准。 2、成交单位的代理服务费交纳信息 银行户名：陕西众诚致信管理咨询有限公司 开户银行：北京银行股份有限公司西安分行营业部 账 号：20000042729000032633420 联系人：李薇 联系电话：029-89565528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西安曲江新区管理委员会</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西安曲江新区管理委员会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西安曲江新区管理委员会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联系人：高蕊玲 吴芳超</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曲江新区城管执法大队工作用车燃油采购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92号汽油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标的名称：92号汽油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ind w:firstLine="400"/>
            </w:pPr>
            <w:r>
              <w:rPr>
                <w:rFonts w:ascii="仿宋_GB2312" w:hAnsi="仿宋_GB2312" w:cs="仿宋_GB2312" w:eastAsia="仿宋_GB2312"/>
              </w:rPr>
              <w:t>采购人目前</w:t>
            </w:r>
            <w:r>
              <w:rPr>
                <w:rFonts w:ascii="仿宋_GB2312" w:hAnsi="仿宋_GB2312" w:cs="仿宋_GB2312" w:eastAsia="仿宋_GB2312"/>
              </w:rPr>
              <w:t>执法范围</w:t>
            </w:r>
            <w:r>
              <w:rPr>
                <w:rFonts w:ascii="仿宋_GB2312" w:hAnsi="仿宋_GB2312" w:cs="仿宋_GB2312" w:eastAsia="仿宋_GB2312"/>
              </w:rPr>
              <w:t>51.5平方公里，工作模式分长白班和倒班模式（四班三运转），现有执法车辆共计5</w:t>
            </w:r>
            <w:r>
              <w:rPr>
                <w:rFonts w:ascii="仿宋_GB2312" w:hAnsi="仿宋_GB2312" w:cs="仿宋_GB2312" w:eastAsia="仿宋_GB2312"/>
              </w:rPr>
              <w:t>7</w:t>
            </w:r>
            <w:r>
              <w:rPr>
                <w:rFonts w:ascii="仿宋_GB2312" w:hAnsi="仿宋_GB2312" w:cs="仿宋_GB2312" w:eastAsia="仿宋_GB2312"/>
              </w:rPr>
              <w:t>台（其中面包车</w:t>
            </w:r>
            <w:r>
              <w:rPr>
                <w:rFonts w:ascii="仿宋_GB2312" w:hAnsi="仿宋_GB2312" w:cs="仿宋_GB2312" w:eastAsia="仿宋_GB2312"/>
              </w:rPr>
              <w:t>45台，皮卡7台，拖车1台，金杯客车3台，日产帕拉丁1台</w:t>
            </w:r>
            <w:r>
              <w:rPr>
                <w:rFonts w:ascii="仿宋_GB2312" w:hAnsi="仿宋_GB2312" w:cs="仿宋_GB2312" w:eastAsia="仿宋_GB2312"/>
              </w:rPr>
              <w:t>）</w:t>
            </w:r>
            <w:r>
              <w:rPr>
                <w:rFonts w:ascii="仿宋_GB2312" w:hAnsi="仿宋_GB2312" w:cs="仿宋_GB2312" w:eastAsia="仿宋_GB2312"/>
              </w:rPr>
              <w:t>。根据工作需要，现需采购车辆燃油。</w:t>
            </w:r>
          </w:p>
          <w:p>
            <w:pPr>
              <w:pStyle w:val="null3"/>
            </w:pPr>
            <w:r>
              <w:rPr>
                <w:rFonts w:ascii="仿宋_GB2312" w:hAnsi="仿宋_GB2312" w:cs="仿宋_GB2312" w:eastAsia="仿宋_GB2312"/>
                <w:b/>
              </w:rPr>
              <w:t>二、项目要求</w:t>
            </w:r>
          </w:p>
          <w:p>
            <w:pPr>
              <w:pStyle w:val="null3"/>
            </w:pPr>
            <w:r>
              <w:rPr>
                <w:rFonts w:ascii="仿宋_GB2312" w:hAnsi="仿宋_GB2312" w:cs="仿宋_GB2312" w:eastAsia="仿宋_GB2312"/>
              </w:rPr>
              <w:t>1、燃油型号要求：提供92#号汽油、柴油；</w:t>
            </w:r>
          </w:p>
          <w:p>
            <w:pPr>
              <w:pStyle w:val="null3"/>
            </w:pPr>
            <w:r>
              <w:rPr>
                <w:rFonts w:ascii="仿宋_GB2312" w:hAnsi="仿宋_GB2312" w:cs="仿宋_GB2312" w:eastAsia="仿宋_GB2312"/>
              </w:rPr>
              <w:t>2、油品质量要求：油品符合现行国家标准，保质保</w:t>
            </w:r>
            <w:r>
              <w:rPr>
                <w:rFonts w:ascii="仿宋_GB2312" w:hAnsi="仿宋_GB2312" w:cs="仿宋_GB2312" w:eastAsia="仿宋_GB2312"/>
              </w:rPr>
              <w:t>量，检验合格；</w:t>
            </w:r>
          </w:p>
          <w:p>
            <w:pPr>
              <w:pStyle w:val="null3"/>
            </w:pPr>
            <w:r>
              <w:rPr>
                <w:rFonts w:ascii="仿宋_GB2312" w:hAnsi="仿宋_GB2312" w:cs="仿宋_GB2312" w:eastAsia="仿宋_GB2312"/>
              </w:rPr>
              <w:t>3、服务及安全要求：</w:t>
            </w:r>
          </w:p>
          <w:p>
            <w:pPr>
              <w:pStyle w:val="null3"/>
            </w:pPr>
            <w:r>
              <w:rPr>
                <w:rFonts w:ascii="仿宋_GB2312" w:hAnsi="仿宋_GB2312" w:cs="仿宋_GB2312" w:eastAsia="仿宋_GB2312"/>
              </w:rPr>
              <w:t>3-1、供应商需提供24小时全天候安全、快捷加油服务；</w:t>
            </w:r>
          </w:p>
          <w:p>
            <w:pPr>
              <w:pStyle w:val="null3"/>
            </w:pPr>
            <w:r>
              <w:rPr>
                <w:rFonts w:ascii="仿宋_GB2312" w:hAnsi="仿宋_GB2312" w:cs="仿宋_GB2312" w:eastAsia="仿宋_GB2312"/>
              </w:rPr>
              <w:t>3-2、供应商工作人员需执行凭卡加油管理制度，对采购人加油时违反规定等其他行为，有权拒绝并及时向采购人反映；</w:t>
            </w:r>
          </w:p>
          <w:p>
            <w:pPr>
              <w:pStyle w:val="null3"/>
            </w:pPr>
            <w:r>
              <w:rPr>
                <w:rFonts w:ascii="仿宋_GB2312" w:hAnsi="仿宋_GB2312" w:cs="仿宋_GB2312" w:eastAsia="仿宋_GB2312"/>
              </w:rPr>
              <w:t>3-3、供应商需认真落实消防安全责任制，确保加油车辆在加油时的安全，如因供应商安全生产措施不力，造成车辆损失的，负赔偿责任。</w:t>
            </w:r>
          </w:p>
          <w:p>
            <w:pPr>
              <w:pStyle w:val="null3"/>
            </w:pPr>
            <w:r>
              <w:rPr>
                <w:rFonts w:ascii="仿宋_GB2312" w:hAnsi="仿宋_GB2312" w:cs="仿宋_GB2312" w:eastAsia="仿宋_GB2312"/>
                <w:b/>
              </w:rPr>
              <w:t>三、服务期限：一年</w:t>
            </w:r>
          </w:p>
          <w:p>
            <w:pPr>
              <w:pStyle w:val="null3"/>
              <w:jc w:val="both"/>
            </w:pPr>
            <w:r>
              <w:rPr>
                <w:rFonts w:ascii="仿宋_GB2312" w:hAnsi="仿宋_GB2312" w:cs="仿宋_GB2312" w:eastAsia="仿宋_GB2312"/>
                <w:b/>
              </w:rPr>
              <w:t>四、其他要求</w:t>
            </w:r>
          </w:p>
          <w:p>
            <w:pPr>
              <w:pStyle w:val="null3"/>
            </w:pPr>
            <w:r>
              <w:rPr>
                <w:rFonts w:ascii="仿宋_GB2312" w:hAnsi="仿宋_GB2312" w:cs="仿宋_GB2312" w:eastAsia="仿宋_GB2312"/>
                <w:sz w:val="21"/>
              </w:rPr>
              <w:t>因本项目投标报价为下浮率，供应商在响应报价时，标的清单中的单价和总价填写本项目采购预算。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进度款，乙方提供上月燃油加油清单，经甲方确认无误后，按照本项目成交下浮率据实结算，达到付款条件起30个工作日内，支付合同总金额的8.0%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进度款，乙方提供上月燃油加油清单，经甲方确认无误后，按照本项目成交下浮率据实结算，达到付款条件起30个工作日内，支付合同总金额的8.0%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进度款，乙方提供上月燃油加油清单，经甲方确认无误后，按照本项目成交下浮率据实结算，达到付款条件起30个工作日内，支付合同总金额的8.0%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进度款，乙方提供上月燃油加油清单，经甲方确认无误后，按照本项目成交下浮率据实结算，达到付款条件起30个工作日内，支付合同总金额的8.0%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进度款，乙方提供上月燃油加油清单，经甲方确认无误后，按照本项目成交下浮率据实结算，达到付款条件起30个工作日内，支付合同总金额的8.0%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进度款，乙方提供上月燃油加油清单，经甲方确认无误后，按照本项目成交下浮率据实结算，达到付款条件起30个工作日内，支付合同总金额的8.0%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进度款，乙方提供上月燃油加油清单，经甲方确认无误后，按照本项目成交下浮率据实结算，达到付款条件起30个工作日内，支付合同总金额的8.0%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进度款，乙方提供上月燃油加油清单，经甲方确认无误后，按照本项目成交下浮率据实结算，达到付款条件起30个工作日内，支付合同总金额的8.0%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进度款，乙方提供上月燃油加油清单，经甲方确认无误后，按照本项目成交下浮率据实结算，达到付款条件起30个工作日内，支付合同总金额的8.0%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进度款，乙方提供上月燃油加油清单，经甲方确认无误后，按照本项目成交下浮率据实结算，达到付款条件起30个工作日内，支付合同总金额的8.0%</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进度款，乙方提供上月燃油加油清单，经甲方确认无误后，按照本项目成交下浮率据实结算，达到付款条件起30个工作日内，支付合同总金额的10.0%</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进度款，乙方提供上月燃油加油清单，经甲方确认无误后，按照本项目成交下浮率据实结算，达到付款条件起30个工作日内，支付合同总金额的10.0%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磋商时无需提供纸质响应文件，成交供应商在领取成交通知书时提供纸质响应文件两份，纸质版文件须是电子化交易平台系统生成的响应文件，封面加盖公司鲜章。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提供会计师事务所出具的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授权书及授权代表本单位证明</w:t>
            </w:r>
          </w:p>
        </w:tc>
        <w:tc>
          <w:tcPr>
            <w:tcW w:type="dxa" w:w="3322"/>
          </w:tcPr>
          <w:p>
            <w:pPr>
              <w:pStyle w:val="null3"/>
            </w:pPr>
            <w:r>
              <w:rPr>
                <w:rFonts w:ascii="仿宋_GB2312" w:hAnsi="仿宋_GB2312" w:cs="仿宋_GB2312" w:eastAsia="仿宋_GB2312"/>
              </w:rPr>
              <w:t>供应商应授权合法的人员参加磋商全过程，法定代表人（或负责人）委托代理人参加磋商时，应提供法定代表人委托授权书及被授权人的参保缴费证明（须赋可查询的验证编号或验证二维码）；法定代表人（或负责人）亲自参加磋商时，应提供法定代表人（或负责人）身份证，并与营业执照上信息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供应商须具有有效的《危险化学品经营许可证》及《成品油零售经营批准证书》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单位公章</w:t>
            </w:r>
          </w:p>
        </w:tc>
        <w:tc>
          <w:tcPr>
            <w:tcW w:type="dxa" w:w="3322"/>
          </w:tcPr>
          <w:p>
            <w:pPr>
              <w:pStyle w:val="null3"/>
            </w:pPr>
            <w:r>
              <w:rPr>
                <w:rFonts w:ascii="仿宋_GB2312" w:hAnsi="仿宋_GB2312" w:cs="仿宋_GB2312" w:eastAsia="仿宋_GB2312"/>
              </w:rPr>
              <w:t>磋商响应文件加盖供应商单位公章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磋商响应文件按磋商文件要求法定代表人（或负责人）或其授权代表签字或盖章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供应商磋商报价未出现选择性报价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响应文件中技术、服务内容须达到采购要求，不得出现重大负偏差，降低服务要求</w:t>
            </w:r>
          </w:p>
        </w:tc>
        <w:tc>
          <w:tcPr>
            <w:tcW w:type="dxa" w:w="3322"/>
          </w:tcPr>
          <w:p>
            <w:pPr>
              <w:pStyle w:val="null3"/>
            </w:pPr>
            <w:r>
              <w:rPr>
                <w:rFonts w:ascii="仿宋_GB2312" w:hAnsi="仿宋_GB2312" w:cs="仿宋_GB2312" w:eastAsia="仿宋_GB2312"/>
              </w:rPr>
              <w:t>技术、服务内容达到采购要求，未出现重大负偏差，未降低了服务要求</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响应文件中不得附加采购人难以接受的条件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商务要求（合同草案条款）偏离表.docx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针对本项目提供供货方案： 1、提供加油服务工作的规范性措施； 2、提供工作站消防管理方案； 3、提供完整的应急工作预案； 4、提供针对本项目的服务管理制度； 5、提供完善的安全保障方案。 完整提供上述5项内容的得20分；每有一项未提供扣4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针对本项目提供质量保障方案 1、提供稳定的油源渠道； 2、使用的计量用具符合国家标准，不得缺斤少两； 3、提供加油台账的管理方案。 以上内容每提供一项得5分，满分15分，缺一项扣5分，扣完为止。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针对本项目提供合理的人员配置，计5分，未提供不得分。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1、提供加油站点点位及便捷线路； 2、针对本项目提供完整的售后服务承诺。 以上内容每提供一项得5分，满分10分，缺一项扣5分，扣完为止。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提供2023年1月至今类似项目业绩，业绩以合同为依据，响应文件中附有其证明资料，每提供一个业绩证明计4分，满分20分。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报价方式：下浮率 评标基准下浮率：满足磋商文件要求的有效投标报价中下浮率最高报价为评标基准下浮率，即其报价得分为30分，价格分计算公式：报价得分= (1-评价基准下浮率）/(1-投标下浮率）×30（最后得分取小数点后两位）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详见附件：磋商方案说明.docx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详见附件：商务要求（合同草案条款）偏离表.docx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