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55894">
      <w:pPr>
        <w:keepNext/>
        <w:spacing w:line="720" w:lineRule="exact"/>
        <w:jc w:val="center"/>
        <w:outlineLvl w:val="1"/>
        <w:rPr>
          <w:rFonts w:hint="eastAsia" w:ascii="黑体" w:hAnsi="黑体" w:eastAsia="黑体" w:cs="Times New Roman"/>
          <w:b/>
          <w:sz w:val="32"/>
          <w:szCs w:val="32"/>
          <w:lang w:val="zh-CN"/>
        </w:rPr>
      </w:pPr>
      <w:r>
        <w:rPr>
          <w:rFonts w:hint="eastAsia" w:ascii="黑体" w:hAnsi="黑体" w:eastAsia="黑体" w:cs="Times New Roman"/>
          <w:b/>
          <w:sz w:val="32"/>
          <w:szCs w:val="32"/>
          <w:lang w:val="zh-CN"/>
        </w:rPr>
        <w:t>合同草案条款</w:t>
      </w:r>
    </w:p>
    <w:p w14:paraId="55EFFCFD">
      <w:pPr>
        <w:widowControl w:val="0"/>
        <w:tabs>
          <w:tab w:val="left" w:pos="735"/>
        </w:tabs>
        <w:autoSpaceDE w:val="0"/>
        <w:autoSpaceDN w:val="0"/>
        <w:adjustRightInd w:val="0"/>
        <w:snapToGrid w:val="0"/>
        <w:spacing w:before="420" w:beforeLines="100" w:line="360" w:lineRule="auto"/>
        <w:ind w:firstLine="629"/>
        <w:jc w:val="both"/>
        <w:rPr>
          <w:rFonts w:hint="eastAsia" w:ascii="宋体" w:hAnsi="宋体" w:eastAsia="宋体" w:cs="宋体"/>
          <w:b/>
          <w:bCs/>
          <w:kern w:val="2"/>
          <w:sz w:val="20"/>
          <w:szCs w:val="20"/>
          <w:lang w:val="zh-CN"/>
        </w:rPr>
      </w:pPr>
      <w:r>
        <w:rPr>
          <w:rFonts w:hint="eastAsia" w:ascii="宋体" w:hAnsi="宋体" w:eastAsia="宋体" w:cs="宋体"/>
          <w:b/>
          <w:bCs/>
          <w:kern w:val="2"/>
          <w:sz w:val="20"/>
          <w:szCs w:val="20"/>
          <w:lang w:val="zh-CN"/>
        </w:rPr>
        <w:t>甲方：</w:t>
      </w:r>
      <w:r>
        <w:rPr>
          <w:rFonts w:hint="eastAsia" w:ascii="宋体" w:hAnsi="宋体" w:eastAsia="宋体" w:cs="宋体"/>
          <w:bCs/>
          <w:kern w:val="2"/>
          <w:sz w:val="20"/>
          <w:szCs w:val="20"/>
          <w:lang w:val="zh-CN"/>
        </w:rPr>
        <w:t>（前款所称采购人）     住所：</w:t>
      </w:r>
    </w:p>
    <w:p w14:paraId="72C9561E">
      <w:pPr>
        <w:widowControl w:val="0"/>
        <w:tabs>
          <w:tab w:val="left" w:pos="735"/>
        </w:tabs>
        <w:autoSpaceDE w:val="0"/>
        <w:autoSpaceDN w:val="0"/>
        <w:adjustRightInd w:val="0"/>
        <w:snapToGrid w:val="0"/>
        <w:spacing w:line="360" w:lineRule="auto"/>
        <w:ind w:firstLine="631"/>
        <w:jc w:val="both"/>
        <w:rPr>
          <w:rFonts w:hint="eastAsia" w:ascii="宋体" w:hAnsi="宋体" w:eastAsia="宋体" w:cs="宋体"/>
          <w:bCs/>
          <w:kern w:val="2"/>
          <w:sz w:val="20"/>
          <w:szCs w:val="20"/>
          <w:lang w:val="zh-CN"/>
        </w:rPr>
      </w:pPr>
      <w:r>
        <w:rPr>
          <w:rFonts w:hint="eastAsia" w:ascii="宋体" w:hAnsi="宋体" w:eastAsia="宋体" w:cs="宋体"/>
          <w:b/>
          <w:bCs/>
          <w:kern w:val="2"/>
          <w:sz w:val="20"/>
          <w:szCs w:val="20"/>
          <w:lang w:val="zh-CN"/>
        </w:rPr>
        <w:t>乙方：</w:t>
      </w:r>
      <w:r>
        <w:rPr>
          <w:rFonts w:hint="eastAsia" w:ascii="宋体" w:hAnsi="宋体" w:eastAsia="宋体" w:cs="宋体"/>
          <w:bCs/>
          <w:kern w:val="2"/>
          <w:sz w:val="20"/>
          <w:szCs w:val="20"/>
          <w:lang w:val="zh-CN"/>
        </w:rPr>
        <w:t>（前款所称中标人）     住所：</w:t>
      </w:r>
    </w:p>
    <w:p w14:paraId="30F99F6E">
      <w:pPr>
        <w:widowControl w:val="0"/>
        <w:numPr>
          <w:ilvl w:val="0"/>
          <w:numId w:val="1"/>
        </w:numPr>
        <w:adjustRightInd w:val="0"/>
        <w:snapToGrid w:val="0"/>
        <w:spacing w:line="360" w:lineRule="auto"/>
        <w:ind w:firstLine="402" w:firstLineChars="200"/>
        <w:jc w:val="both"/>
        <w:rPr>
          <w:rFonts w:hint="eastAsia" w:ascii="宋体" w:hAnsi="宋体" w:eastAsia="宋体" w:cs="宋体"/>
          <w:b/>
          <w:kern w:val="2"/>
          <w:sz w:val="20"/>
          <w:szCs w:val="20"/>
          <w:highlight w:val="none"/>
        </w:rPr>
      </w:pPr>
      <w:r>
        <w:rPr>
          <w:rFonts w:hint="eastAsia" w:ascii="宋体" w:hAnsi="宋体" w:eastAsia="宋体" w:cs="宋体"/>
          <w:b/>
          <w:kern w:val="2"/>
          <w:sz w:val="20"/>
          <w:szCs w:val="20"/>
          <w:highlight w:val="none"/>
        </w:rPr>
        <w:t>合同内容（标的、数量、质量等）:</w:t>
      </w:r>
    </w:p>
    <w:p w14:paraId="499904D3">
      <w:pPr>
        <w:widowControl w:val="0"/>
        <w:numPr>
          <w:ilvl w:val="0"/>
          <w:numId w:val="2"/>
        </w:numPr>
        <w:adjustRightInd w:val="0"/>
        <w:snapToGrid w:val="0"/>
        <w:spacing w:line="360" w:lineRule="auto"/>
        <w:ind w:firstLine="400" w:firstLineChars="200"/>
        <w:jc w:val="both"/>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lang w:val="en-US" w:eastAsia="zh-CN"/>
        </w:rPr>
        <w:t>乙方为甲方提供</w:t>
      </w:r>
      <w:r>
        <w:rPr>
          <w:rFonts w:hint="eastAsia" w:ascii="宋体" w:hAnsi="宋体" w:eastAsia="宋体" w:cs="宋体"/>
          <w:kern w:val="2"/>
          <w:sz w:val="20"/>
          <w:szCs w:val="20"/>
          <w:highlight w:val="none"/>
        </w:rPr>
        <w:t>5</w:t>
      </w:r>
      <w:r>
        <w:rPr>
          <w:rFonts w:hint="eastAsia" w:ascii="宋体" w:hAnsi="宋体" w:eastAsia="宋体" w:cs="宋体"/>
          <w:kern w:val="2"/>
          <w:sz w:val="20"/>
          <w:szCs w:val="20"/>
          <w:highlight w:val="none"/>
          <w:lang w:val="en-US" w:eastAsia="zh-CN"/>
        </w:rPr>
        <w:t>7</w:t>
      </w:r>
      <w:r>
        <w:rPr>
          <w:rFonts w:hint="eastAsia" w:ascii="宋体" w:hAnsi="宋体" w:eastAsia="宋体" w:cs="宋体"/>
          <w:kern w:val="2"/>
          <w:sz w:val="20"/>
          <w:szCs w:val="20"/>
          <w:highlight w:val="none"/>
        </w:rPr>
        <w:t>台执法车辆</w:t>
      </w:r>
      <w:r>
        <w:rPr>
          <w:rFonts w:hint="eastAsia" w:ascii="宋体" w:hAnsi="宋体" w:eastAsia="宋体" w:cs="宋体"/>
          <w:kern w:val="2"/>
          <w:sz w:val="20"/>
          <w:szCs w:val="20"/>
          <w:highlight w:val="none"/>
          <w:lang w:val="en-US" w:eastAsia="zh-CN"/>
        </w:rPr>
        <w:t>的燃油供货，</w:t>
      </w:r>
      <w:r>
        <w:rPr>
          <w:rFonts w:hint="eastAsia" w:ascii="宋体" w:hAnsi="宋体" w:eastAsia="宋体" w:cs="宋体"/>
          <w:kern w:val="2"/>
          <w:sz w:val="20"/>
          <w:szCs w:val="20"/>
          <w:highlight w:val="none"/>
        </w:rPr>
        <w:t>其中面包车45台，皮卡7台，拖车1台，金杯客车3台，日产帕拉丁1台。</w:t>
      </w:r>
    </w:p>
    <w:p w14:paraId="548C8C75">
      <w:pPr>
        <w:widowControl w:val="0"/>
        <w:numPr>
          <w:ilvl w:val="0"/>
          <w:numId w:val="2"/>
        </w:numPr>
        <w:adjustRightInd w:val="0"/>
        <w:snapToGrid w:val="0"/>
        <w:spacing w:line="360" w:lineRule="auto"/>
        <w:ind w:firstLine="400" w:firstLineChars="200"/>
        <w:jc w:val="both"/>
        <w:rPr>
          <w:rFonts w:hint="eastAsia" w:ascii="宋体" w:hAnsi="宋体" w:eastAsia="宋体" w:cs="宋体"/>
          <w:kern w:val="2"/>
          <w:sz w:val="20"/>
          <w:szCs w:val="20"/>
          <w:highlight w:val="none"/>
          <w:lang w:eastAsia="zh-CN"/>
        </w:rPr>
      </w:pPr>
      <w:r>
        <w:rPr>
          <w:rFonts w:hint="eastAsia" w:ascii="宋体" w:hAnsi="宋体" w:eastAsia="宋体" w:cs="宋体"/>
          <w:kern w:val="2"/>
          <w:sz w:val="20"/>
          <w:szCs w:val="20"/>
          <w:highlight w:val="none"/>
          <w:lang w:val="en-US" w:eastAsia="zh-CN"/>
        </w:rPr>
        <w:t>乙方提供燃油型号：</w:t>
      </w:r>
      <w:r>
        <w:rPr>
          <w:rFonts w:hint="eastAsia" w:ascii="宋体" w:hAnsi="宋体" w:eastAsia="宋体" w:cs="宋体"/>
          <w:kern w:val="2"/>
          <w:sz w:val="20"/>
          <w:szCs w:val="20"/>
          <w:highlight w:val="none"/>
        </w:rPr>
        <w:t>92#号汽油、柴油</w:t>
      </w:r>
      <w:r>
        <w:rPr>
          <w:rFonts w:hint="eastAsia" w:ascii="宋体" w:hAnsi="宋体" w:eastAsia="宋体" w:cs="宋体"/>
          <w:kern w:val="2"/>
          <w:sz w:val="20"/>
          <w:szCs w:val="20"/>
          <w:highlight w:val="none"/>
          <w:lang w:eastAsia="zh-CN"/>
        </w:rPr>
        <w:t>。</w:t>
      </w:r>
    </w:p>
    <w:p w14:paraId="3574484C">
      <w:pPr>
        <w:widowControl w:val="0"/>
        <w:numPr>
          <w:ilvl w:val="0"/>
          <w:numId w:val="2"/>
        </w:numPr>
        <w:adjustRightInd w:val="0"/>
        <w:snapToGrid w:val="0"/>
        <w:spacing w:line="360" w:lineRule="auto"/>
        <w:ind w:firstLine="400" w:firstLineChars="200"/>
        <w:jc w:val="both"/>
        <w:rPr>
          <w:rFonts w:hint="eastAsia" w:ascii="宋体" w:hAnsi="宋体" w:eastAsia="宋体" w:cs="宋体"/>
          <w:kern w:val="2"/>
          <w:sz w:val="20"/>
          <w:szCs w:val="20"/>
          <w:highlight w:val="none"/>
          <w:lang w:eastAsia="zh-CN"/>
        </w:rPr>
      </w:pPr>
      <w:r>
        <w:rPr>
          <w:rFonts w:hint="eastAsia" w:ascii="宋体" w:hAnsi="宋体" w:eastAsia="宋体" w:cs="宋体"/>
          <w:kern w:val="2"/>
          <w:sz w:val="20"/>
          <w:szCs w:val="20"/>
          <w:highlight w:val="none"/>
          <w:lang w:eastAsia="zh-CN"/>
        </w:rPr>
        <w:t>油品符合现行国家标准，保质保量，检验合格。</w:t>
      </w:r>
    </w:p>
    <w:p w14:paraId="73661367">
      <w:pPr>
        <w:widowControl w:val="0"/>
        <w:adjustRightInd w:val="0"/>
        <w:snapToGrid w:val="0"/>
        <w:spacing w:line="360" w:lineRule="auto"/>
        <w:ind w:firstLine="402" w:firstLineChars="200"/>
        <w:jc w:val="both"/>
        <w:rPr>
          <w:rFonts w:hint="eastAsia" w:ascii="宋体" w:hAnsi="宋体" w:eastAsia="宋体" w:cs="宋体"/>
          <w:b/>
          <w:kern w:val="2"/>
          <w:sz w:val="20"/>
          <w:szCs w:val="20"/>
        </w:rPr>
      </w:pPr>
      <w:r>
        <w:rPr>
          <w:rFonts w:hint="eastAsia" w:ascii="宋体" w:hAnsi="宋体" w:eastAsia="宋体" w:cs="宋体"/>
          <w:b/>
          <w:kern w:val="2"/>
          <w:sz w:val="20"/>
          <w:szCs w:val="20"/>
        </w:rPr>
        <w:t>二、合同价款</w:t>
      </w:r>
    </w:p>
    <w:p w14:paraId="349E0CF9">
      <w:pPr>
        <w:widowControl w:val="0"/>
        <w:adjustRightInd w:val="0"/>
        <w:snapToGrid w:val="0"/>
        <w:spacing w:line="360" w:lineRule="auto"/>
        <w:ind w:firstLine="400" w:firstLineChars="200"/>
        <w:jc w:val="both"/>
        <w:rPr>
          <w:rFonts w:hint="default" w:ascii="宋体" w:hAnsi="宋体" w:eastAsia="宋体" w:cs="宋体"/>
          <w:kern w:val="2"/>
          <w:sz w:val="20"/>
          <w:szCs w:val="20"/>
          <w:u w:val="single"/>
          <w:lang w:val="en-US" w:eastAsia="zh-CN"/>
        </w:rPr>
      </w:pPr>
      <w:r>
        <w:rPr>
          <w:rFonts w:hint="eastAsia" w:ascii="宋体" w:hAnsi="宋体" w:eastAsia="宋体" w:cs="宋体"/>
          <w:kern w:val="2"/>
          <w:sz w:val="20"/>
          <w:szCs w:val="20"/>
        </w:rPr>
        <w:t>1、合同</w:t>
      </w:r>
      <w:r>
        <w:rPr>
          <w:rFonts w:hint="eastAsia" w:ascii="宋体" w:hAnsi="宋体" w:eastAsia="宋体" w:cs="宋体"/>
          <w:kern w:val="2"/>
          <w:sz w:val="20"/>
          <w:szCs w:val="20"/>
          <w:lang w:val="en-US" w:eastAsia="zh-CN"/>
        </w:rPr>
        <w:t>价格</w:t>
      </w:r>
      <w:r>
        <w:rPr>
          <w:rFonts w:hint="eastAsia" w:ascii="宋体" w:hAnsi="宋体" w:eastAsia="宋体" w:cs="宋体"/>
          <w:kern w:val="2"/>
          <w:sz w:val="20"/>
          <w:szCs w:val="20"/>
        </w:rPr>
        <w:t>（</w:t>
      </w:r>
      <w:r>
        <w:rPr>
          <w:rFonts w:hint="eastAsia" w:ascii="宋体" w:hAnsi="宋体" w:eastAsia="宋体" w:cs="宋体"/>
          <w:kern w:val="2"/>
          <w:sz w:val="20"/>
          <w:szCs w:val="20"/>
          <w:lang w:val="en-US" w:eastAsia="zh-CN"/>
        </w:rPr>
        <w:t>下浮率）</w:t>
      </w:r>
      <w:r>
        <w:rPr>
          <w:rFonts w:hint="eastAsia" w:ascii="宋体" w:hAnsi="宋体" w:eastAsia="宋体" w:cs="宋体"/>
          <w:kern w:val="2"/>
          <w:sz w:val="20"/>
          <w:szCs w:val="20"/>
        </w:rPr>
        <w:t>：</w:t>
      </w:r>
      <w:r>
        <w:rPr>
          <w:rFonts w:hint="eastAsia" w:ascii="宋体" w:hAnsi="宋体" w:eastAsia="宋体" w:cs="宋体"/>
          <w:kern w:val="2"/>
          <w:sz w:val="20"/>
          <w:szCs w:val="20"/>
          <w:u w:val="single"/>
          <w:lang w:val="en-US" w:eastAsia="zh-CN"/>
        </w:rPr>
        <w:t xml:space="preserve">     </w:t>
      </w:r>
      <w:r>
        <w:rPr>
          <w:rFonts w:hint="eastAsia" w:ascii="宋体" w:hAnsi="宋体" w:eastAsia="宋体" w:cs="宋体"/>
          <w:kern w:val="2"/>
          <w:sz w:val="20"/>
          <w:szCs w:val="20"/>
          <w:u w:val="none"/>
          <w:lang w:val="en-US" w:eastAsia="zh-CN"/>
        </w:rPr>
        <w:t>%</w:t>
      </w:r>
    </w:p>
    <w:p w14:paraId="4F7296DA">
      <w:pPr>
        <w:widowControl w:val="0"/>
        <w:adjustRightInd w:val="0"/>
        <w:snapToGrid w:val="0"/>
        <w:spacing w:line="360" w:lineRule="auto"/>
        <w:ind w:firstLine="400" w:firstLineChars="200"/>
        <w:jc w:val="both"/>
        <w:rPr>
          <w:rFonts w:hint="eastAsia" w:ascii="宋体" w:hAnsi="宋体" w:eastAsia="宋体" w:cs="宋体"/>
          <w:kern w:val="2"/>
          <w:sz w:val="20"/>
          <w:szCs w:val="20"/>
        </w:rPr>
      </w:pPr>
      <w:r>
        <w:rPr>
          <w:rFonts w:hint="eastAsia" w:ascii="宋体" w:hAnsi="宋体" w:eastAsia="宋体" w:cs="宋体"/>
          <w:kern w:val="2"/>
          <w:sz w:val="20"/>
          <w:szCs w:val="20"/>
        </w:rPr>
        <w:t>2、合同价格包括完成合同内容所需的一切费用。</w:t>
      </w:r>
    </w:p>
    <w:p w14:paraId="7A1210BE">
      <w:pPr>
        <w:widowControl w:val="0"/>
        <w:adjustRightInd w:val="0"/>
        <w:snapToGrid w:val="0"/>
        <w:spacing w:line="360" w:lineRule="auto"/>
        <w:ind w:firstLine="400" w:firstLineChars="200"/>
        <w:jc w:val="both"/>
        <w:rPr>
          <w:rFonts w:hint="eastAsia" w:ascii="宋体" w:hAnsi="宋体" w:eastAsia="宋体" w:cs="宋体"/>
          <w:kern w:val="2"/>
          <w:sz w:val="20"/>
          <w:szCs w:val="20"/>
        </w:rPr>
      </w:pPr>
      <w:r>
        <w:rPr>
          <w:rFonts w:hint="eastAsia" w:ascii="宋体" w:hAnsi="宋体" w:eastAsia="宋体" w:cs="宋体"/>
          <w:kern w:val="2"/>
          <w:sz w:val="20"/>
          <w:szCs w:val="20"/>
        </w:rPr>
        <w:t>3、合同</w:t>
      </w:r>
      <w:r>
        <w:rPr>
          <w:rFonts w:hint="eastAsia" w:ascii="宋体" w:hAnsi="宋体" w:eastAsia="宋体" w:cs="宋体"/>
          <w:kern w:val="2"/>
          <w:sz w:val="20"/>
          <w:szCs w:val="20"/>
          <w:lang w:val="en-US" w:eastAsia="zh-CN"/>
        </w:rPr>
        <w:t>下浮率</w:t>
      </w:r>
      <w:r>
        <w:rPr>
          <w:rFonts w:hint="eastAsia" w:ascii="宋体" w:hAnsi="宋体" w:eastAsia="宋体" w:cs="宋体"/>
          <w:kern w:val="2"/>
          <w:sz w:val="20"/>
          <w:szCs w:val="20"/>
        </w:rPr>
        <w:t>一次包死，不受市场价变化的影响。</w:t>
      </w:r>
    </w:p>
    <w:p w14:paraId="22194A47">
      <w:pPr>
        <w:widowControl w:val="0"/>
        <w:adjustRightInd w:val="0"/>
        <w:snapToGrid w:val="0"/>
        <w:spacing w:line="360" w:lineRule="auto"/>
        <w:ind w:firstLine="402" w:firstLineChars="200"/>
        <w:jc w:val="both"/>
        <w:rPr>
          <w:rFonts w:hint="eastAsia" w:ascii="宋体" w:hAnsi="宋体" w:eastAsia="宋体" w:cs="宋体"/>
          <w:b/>
          <w:kern w:val="2"/>
          <w:sz w:val="20"/>
          <w:szCs w:val="20"/>
        </w:rPr>
      </w:pPr>
      <w:r>
        <w:rPr>
          <w:rFonts w:hint="eastAsia" w:ascii="宋体" w:hAnsi="宋体" w:eastAsia="宋体" w:cs="宋体"/>
          <w:b/>
          <w:kern w:val="2"/>
          <w:sz w:val="20"/>
          <w:szCs w:val="20"/>
        </w:rPr>
        <w:t>三、合同结算</w:t>
      </w:r>
    </w:p>
    <w:p w14:paraId="3F434602">
      <w:pPr>
        <w:widowControl w:val="0"/>
        <w:adjustRightInd w:val="0"/>
        <w:snapToGrid w:val="0"/>
        <w:spacing w:line="360" w:lineRule="auto"/>
        <w:ind w:firstLine="400" w:firstLineChars="200"/>
        <w:jc w:val="both"/>
        <w:rPr>
          <w:rFonts w:hint="eastAsia" w:ascii="宋体" w:hAnsi="宋体" w:eastAsia="宋体" w:cs="宋体"/>
          <w:kern w:val="2"/>
          <w:sz w:val="20"/>
          <w:szCs w:val="20"/>
        </w:rPr>
      </w:pPr>
      <w:r>
        <w:rPr>
          <w:rFonts w:hint="eastAsia" w:ascii="宋体" w:hAnsi="宋体" w:eastAsia="宋体" w:cs="宋体"/>
          <w:kern w:val="2"/>
          <w:sz w:val="20"/>
          <w:szCs w:val="20"/>
        </w:rPr>
        <w:t>1、付款比例：</w:t>
      </w:r>
    </w:p>
    <w:p w14:paraId="0DAEA8A7">
      <w:pPr>
        <w:widowControl w:val="0"/>
        <w:adjustRightInd w:val="0"/>
        <w:snapToGrid w:val="0"/>
        <w:spacing w:line="360" w:lineRule="auto"/>
        <w:ind w:firstLine="400" w:firstLineChars="200"/>
        <w:jc w:val="both"/>
        <w:rPr>
          <w:rFonts w:hint="eastAsia" w:ascii="宋体" w:hAnsi="宋体" w:eastAsia="宋体" w:cs="宋体"/>
          <w:kern w:val="2"/>
          <w:sz w:val="20"/>
          <w:szCs w:val="20"/>
          <w:lang w:val="en-US" w:eastAsia="zh-CN"/>
        </w:rPr>
      </w:pPr>
      <w:r>
        <w:rPr>
          <w:rFonts w:hint="eastAsia" w:ascii="宋体" w:hAnsi="宋体" w:eastAsia="宋体" w:cs="宋体"/>
          <w:kern w:val="2"/>
          <w:sz w:val="20"/>
          <w:szCs w:val="20"/>
        </w:rPr>
        <w:t>乙方提供上月燃油加油清单，经甲方确认无误后，次月10日前结算上月燃油费，按照本项目成交下浮率据实结算</w:t>
      </w:r>
      <w:r>
        <w:rPr>
          <w:rFonts w:hint="eastAsia" w:ascii="宋体" w:hAnsi="宋体" w:eastAsia="宋体" w:cs="宋体"/>
          <w:kern w:val="2"/>
          <w:sz w:val="20"/>
          <w:szCs w:val="20"/>
          <w:lang w:eastAsia="zh-CN"/>
        </w:rPr>
        <w:t>。</w:t>
      </w:r>
    </w:p>
    <w:p w14:paraId="37C7846B">
      <w:pPr>
        <w:widowControl w:val="0"/>
        <w:adjustRightInd w:val="0"/>
        <w:snapToGrid w:val="0"/>
        <w:spacing w:line="360" w:lineRule="auto"/>
        <w:ind w:firstLine="400" w:firstLineChars="200"/>
        <w:jc w:val="both"/>
        <w:rPr>
          <w:rFonts w:hint="eastAsia" w:ascii="宋体" w:hAnsi="宋体" w:eastAsia="宋体" w:cs="宋体"/>
          <w:kern w:val="2"/>
          <w:sz w:val="20"/>
          <w:szCs w:val="20"/>
        </w:rPr>
      </w:pPr>
      <w:r>
        <w:rPr>
          <w:rFonts w:hint="eastAsia" w:ascii="宋体" w:hAnsi="宋体" w:eastAsia="宋体" w:cs="宋体"/>
          <w:kern w:val="2"/>
          <w:sz w:val="20"/>
          <w:szCs w:val="20"/>
        </w:rPr>
        <w:t>2、结算方式：银行转账。</w:t>
      </w:r>
    </w:p>
    <w:p w14:paraId="1388AB94">
      <w:pPr>
        <w:adjustRightInd w:val="0"/>
        <w:snapToGrid w:val="0"/>
        <w:spacing w:line="360" w:lineRule="auto"/>
        <w:ind w:firstLine="400" w:firstLineChars="200"/>
        <w:rPr>
          <w:rFonts w:hint="eastAsia" w:ascii="宋体" w:hAnsi="宋体" w:eastAsia="宋体" w:cs="宋体"/>
          <w:kern w:val="2"/>
          <w:sz w:val="20"/>
          <w:szCs w:val="20"/>
          <w:lang w:eastAsia="zh-CN"/>
        </w:rPr>
      </w:pPr>
      <w:r>
        <w:rPr>
          <w:rFonts w:hint="eastAsia" w:ascii="宋体" w:hAnsi="宋体" w:eastAsia="宋体" w:cs="宋体"/>
          <w:kern w:val="2"/>
          <w:sz w:val="20"/>
          <w:szCs w:val="20"/>
        </w:rPr>
        <w:t>3、结算单位：由</w:t>
      </w:r>
      <w:r>
        <w:rPr>
          <w:rFonts w:hint="eastAsia" w:ascii="宋体" w:hAnsi="宋体" w:eastAsia="宋体" w:cs="宋体"/>
          <w:kern w:val="2"/>
          <w:sz w:val="20"/>
          <w:szCs w:val="20"/>
          <w:u w:val="single"/>
        </w:rPr>
        <w:t xml:space="preserve"> 甲方 </w:t>
      </w:r>
      <w:r>
        <w:rPr>
          <w:rFonts w:hint="eastAsia" w:ascii="宋体" w:hAnsi="宋体" w:eastAsia="宋体" w:cs="宋体"/>
          <w:kern w:val="2"/>
          <w:sz w:val="20"/>
          <w:szCs w:val="20"/>
        </w:rPr>
        <w:t>负责结算</w:t>
      </w:r>
      <w:r>
        <w:rPr>
          <w:rFonts w:hint="eastAsia" w:ascii="宋体" w:hAnsi="宋体" w:eastAsia="宋体" w:cs="宋体"/>
          <w:kern w:val="2"/>
          <w:sz w:val="20"/>
          <w:szCs w:val="20"/>
          <w:lang w:eastAsia="zh-CN"/>
        </w:rPr>
        <w:t>，乙方须向甲方提供在税务部门开具真实有效的正式税务发票（所需税费由乙方自行承担）。</w:t>
      </w:r>
    </w:p>
    <w:p w14:paraId="527AD3B8">
      <w:pPr>
        <w:adjustRightInd w:val="0"/>
        <w:snapToGrid w:val="0"/>
        <w:spacing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rPr>
        <w:t>四、履行期限、地点及方式:</w:t>
      </w:r>
    </w:p>
    <w:p w14:paraId="4D191E2C">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1、履行期限：一年</w:t>
      </w:r>
    </w:p>
    <w:p w14:paraId="57A76024">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2、地点：按照采购人要求</w:t>
      </w:r>
    </w:p>
    <w:p w14:paraId="4B201CF8">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3、方式：按照采购人要求</w:t>
      </w:r>
    </w:p>
    <w:p w14:paraId="2A043268">
      <w:pPr>
        <w:adjustRightInd w:val="0"/>
        <w:snapToGrid w:val="0"/>
        <w:spacing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rPr>
        <w:t>五、质量保证</w:t>
      </w:r>
    </w:p>
    <w:p w14:paraId="7E0E913A">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1、所供油品必须经过办理正常手续。</w:t>
      </w:r>
    </w:p>
    <w:p w14:paraId="0FE648EC">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2、所供油品是经过国家法定检验、准许市场销售的合法产品。</w:t>
      </w:r>
    </w:p>
    <w:p w14:paraId="10883A1D">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3、货物性能稳定、具有较好的使用效果，质量保证措施完善，符合国家相关标准。</w:t>
      </w:r>
    </w:p>
    <w:p w14:paraId="552A1CBC">
      <w:pPr>
        <w:adjustRightInd w:val="0"/>
        <w:snapToGrid w:val="0"/>
        <w:spacing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rPr>
        <w:t>六、甲方的权利和义务</w:t>
      </w:r>
    </w:p>
    <w:p w14:paraId="4B9D4CF6">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1、甲方有权在乙方的所有加油站凭卡加油，且享受同等优惠率。</w:t>
      </w:r>
    </w:p>
    <w:p w14:paraId="6C9E4C16">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2、根据本合同规定，按时向乙方支付应付费用。</w:t>
      </w:r>
    </w:p>
    <w:p w14:paraId="0FD9D637">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3、国家法律、法规所规定由甲方承担的其它责任。</w:t>
      </w:r>
    </w:p>
    <w:p w14:paraId="32FBB6F3">
      <w:pPr>
        <w:adjustRightInd w:val="0"/>
        <w:snapToGrid w:val="0"/>
        <w:spacing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rPr>
        <w:t>七、乙方的权利和义务</w:t>
      </w:r>
    </w:p>
    <w:p w14:paraId="7DA6603D">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1、对本合同规定的范围内的享有管理权及服务义务。</w:t>
      </w:r>
    </w:p>
    <w:p w14:paraId="72C70DCD">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2、及时向甲方通告本项目执行范围内有关的重大事项，及时处理出现的问题。</w:t>
      </w:r>
    </w:p>
    <w:p w14:paraId="5969653C">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3、接受项目行业管理部门及政府有关部门的监督指导，接受甲方的监督。</w:t>
      </w:r>
    </w:p>
    <w:p w14:paraId="3B5DA110">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4、国家法律、法规所规定由乙方承担的其它责任。</w:t>
      </w:r>
      <w:bookmarkStart w:id="0" w:name="_Toc19515391"/>
    </w:p>
    <w:p w14:paraId="11F8BCBB">
      <w:pPr>
        <w:adjustRightInd w:val="0"/>
        <w:snapToGrid w:val="0"/>
        <w:spacing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rPr>
        <w:t>八、验收</w:t>
      </w:r>
      <w:bookmarkEnd w:id="0"/>
      <w:r>
        <w:rPr>
          <w:rFonts w:hint="eastAsia" w:ascii="宋体" w:hAnsi="宋体" w:eastAsia="宋体" w:cs="宋体"/>
          <w:b/>
          <w:bCs/>
          <w:sz w:val="20"/>
          <w:szCs w:val="20"/>
        </w:rPr>
        <w:t>要求</w:t>
      </w:r>
    </w:p>
    <w:p w14:paraId="0E6D0437">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1、甲方对乙方的服务情况进行不定期考核。</w:t>
      </w:r>
    </w:p>
    <w:p w14:paraId="074760E4">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2、验收依据：</w:t>
      </w:r>
    </w:p>
    <w:p w14:paraId="585CB310">
      <w:pPr>
        <w:adjustRightInd w:val="0"/>
        <w:snapToGrid w:val="0"/>
        <w:spacing w:line="360" w:lineRule="auto"/>
        <w:ind w:firstLine="400" w:firstLineChars="200"/>
        <w:rPr>
          <w:rFonts w:hint="eastAsia" w:ascii="宋体" w:hAnsi="宋体" w:eastAsia="宋体" w:cs="宋体"/>
          <w:sz w:val="20"/>
          <w:szCs w:val="20"/>
        </w:rPr>
      </w:pPr>
      <w:bookmarkStart w:id="1" w:name="_Toc19515392"/>
      <w:r>
        <w:rPr>
          <w:rFonts w:hint="eastAsia" w:ascii="宋体" w:hAnsi="宋体" w:eastAsia="宋体" w:cs="宋体"/>
          <w:sz w:val="20"/>
          <w:szCs w:val="20"/>
        </w:rPr>
        <w:t>2-1、合同文本、合同附件、</w:t>
      </w:r>
      <w:r>
        <w:rPr>
          <w:rFonts w:hint="eastAsia" w:ascii="宋体" w:hAnsi="宋体" w:eastAsia="宋体" w:cs="宋体"/>
          <w:sz w:val="20"/>
          <w:szCs w:val="20"/>
          <w:lang w:val="en-US" w:eastAsia="zh-CN"/>
        </w:rPr>
        <w:t>磋商</w:t>
      </w:r>
      <w:r>
        <w:rPr>
          <w:rFonts w:hint="eastAsia" w:ascii="宋体" w:hAnsi="宋体" w:eastAsia="宋体" w:cs="宋体"/>
          <w:sz w:val="20"/>
          <w:szCs w:val="20"/>
        </w:rPr>
        <w:t>文件、</w:t>
      </w:r>
      <w:r>
        <w:rPr>
          <w:rFonts w:hint="eastAsia" w:ascii="宋体" w:hAnsi="宋体" w:eastAsia="宋体" w:cs="宋体"/>
          <w:sz w:val="20"/>
          <w:szCs w:val="20"/>
          <w:lang w:val="en-US" w:eastAsia="zh-CN"/>
        </w:rPr>
        <w:t>响应</w:t>
      </w:r>
      <w:r>
        <w:rPr>
          <w:rFonts w:hint="eastAsia" w:ascii="宋体" w:hAnsi="宋体" w:eastAsia="宋体" w:cs="宋体"/>
          <w:sz w:val="20"/>
          <w:szCs w:val="20"/>
        </w:rPr>
        <w:t>文件。</w:t>
      </w:r>
    </w:p>
    <w:p w14:paraId="774E5B67">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2-2、国内相应的标准、规范。</w:t>
      </w:r>
    </w:p>
    <w:p w14:paraId="372596E7">
      <w:pPr>
        <w:adjustRightInd w:val="0"/>
        <w:snapToGrid w:val="0"/>
        <w:spacing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rPr>
        <w:t>九、</w:t>
      </w:r>
      <w:r>
        <w:rPr>
          <w:rFonts w:hint="eastAsia" w:ascii="宋体" w:hAnsi="宋体" w:eastAsia="宋体" w:cs="宋体"/>
          <w:b/>
          <w:bCs/>
          <w:sz w:val="20"/>
          <w:szCs w:val="20"/>
          <w:lang w:val="en-US" w:eastAsia="zh-CN"/>
        </w:rPr>
        <w:t>绩效评价与资金支付条款</w:t>
      </w:r>
    </w:p>
    <w:p w14:paraId="43970AFA">
      <w:pPr>
        <w:adjustRightInd w:val="0"/>
        <w:snapToGrid w:val="0"/>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1.绩效评价机制</w:t>
      </w:r>
    </w:p>
    <w:p w14:paraId="7981FE88">
      <w:pPr>
        <w:adjustRightInd w:val="0"/>
        <w:snapToGrid w:val="0"/>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甲方负责对乙方的服务成果进行绩效评价，评价内容包括但不限于服务质量、时效性、合规性及用户满意度，绩效评价采用百分制，总分值为100分。</w:t>
      </w:r>
    </w:p>
    <w:p w14:paraId="31131753">
      <w:pPr>
        <w:adjustRightInd w:val="0"/>
        <w:snapToGrid w:val="0"/>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2.资金支付规则</w:t>
      </w:r>
    </w:p>
    <w:p w14:paraId="6235A520">
      <w:pPr>
        <w:adjustRightInd w:val="0"/>
        <w:snapToGrid w:val="0"/>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根据绩效评价结果，甲方按以下比例支付合同款项：</w:t>
      </w:r>
    </w:p>
    <w:p w14:paraId="2BE5BE87">
      <w:pPr>
        <w:adjustRightInd w:val="0"/>
        <w:snapToGrid w:val="0"/>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优秀（≥90分）：支付上月结算款项的100%；</w:t>
      </w:r>
    </w:p>
    <w:p w14:paraId="1335CF0D">
      <w:pPr>
        <w:adjustRightInd w:val="0"/>
        <w:snapToGrid w:val="0"/>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良好（80-89分）：支付上月结算款项的90%；</w:t>
      </w:r>
    </w:p>
    <w:p w14:paraId="0351C845">
      <w:pPr>
        <w:adjustRightInd w:val="0"/>
        <w:snapToGrid w:val="0"/>
        <w:spacing w:line="360" w:lineRule="auto"/>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合格（60-79分）：支付上月结算款项的70%；</w:t>
      </w:r>
    </w:p>
    <w:p w14:paraId="5FEE985C">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lang w:val="en-US" w:eastAsia="zh-CN"/>
        </w:rPr>
        <w:t>不合格（＜60分）：不予支付上月结算款项。</w:t>
      </w:r>
    </w:p>
    <w:p w14:paraId="14158285">
      <w:pPr>
        <w:adjustRightInd w:val="0"/>
        <w:snapToGrid w:val="0"/>
        <w:spacing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lang w:val="en-US" w:eastAsia="zh-CN"/>
        </w:rPr>
        <w:t>十</w:t>
      </w:r>
      <w:r>
        <w:rPr>
          <w:rFonts w:hint="eastAsia" w:ascii="宋体" w:hAnsi="宋体" w:eastAsia="宋体" w:cs="宋体"/>
          <w:b/>
          <w:bCs/>
          <w:sz w:val="20"/>
          <w:szCs w:val="20"/>
        </w:rPr>
        <w:t>、违约责任</w:t>
      </w:r>
      <w:bookmarkEnd w:id="1"/>
    </w:p>
    <w:p w14:paraId="183CE4C9">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1、违约责任按《中华人民共和国民法典》处理中的相关条款执行。</w:t>
      </w:r>
    </w:p>
    <w:p w14:paraId="7321BCE5">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2、乙方未按合同要求提供货物或质量不能满足技术要求，甲方会同监督机构有权终止合同，对乙方违约行为进行追究，同时按政府采购法的有关规定进行相应的处罚。</w:t>
      </w:r>
    </w:p>
    <w:p w14:paraId="7058A123">
      <w:pPr>
        <w:adjustRightInd w:val="0"/>
        <w:snapToGrid w:val="0"/>
        <w:spacing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rPr>
        <w:t>十、不可抗力事件处理</w:t>
      </w:r>
    </w:p>
    <w:p w14:paraId="132AB6FA">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8BA40A7">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14:paraId="4C4F2A79">
      <w:pPr>
        <w:adjustRightInd w:val="0"/>
        <w:snapToGrid w:val="0"/>
        <w:spacing w:line="360" w:lineRule="auto"/>
        <w:ind w:firstLine="402" w:firstLineChars="200"/>
        <w:rPr>
          <w:rFonts w:hint="eastAsia" w:ascii="宋体" w:hAnsi="宋体" w:eastAsia="宋体" w:cs="宋体"/>
          <w:b/>
          <w:bCs/>
          <w:sz w:val="20"/>
          <w:szCs w:val="20"/>
        </w:rPr>
      </w:pPr>
      <w:bookmarkStart w:id="2" w:name="_Toc19515393"/>
      <w:r>
        <w:rPr>
          <w:rFonts w:hint="eastAsia" w:ascii="宋体" w:hAnsi="宋体" w:eastAsia="宋体" w:cs="宋体"/>
          <w:b/>
          <w:bCs/>
          <w:sz w:val="20"/>
          <w:szCs w:val="20"/>
        </w:rPr>
        <w:t>十一、合同组成</w:t>
      </w:r>
      <w:bookmarkEnd w:id="2"/>
    </w:p>
    <w:p w14:paraId="141D3BB3">
      <w:pPr>
        <w:adjustRightInd w:val="0"/>
        <w:snapToGrid w:val="0"/>
        <w:spacing w:line="360" w:lineRule="auto"/>
        <w:ind w:firstLine="400" w:firstLineChars="200"/>
        <w:rPr>
          <w:rFonts w:hint="eastAsia" w:ascii="宋体" w:hAnsi="宋体" w:eastAsia="宋体" w:cs="宋体"/>
          <w:sz w:val="20"/>
          <w:szCs w:val="20"/>
        </w:rPr>
      </w:pPr>
      <w:bookmarkStart w:id="3" w:name="_Toc19515394"/>
      <w:r>
        <w:rPr>
          <w:rFonts w:hint="eastAsia" w:ascii="宋体" w:hAnsi="宋体" w:eastAsia="宋体" w:cs="宋体"/>
          <w:sz w:val="20"/>
          <w:szCs w:val="20"/>
        </w:rPr>
        <w:t>1、</w:t>
      </w:r>
      <w:r>
        <w:rPr>
          <w:rFonts w:hint="eastAsia" w:ascii="宋体" w:hAnsi="宋体" w:eastAsia="宋体" w:cs="宋体"/>
          <w:sz w:val="20"/>
          <w:szCs w:val="20"/>
          <w:lang w:val="en-US" w:eastAsia="zh-CN"/>
        </w:rPr>
        <w:t>成交</w:t>
      </w:r>
      <w:r>
        <w:rPr>
          <w:rFonts w:hint="eastAsia" w:ascii="宋体" w:hAnsi="宋体" w:eastAsia="宋体" w:cs="宋体"/>
          <w:sz w:val="20"/>
          <w:szCs w:val="20"/>
        </w:rPr>
        <w:t>通知书</w:t>
      </w:r>
    </w:p>
    <w:p w14:paraId="40881067">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2、合同文件</w:t>
      </w:r>
    </w:p>
    <w:p w14:paraId="3EEA191C">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3、国家相关规范及标准</w:t>
      </w:r>
    </w:p>
    <w:p w14:paraId="55F947E9">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lang w:val="en-US" w:eastAsia="zh-CN"/>
        </w:rPr>
        <w:t>4</w:t>
      </w:r>
      <w:r>
        <w:rPr>
          <w:rFonts w:hint="eastAsia" w:ascii="宋体" w:hAnsi="宋体" w:eastAsia="宋体" w:cs="宋体"/>
          <w:sz w:val="20"/>
          <w:szCs w:val="20"/>
        </w:rPr>
        <w:t>、</w:t>
      </w:r>
      <w:r>
        <w:rPr>
          <w:rFonts w:hint="eastAsia" w:ascii="宋体" w:hAnsi="宋体" w:eastAsia="宋体" w:cs="宋体"/>
          <w:sz w:val="20"/>
          <w:szCs w:val="20"/>
          <w:lang w:val="en-US" w:eastAsia="zh-CN"/>
        </w:rPr>
        <w:t>磋商</w:t>
      </w:r>
      <w:r>
        <w:rPr>
          <w:rFonts w:hint="eastAsia" w:ascii="宋体" w:hAnsi="宋体" w:eastAsia="宋体" w:cs="宋体"/>
          <w:sz w:val="20"/>
          <w:szCs w:val="20"/>
        </w:rPr>
        <w:t>文件</w:t>
      </w:r>
    </w:p>
    <w:p w14:paraId="5748A97C">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lang w:val="en-US" w:eastAsia="zh-CN"/>
        </w:rPr>
        <w:t>5</w:t>
      </w:r>
      <w:r>
        <w:rPr>
          <w:rFonts w:hint="eastAsia" w:ascii="宋体" w:hAnsi="宋体" w:eastAsia="宋体" w:cs="宋体"/>
          <w:sz w:val="20"/>
          <w:szCs w:val="20"/>
        </w:rPr>
        <w:t>、</w:t>
      </w:r>
      <w:r>
        <w:rPr>
          <w:rFonts w:hint="eastAsia" w:ascii="宋体" w:hAnsi="宋体" w:eastAsia="宋体" w:cs="宋体"/>
          <w:sz w:val="20"/>
          <w:szCs w:val="20"/>
          <w:lang w:val="en-US" w:eastAsia="zh-CN"/>
        </w:rPr>
        <w:t>响应文件</w:t>
      </w:r>
      <w:r>
        <w:rPr>
          <w:rFonts w:hint="eastAsia" w:ascii="宋体" w:hAnsi="宋体" w:eastAsia="宋体" w:cs="宋体"/>
          <w:sz w:val="20"/>
          <w:szCs w:val="20"/>
        </w:rPr>
        <w:t>文件</w:t>
      </w:r>
    </w:p>
    <w:p w14:paraId="199ACCD8">
      <w:pPr>
        <w:adjustRightInd w:val="0"/>
        <w:snapToGrid w:val="0"/>
        <w:spacing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rPr>
        <w:t>十二、解决争议的方法</w:t>
      </w:r>
      <w:bookmarkEnd w:id="3"/>
    </w:p>
    <w:p w14:paraId="62B1494B">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凡因本合同引起的或与本合同有关的争议，双方应友好协商解决。协商不成时，双方均同意采用以下第（  ）种争议解决方式：</w:t>
      </w:r>
    </w:p>
    <w:p w14:paraId="46559F62">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（1）甲、乙双方均同意向（甲方所在地人民法院）提起诉讼。</w:t>
      </w:r>
    </w:p>
    <w:p w14:paraId="5DD043F9">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（2）甲、乙双方均同意向（</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"http://www.baidu.com/s?wd=%E4%BB%B2%E8%A3%81%E5%A7%94%E5%91%98%E4%BC%9A&amp;tn=SE_PcZhidaonwhc_ngpagmjz&amp;rsv_dl=gh_pc_zhidao" \t "_blank" </w:instrText>
      </w:r>
      <w:r>
        <w:rPr>
          <w:rFonts w:hint="eastAsia" w:ascii="宋体" w:hAnsi="宋体" w:eastAsia="宋体" w:cs="宋体"/>
          <w:sz w:val="20"/>
          <w:szCs w:val="20"/>
        </w:rPr>
        <w:fldChar w:fldCharType="separate"/>
      </w:r>
      <w:r>
        <w:rPr>
          <w:rFonts w:hint="eastAsia" w:ascii="宋体" w:hAnsi="宋体" w:eastAsia="宋体" w:cs="宋体"/>
          <w:sz w:val="20"/>
          <w:szCs w:val="20"/>
        </w:rPr>
        <w:t>仲裁委员会</w:t>
      </w:r>
      <w:r>
        <w:rPr>
          <w:rFonts w:hint="eastAsia" w:ascii="宋体" w:hAnsi="宋体" w:eastAsia="宋体" w:cs="宋体"/>
          <w:sz w:val="20"/>
          <w:szCs w:val="20"/>
        </w:rPr>
        <w:fldChar w:fldCharType="end"/>
      </w:r>
      <w:r>
        <w:rPr>
          <w:rFonts w:hint="eastAsia" w:ascii="宋体" w:hAnsi="宋体" w:eastAsia="宋体" w:cs="宋体"/>
          <w:sz w:val="20"/>
          <w:szCs w:val="20"/>
        </w:rPr>
        <w:t>）提起仲裁。</w:t>
      </w:r>
    </w:p>
    <w:p w14:paraId="19CC8B57">
      <w:pPr>
        <w:adjustRightInd w:val="0"/>
        <w:snapToGrid w:val="0"/>
        <w:spacing w:line="360" w:lineRule="auto"/>
        <w:ind w:firstLine="402" w:firstLineChars="200"/>
        <w:rPr>
          <w:rFonts w:hint="eastAsia" w:ascii="宋体" w:hAnsi="宋体" w:eastAsia="宋体" w:cs="宋体"/>
          <w:b/>
          <w:bCs/>
          <w:sz w:val="20"/>
          <w:szCs w:val="20"/>
        </w:rPr>
      </w:pPr>
      <w:bookmarkStart w:id="4" w:name="_Toc19515395"/>
      <w:r>
        <w:rPr>
          <w:rFonts w:hint="eastAsia" w:ascii="宋体" w:hAnsi="宋体" w:eastAsia="宋体" w:cs="宋体"/>
          <w:b/>
          <w:bCs/>
          <w:sz w:val="20"/>
          <w:szCs w:val="20"/>
        </w:rPr>
        <w:t>十三、合同生效及其它</w:t>
      </w:r>
      <w:bookmarkEnd w:id="4"/>
    </w:p>
    <w:p w14:paraId="570A40F3">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1、合同未尽事宜、由甲、乙双方协商，作为合同补充，与原合同具有同等法律效力。</w:t>
      </w:r>
    </w:p>
    <w:p w14:paraId="3F6A9AE5">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 本合同一式</w:t>
      </w:r>
      <w:r>
        <w:rPr>
          <w:rFonts w:hint="eastAsia" w:ascii="宋体" w:hAnsi="宋体" w:eastAsia="宋体" w:cs="宋体"/>
          <w:sz w:val="20"/>
          <w:szCs w:val="20"/>
          <w:u w:val="single"/>
        </w:rPr>
        <w:t xml:space="preserve">     </w:t>
      </w:r>
      <w:r>
        <w:rPr>
          <w:rFonts w:hint="eastAsia" w:ascii="宋体" w:hAnsi="宋体" w:eastAsia="宋体" w:cs="宋体"/>
          <w:sz w:val="20"/>
          <w:szCs w:val="20"/>
        </w:rPr>
        <w:t>份，甲方、乙方双方分别执</w:t>
      </w:r>
      <w:r>
        <w:rPr>
          <w:rFonts w:hint="eastAsia" w:ascii="宋体" w:hAnsi="宋体" w:eastAsia="宋体" w:cs="宋体"/>
          <w:sz w:val="20"/>
          <w:szCs w:val="20"/>
          <w:u w:val="single"/>
        </w:rPr>
        <w:t xml:space="preserve">    </w:t>
      </w:r>
      <w:r>
        <w:rPr>
          <w:rFonts w:hint="eastAsia" w:ascii="宋体" w:hAnsi="宋体" w:eastAsia="宋体" w:cs="宋体"/>
          <w:sz w:val="20"/>
          <w:szCs w:val="20"/>
        </w:rPr>
        <w:t>份，备案</w:t>
      </w:r>
      <w:r>
        <w:rPr>
          <w:rFonts w:hint="eastAsia" w:ascii="宋体" w:hAnsi="宋体" w:eastAsia="宋体" w:cs="宋体"/>
          <w:sz w:val="20"/>
          <w:szCs w:val="20"/>
          <w:u w:val="single"/>
        </w:rPr>
        <w:t xml:space="preserve">    </w:t>
      </w:r>
      <w:r>
        <w:rPr>
          <w:rFonts w:hint="eastAsia" w:ascii="宋体" w:hAnsi="宋体" w:eastAsia="宋体" w:cs="宋体"/>
          <w:sz w:val="20"/>
          <w:szCs w:val="20"/>
        </w:rPr>
        <w:t>份。</w:t>
      </w:r>
    </w:p>
    <w:p w14:paraId="77C51D41">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3、合同经甲乙双方盖章、签字后生效，合同签订地点为</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60002D30">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4、生效时间：</w:t>
      </w:r>
      <w:r>
        <w:rPr>
          <w:rFonts w:hint="eastAsia" w:ascii="宋体" w:hAnsi="宋体" w:eastAsia="宋体" w:cs="宋体"/>
          <w:sz w:val="20"/>
          <w:szCs w:val="20"/>
          <w:u w:val="single"/>
        </w:rPr>
        <w:t xml:space="preserve">    </w:t>
      </w:r>
      <w:r>
        <w:rPr>
          <w:rFonts w:hint="eastAsia" w:ascii="宋体" w:hAnsi="宋体" w:eastAsia="宋体" w:cs="宋体"/>
          <w:sz w:val="20"/>
          <w:szCs w:val="20"/>
        </w:rPr>
        <w:t>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01D27DE8">
      <w:pPr>
        <w:adjustRightInd w:val="0"/>
        <w:snapToGrid w:val="0"/>
        <w:spacing w:line="360" w:lineRule="auto"/>
        <w:ind w:firstLine="400" w:firstLineChars="200"/>
        <w:rPr>
          <w:rFonts w:hint="eastAsia" w:ascii="宋体" w:hAnsi="宋体" w:eastAsia="宋体" w:cs="宋体"/>
          <w:sz w:val="20"/>
          <w:szCs w:val="20"/>
        </w:rPr>
      </w:pPr>
    </w:p>
    <w:tbl>
      <w:tblPr>
        <w:tblStyle w:val="2"/>
        <w:tblW w:w="0" w:type="auto"/>
        <w:jc w:val="center"/>
        <w:tblLayout w:type="fixed"/>
        <w:tblCellMar>
          <w:top w:w="0" w:type="dxa"/>
          <w:left w:w="108" w:type="dxa"/>
          <w:bottom w:w="0" w:type="dxa"/>
          <w:right w:w="108" w:type="dxa"/>
        </w:tblCellMar>
      </w:tblPr>
      <w:tblGrid>
        <w:gridCol w:w="4643"/>
        <w:gridCol w:w="4643"/>
      </w:tblGrid>
      <w:tr w14:paraId="0687BAD6">
        <w:tblPrEx>
          <w:tblCellMar>
            <w:top w:w="0" w:type="dxa"/>
            <w:left w:w="108" w:type="dxa"/>
            <w:bottom w:w="0" w:type="dxa"/>
            <w:right w:w="108" w:type="dxa"/>
          </w:tblCellMar>
        </w:tblPrEx>
        <w:trPr>
          <w:jc w:val="center"/>
        </w:trPr>
        <w:tc>
          <w:tcPr>
            <w:tcW w:w="4643" w:type="dxa"/>
          </w:tcPr>
          <w:p w14:paraId="0334DD3D">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甲方名称（盖章）：</w:t>
            </w:r>
          </w:p>
          <w:p w14:paraId="1E182A3B">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地址：</w:t>
            </w:r>
          </w:p>
          <w:p w14:paraId="2018E555">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代表人（签字）：</w:t>
            </w:r>
          </w:p>
          <w:p w14:paraId="7622C026">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电话：</w:t>
            </w:r>
          </w:p>
          <w:p w14:paraId="2E325C94">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开户银行：</w:t>
            </w:r>
          </w:p>
          <w:p w14:paraId="5D166D76">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帐号：</w:t>
            </w:r>
          </w:p>
        </w:tc>
        <w:tc>
          <w:tcPr>
            <w:tcW w:w="4643" w:type="dxa"/>
          </w:tcPr>
          <w:p w14:paraId="40721D96">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乙方名称（盖章）:</w:t>
            </w:r>
          </w:p>
          <w:p w14:paraId="74E5D589">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地址：</w:t>
            </w:r>
          </w:p>
          <w:p w14:paraId="303DE500">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代表人（签字）：</w:t>
            </w:r>
          </w:p>
          <w:p w14:paraId="51871122">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电话：</w:t>
            </w:r>
          </w:p>
          <w:p w14:paraId="45A920EA">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开户银行：</w:t>
            </w:r>
          </w:p>
          <w:p w14:paraId="04608981">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帐号：</w:t>
            </w:r>
          </w:p>
        </w:tc>
      </w:tr>
    </w:tbl>
    <w:p w14:paraId="34FF463B">
      <w:pPr>
        <w:rPr>
          <w:rFonts w:hint="eastAsia" w:ascii="宋体" w:hAnsi="宋体" w:eastAsia="宋体" w:cs="宋体"/>
          <w:sz w:val="20"/>
          <w:szCs w:val="20"/>
          <w:lang w:val="en-US" w:eastAsia="zh-Hans"/>
        </w:rPr>
      </w:pPr>
    </w:p>
    <w:p w14:paraId="46FC805E">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B60FF"/>
    <w:multiLevelType w:val="singleLevel"/>
    <w:tmpl w:val="95FB60FF"/>
    <w:lvl w:ilvl="0" w:tentative="0">
      <w:start w:val="1"/>
      <w:numFmt w:val="decimal"/>
      <w:suff w:val="nothing"/>
      <w:lvlText w:val="%1、"/>
      <w:lvlJc w:val="left"/>
    </w:lvl>
  </w:abstractNum>
  <w:abstractNum w:abstractNumId="1">
    <w:nsid w:val="B48D6277"/>
    <w:multiLevelType w:val="singleLevel"/>
    <w:tmpl w:val="B48D627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513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2026-07-27T06:30:10Z</dcterms:created>
  <dc:creator>Administrator</dc:creator>
  <cp:lastModifiedBy>高蕊玲</cp:lastModifiedBy>
  <dcterms:modified xsi:type="dcterms:W3CDTF">2026-07-27T06:30:39Z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eyJoZGlkIjoiOTgxNmNmZjVhMmM4MDAwYWIyMDJhZTY2MmY2ZmMyNzciLCJ1c2VySWQiOiIxNjY0MTM3NDI2In0=</vt:lpwstr>
  </property>
  <property fmtid="{D5CDD505-2E9C-101B-9397-08002B2CF9AE}" pid="4" name="ICV">
    <vt:lpwstr>B520AA97B745419DBB49F9E29A52B957_12</vt:lpwstr>
  </property>
</Properties>
</file>