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版本号：SCZA2026-CS-1699-00120260625001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2026年财政网络防病毒服务项目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SCZA2026-CS-1699-001</w:t>
      </w:r>
      <w:r>
        <w:br/>
      </w:r>
      <w:r>
        <w:br/>
      </w:r>
      <w:r>
        <w:br/>
      </w:r>
    </w:p>
    <w:p>
      <w:pPr>
        <w:pStyle w:val="null3"/>
        <w:jc w:val="center"/>
        <w:outlineLvl w:val="2"/>
      </w:pPr>
      <w:r>
        <w:rPr>
          <w:rFonts w:ascii="仿宋_GB2312" w:hAnsi="仿宋_GB2312" w:cs="仿宋_GB2312" w:eastAsia="仿宋_GB2312"/>
          <w:sz w:val="28"/>
          <w:b/>
        </w:rPr>
        <w:t>陕西省财政厅机关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陕西省财政厅机关</w:t>
      </w:r>
      <w:r>
        <w:rPr>
          <w:rFonts w:ascii="仿宋_GB2312" w:hAnsi="仿宋_GB2312" w:cs="仿宋_GB2312" w:eastAsia="仿宋_GB2312"/>
        </w:rPr>
        <w:t>委托，拟对</w:t>
      </w:r>
      <w:r>
        <w:rPr>
          <w:rFonts w:ascii="仿宋_GB2312" w:hAnsi="仿宋_GB2312" w:cs="仿宋_GB2312" w:eastAsia="仿宋_GB2312"/>
        </w:rPr>
        <w:t>2026年财政网络防病毒服务项目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SCZA2026-CS-1699-001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2026年财政网络防病毒服务项目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财政网络防病毒服务项目，为财政业务专网、财政业务外网PC终端、国产服务器、非国产服务器提供网络版防病毒安全服务，构建统一、集中、可审计、可溯源的终端安全防护体系。产品需要具备恶意代码查杀、勒索防护、恶意行为监控、安全审计等统一运维能力。服务覆盖市场全部桌面终端、服务器、业务终端，支持国产化操作系统及Windows、Linux跨平台统一防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 ” 网站（www.creditchina.gov.cn）和中国政府采购网（www.ccgp.gov.cn）上被列入失信被执行人、重大税收违法失信主体、政府采购严重违法失信行为记录名单的，不得参加磋商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陕西省财政厅机关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陕西省西安市莲湖区冰窖巷6号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029-68936006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采购包1：457,000.00元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代理服务费收费标准：代理服务费参照《国家计委关于印发&lt;招标代理服务收费管理暂行办法&gt;的通知》（计价格〔2002〕1980号）规定标准（按标段）下浮30%收取。 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陕西省财政厅机关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陕西省财政厅机关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陕西省财政厅机关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财政网络防病毒系统服务项目，为财政业务专网、财政业务外网PC终端、国产服务器、非国产服务器提供网络版防病毒安全服务，构建统一、集中、可审计、可溯源的终端安全防护体系。产品需要具备恶意代码查杀、勒索防护、恶意行为监控、安全审计等统一运维能力。服务覆盖市场全部桌面终端、服务器、业务终端，支持国产化操作系统及Windows、Linux跨平台统一防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457,000.00</w:t>
      </w:r>
    </w:p>
    <w:p>
      <w:pPr>
        <w:pStyle w:val="null3"/>
      </w:pPr>
      <w:r>
        <w:rPr>
          <w:rFonts w:ascii="仿宋_GB2312" w:hAnsi="仿宋_GB2312" w:cs="仿宋_GB2312" w:eastAsia="仿宋_GB2312"/>
        </w:rPr>
        <w:t>采购包最高限价（元）: 457,000.00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2026年财政网络防病毒服务项目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标的名称：2026年财政网络防病毒服务项目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361"/>
            </w:pPr>
            <w:r>
              <w:rPr>
                <w:rFonts w:ascii="仿宋_GB2312" w:hAnsi="仿宋_GB2312" w:cs="仿宋_GB2312" w:eastAsia="仿宋_GB2312"/>
              </w:rPr>
              <w:t>一、项目概述</w:t>
            </w:r>
          </w:p>
          <w:p>
            <w:pPr>
              <w:pStyle w:val="null3"/>
            </w:pPr>
            <w:r>
              <w:rPr>
                <w:rFonts w:ascii="仿宋_GB2312" w:hAnsi="仿宋_GB2312" w:cs="仿宋_GB2312" w:eastAsia="仿宋_GB2312"/>
              </w:rPr>
              <w:t>（一）项目简介</w:t>
            </w:r>
          </w:p>
          <w:p>
            <w:pPr>
              <w:pStyle w:val="null3"/>
            </w:pPr>
            <w:r>
              <w:rPr>
                <w:rFonts w:ascii="仿宋_GB2312" w:hAnsi="仿宋_GB2312" w:cs="仿宋_GB2312" w:eastAsia="仿宋_GB2312"/>
              </w:rPr>
              <w:t>2026年财政网络防病毒系统服务项目，为财政业务专网、财政业务外网PC终端、国产服务器、非国产服务器提供网络版防病毒安全服务，构建统一、集中、可审计、可溯源的终端安全防护体系。产品需要具备恶意代码查杀、勒索防护、恶意行为监控、安全审计等统一运维能力。服务覆盖市场全部桌面终端、服务器、业务终端，支持国产化操作系统及Windows、Linux跨平台统一防护。</w:t>
            </w:r>
          </w:p>
          <w:p>
            <w:pPr>
              <w:pStyle w:val="null3"/>
            </w:pPr>
            <w:r>
              <w:rPr>
                <w:rFonts w:ascii="仿宋_GB2312" w:hAnsi="仿宋_GB2312" w:cs="仿宋_GB2312" w:eastAsia="仿宋_GB2312"/>
              </w:rPr>
              <w:t>（二）项目数量</w:t>
            </w:r>
          </w:p>
          <w:p>
            <w:pPr>
              <w:pStyle w:val="null3"/>
            </w:pPr>
            <w:r>
              <w:rPr>
                <w:rFonts w:ascii="仿宋_GB2312" w:hAnsi="仿宋_GB2312" w:cs="仿宋_GB2312" w:eastAsia="仿宋_GB2312"/>
              </w:rPr>
              <w:t>1.财政专网</w:t>
            </w:r>
          </w:p>
          <w:tbl>
            <w:tblPr>
              <w:tblInd w:type="dxa" w:w="225"/>
              <w:tblBorders>
                <w:top w:val="none" w:color="000000" w:sz="4"/>
                <w:left w:val="none" w:color="000000" w:sz="4"/>
                <w:bottom w:val="none" w:color="000000" w:sz="4"/>
                <w:right w:val="none" w:color="000000" w:sz="4"/>
                <w:insideH w:val="none"/>
                <w:insideV w:val="none"/>
              </w:tblBorders>
            </w:tblPr>
            <w:tblGrid>
              <w:gridCol w:w="362"/>
              <w:gridCol w:w="367"/>
              <w:gridCol w:w="1160"/>
              <w:gridCol w:w="339"/>
              <w:gridCol w:w="311"/>
            </w:tblGrid>
            <w:tr>
              <w:tc>
                <w:tcPr>
                  <w:tcW w:type="dxa" w:w="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产品名称</w:t>
                  </w:r>
                </w:p>
              </w:tc>
              <w:tc>
                <w:tcPr>
                  <w:tcW w:type="dxa" w:w="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产品模块</w:t>
                  </w:r>
                </w:p>
              </w:tc>
              <w:tc>
                <w:tcPr>
                  <w:tcW w:type="dxa" w:w="1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功能描述</w:t>
                  </w:r>
                </w:p>
              </w:tc>
              <w:tc>
                <w:tcPr>
                  <w:tcW w:type="dxa" w:w="3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数量</w:t>
                  </w:r>
                </w:p>
              </w:tc>
              <w:tc>
                <w:tcPr>
                  <w:tcW w:type="dxa" w:w="3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服务期</w:t>
                  </w:r>
                </w:p>
              </w:tc>
            </w:tr>
            <w:tr>
              <w:tc>
                <w:tcPr>
                  <w:tcW w:type="dxa" w:w="3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财政防病毒安全管理软件</w:t>
                  </w: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PC 病毒防护（终端）</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抵御病毒、间谍软件、网络钓鱼和其它灰色软件的攻击，可实现国产和非国产</w:t>
                  </w:r>
                  <w:r>
                    <w:rPr>
                      <w:rFonts w:ascii="仿宋_GB2312" w:hAnsi="仿宋_GB2312" w:cs="仿宋_GB2312" w:eastAsia="仿宋_GB2312"/>
                      <w:sz w:val="18"/>
                    </w:rPr>
                    <w:t>PC端统一病毒防护。</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10000台</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一年</w:t>
                  </w:r>
                </w:p>
              </w:tc>
            </w:tr>
            <w:tr>
              <w:tc>
                <w:tcPr>
                  <w:tcW w:type="dxa" w:w="362"/>
                  <w:vMerge/>
                  <w:tcBorders>
                    <w:top w:val="none" w:color="000000" w:sz="4"/>
                    <w:left w:val="single" w:color="000000" w:sz="4"/>
                    <w:bottom w:val="single" w:color="000000" w:sz="4"/>
                    <w:right w:val="single" w:color="000000" w:sz="4"/>
                  </w:tcBorders>
                </w:tcPr>
                <w:p/>
              </w:tc>
              <w:tc>
                <w:tcPr>
                  <w:tcW w:type="dxa" w:w="3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Server 病毒防护+虚拟补丁（服务器）</w:t>
                  </w:r>
                </w:p>
              </w:tc>
              <w:tc>
                <w:tcPr>
                  <w:tcW w:type="dxa" w:w="1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抵御病毒、间谍软件、网络钓鱼和其它灰色软件的攻击。提供虚拟补丁功能，通过漏洞防护规则，可在机器不重启，没有补丁更新的情况下帮助抵御漏洞攻击。可实现国产和非国产服务器统一病毒防护。</w:t>
                  </w:r>
                </w:p>
              </w:tc>
              <w:tc>
                <w:tcPr>
                  <w:tcW w:type="dxa" w:w="3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600台</w:t>
                  </w:r>
                </w:p>
              </w:tc>
              <w:tc>
                <w:tcPr>
                  <w:tcW w:type="dxa" w:w="3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rPr>
                    <w:t>一年</w:t>
                  </w:r>
                </w:p>
              </w:tc>
            </w:tr>
          </w:tbl>
          <w:p>
            <w:pPr>
              <w:pStyle w:val="null3"/>
            </w:pPr>
            <w:r>
              <w:rPr>
                <w:rFonts w:ascii="仿宋_GB2312" w:hAnsi="仿宋_GB2312" w:cs="仿宋_GB2312" w:eastAsia="仿宋_GB2312"/>
                <w:sz w:val="18"/>
              </w:rPr>
              <w:t>2.财政外网</w:t>
            </w:r>
          </w:p>
          <w:tbl>
            <w:tblPr>
              <w:tblBorders>
                <w:top w:val="none" w:color="000000" w:sz="4"/>
                <w:left w:val="none" w:color="000000" w:sz="4"/>
                <w:bottom w:val="none" w:color="000000" w:sz="4"/>
                <w:right w:val="none" w:color="000000" w:sz="4"/>
                <w:insideH w:val="none"/>
                <w:insideV w:val="none"/>
              </w:tblBorders>
            </w:tblPr>
            <w:tblGrid>
              <w:gridCol w:w="404"/>
              <w:gridCol w:w="326"/>
              <w:gridCol w:w="1151"/>
              <w:gridCol w:w="310"/>
              <w:gridCol w:w="348"/>
            </w:tblGrid>
            <w:tr>
              <w:tc>
                <w:tcPr>
                  <w:tcW w:type="dxa" w:w="4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产品名称</w:t>
                  </w:r>
                </w:p>
              </w:tc>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产品模块</w:t>
                  </w:r>
                </w:p>
              </w:tc>
              <w:tc>
                <w:tcPr>
                  <w:tcW w:type="dxa" w:w="1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功能描述</w:t>
                  </w:r>
                </w:p>
              </w:tc>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数量</w:t>
                  </w:r>
                </w:p>
              </w:tc>
              <w:tc>
                <w:tcPr>
                  <w:tcW w:type="dxa" w:w="3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服务期</w:t>
                  </w:r>
                </w:p>
              </w:tc>
            </w:tr>
            <w:tr>
              <w:tc>
                <w:tcPr>
                  <w:tcW w:type="dxa" w:w="40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财政防病毒安全管理软件</w:t>
                  </w: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PC 病毒防护（终端）</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抵御病毒、间谍软件、网络钓鱼和其它灰色软件的攻击，可实现国产和非国产</w:t>
                  </w:r>
                  <w:r>
                    <w:rPr>
                      <w:rFonts w:ascii="仿宋_GB2312" w:hAnsi="仿宋_GB2312" w:cs="仿宋_GB2312" w:eastAsia="仿宋_GB2312"/>
                      <w:sz w:val="18"/>
                      <w:color w:val="000000"/>
                    </w:rPr>
                    <w:t>PC端统一病毒防护。</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800台</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一年</w:t>
                  </w:r>
                </w:p>
              </w:tc>
            </w:tr>
            <w:tr>
              <w:tc>
                <w:tcPr>
                  <w:tcW w:type="dxa" w:w="404"/>
                  <w:vMerge/>
                  <w:tcBorders>
                    <w:top w:val="none" w:color="000000" w:sz="4"/>
                    <w:left w:val="single" w:color="000000" w:sz="4"/>
                    <w:bottom w:val="single" w:color="000000" w:sz="4"/>
                    <w:right w:val="single" w:color="000000" w:sz="4"/>
                  </w:tcBorders>
                </w:tcPr>
                <w:p/>
              </w:tc>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Server 病毒防护+虚拟补丁（服务器）</w:t>
                  </w:r>
                </w:p>
              </w:tc>
              <w:tc>
                <w:tcPr>
                  <w:tcW w:type="dxa" w:w="1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抵御病毒、间谍软件、网络钓鱼和其它灰色软件的攻击。提供虚拟补丁功能，通过漏洞防护规则，可在机器不重启，没有补丁更新的情况下抵御漏洞攻击。可实现国产和非国产服务器统一病毒防护</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200台</w:t>
                  </w:r>
                </w:p>
              </w:tc>
              <w:tc>
                <w:tcPr>
                  <w:tcW w:type="dxa" w:w="3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8"/>
                      <w:color w:val="000000"/>
                    </w:rPr>
                    <w:t>一年</w:t>
                  </w:r>
                </w:p>
              </w:tc>
            </w:tr>
          </w:tbl>
          <w:p>
            <w:pPr>
              <w:pStyle w:val="null3"/>
              <w:ind w:firstLine="360"/>
            </w:pPr>
            <w:r>
              <w:rPr>
                <w:rFonts w:ascii="仿宋_GB2312" w:hAnsi="仿宋_GB2312" w:cs="仿宋_GB2312" w:eastAsia="仿宋_GB2312"/>
              </w:rPr>
              <w:t>注：财政单位业务专网PC 病毒防护（终端）满10000点后不限数量，Server 病毒防护+虚拟补丁（服务器）满600点后不限数量，按实际需求部署。</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（一）总体要求</w:t>
            </w:r>
          </w:p>
          <w:p>
            <w:pPr>
              <w:pStyle w:val="null3"/>
            </w:pPr>
            <w:r>
              <w:rPr>
                <w:rFonts w:ascii="仿宋_GB2312" w:hAnsi="仿宋_GB2312" w:cs="仿宋_GB2312" w:eastAsia="仿宋_GB2312"/>
              </w:rPr>
              <w:t>1.符合网络安全等级保护2.0及相关国家标准。</w:t>
            </w:r>
          </w:p>
          <w:p>
            <w:pPr>
              <w:pStyle w:val="null3"/>
            </w:pPr>
            <w:r>
              <w:rPr>
                <w:rFonts w:ascii="仿宋_GB2312" w:hAnsi="仿宋_GB2312" w:cs="仿宋_GB2312" w:eastAsia="仿宋_GB2312"/>
              </w:rPr>
              <w:t>2.覆盖全省财政业务专网终端，省级财政业务专业服务器，省级财政业务外网终端，服务器等，统一管控、统一策略、统一升级、统一维护服务。</w:t>
            </w:r>
          </w:p>
          <w:p>
            <w:pPr>
              <w:pStyle w:val="null3"/>
            </w:pPr>
            <w:r>
              <w:rPr>
                <w:rFonts w:ascii="仿宋_GB2312" w:hAnsi="仿宋_GB2312" w:cs="仿宋_GB2312" w:eastAsia="仿宋_GB2312"/>
              </w:rPr>
              <w:t>3.▲支持Windows、Linux、所有国产操作系统的客户端统一管理。</w:t>
            </w:r>
          </w:p>
          <w:p>
            <w:pPr>
              <w:pStyle w:val="null3"/>
            </w:pPr>
            <w:r>
              <w:rPr>
                <w:rFonts w:ascii="仿宋_GB2312" w:hAnsi="仿宋_GB2312" w:cs="仿宋_GB2312" w:eastAsia="仿宋_GB2312"/>
              </w:rPr>
              <w:t>4.▲具备查杀常规病毒、勒索软件、挖矿木马等防护能力。</w:t>
            </w:r>
          </w:p>
          <w:p>
            <w:pPr>
              <w:pStyle w:val="null3"/>
            </w:pPr>
            <w:r>
              <w:rPr>
                <w:rFonts w:ascii="仿宋_GB2312" w:hAnsi="仿宋_GB2312" w:cs="仿宋_GB2312" w:eastAsia="仿宋_GB2312"/>
              </w:rPr>
              <w:t>（二）管理平台（控制中心）技术要求</w:t>
            </w:r>
          </w:p>
          <w:p>
            <w:pPr>
              <w:pStyle w:val="null3"/>
            </w:pPr>
            <w:r>
              <w:rPr>
                <w:rFonts w:ascii="仿宋_GB2312" w:hAnsi="仿宋_GB2312" w:cs="仿宋_GB2312" w:eastAsia="仿宋_GB2312"/>
              </w:rPr>
              <w:t>1.架构：B/S架构，支持Linux/Windows/国产系统部署，Web界面管理。</w:t>
            </w:r>
          </w:p>
          <w:p>
            <w:pPr>
              <w:pStyle w:val="null3"/>
            </w:pPr>
            <w:r>
              <w:rPr>
                <w:rFonts w:ascii="仿宋_GB2312" w:hAnsi="仿宋_GB2312" w:cs="仿宋_GB2312" w:eastAsia="仿宋_GB2312"/>
              </w:rPr>
              <w:t>2.分级管理：支持按组织架构分组、分权管理，支持多级管理员权限隔离。</w:t>
            </w:r>
          </w:p>
          <w:p>
            <w:pPr>
              <w:pStyle w:val="null3"/>
            </w:pPr>
            <w:r>
              <w:rPr>
                <w:rFonts w:ascii="仿宋_GB2312" w:hAnsi="仿宋_GB2312" w:cs="仿宋_GB2312" w:eastAsia="仿宋_GB2312"/>
              </w:rPr>
              <w:t>3.集中管理：策略统一下发、全网状态监控、统一杀毒、统一漏洞修复、软件/硬件资产统计。</w:t>
            </w:r>
          </w:p>
          <w:p>
            <w:pPr>
              <w:pStyle w:val="null3"/>
            </w:pPr>
            <w:r>
              <w:rPr>
                <w:rFonts w:ascii="仿宋_GB2312" w:hAnsi="仿宋_GB2312" w:cs="仿宋_GB2312" w:eastAsia="仿宋_GB2312"/>
              </w:rPr>
              <w:t>4.健康监控：实时展示终端在线率、病毒事件数、未修复漏洞数、病毒库版本分布。</w:t>
            </w:r>
          </w:p>
          <w:p>
            <w:pPr>
              <w:pStyle w:val="null3"/>
            </w:pPr>
            <w:r>
              <w:rPr>
                <w:rFonts w:ascii="仿宋_GB2312" w:hAnsi="仿宋_GB2312" w:cs="仿宋_GB2312" w:eastAsia="仿宋_GB2312"/>
              </w:rPr>
              <w:t>5.报表审计：可生成防病毒周报/月报、事件统计、终端合规性报表，支持导出。</w:t>
            </w:r>
          </w:p>
          <w:p>
            <w:pPr>
              <w:pStyle w:val="null3"/>
            </w:pPr>
            <w:r>
              <w:rPr>
                <w:rFonts w:ascii="仿宋_GB2312" w:hAnsi="仿宋_GB2312" w:cs="仿宋_GB2312" w:eastAsia="仿宋_GB2312"/>
              </w:rPr>
              <w:t>（三）终端防病毒客户端技术要求</w:t>
            </w:r>
          </w:p>
          <w:p>
            <w:pPr>
              <w:pStyle w:val="null3"/>
            </w:pPr>
            <w:r>
              <w:rPr>
                <w:rFonts w:ascii="仿宋_GB2312" w:hAnsi="仿宋_GB2312" w:cs="仿宋_GB2312" w:eastAsia="仿宋_GB2312"/>
              </w:rPr>
              <w:t>1.基础防护能力</w:t>
            </w:r>
          </w:p>
          <w:p>
            <w:pPr>
              <w:pStyle w:val="null3"/>
            </w:pPr>
            <w:r>
              <w:rPr>
                <w:rFonts w:ascii="仿宋_GB2312" w:hAnsi="仿宋_GB2312" w:cs="仿宋_GB2312" w:eastAsia="仿宋_GB2312"/>
              </w:rPr>
              <w:t>（1）终端管理：支持终端查看所有资产信息。</w:t>
            </w:r>
          </w:p>
          <w:p>
            <w:pPr>
              <w:pStyle w:val="null3"/>
            </w:pPr>
            <w:r>
              <w:rPr>
                <w:rFonts w:ascii="仿宋_GB2312" w:hAnsi="仿宋_GB2312" w:cs="仿宋_GB2312" w:eastAsia="仿宋_GB2312"/>
              </w:rPr>
              <w:t>（2）实时防护：支持实时监控、进程防护、注册表防护、网络流量防护。</w:t>
            </w:r>
          </w:p>
          <w:p>
            <w:pPr>
              <w:pStyle w:val="null3"/>
            </w:pPr>
            <w:r>
              <w:rPr>
                <w:rFonts w:ascii="仿宋_GB2312" w:hAnsi="仿宋_GB2312" w:cs="仿宋_GB2312" w:eastAsia="仿宋_GB2312"/>
              </w:rPr>
              <w:t>（3）多引擎查杀：至少支持双引擎或多引擎，提升检出率。</w:t>
            </w:r>
          </w:p>
          <w:p>
            <w:pPr>
              <w:pStyle w:val="null3"/>
            </w:pPr>
            <w:r>
              <w:rPr>
                <w:rFonts w:ascii="仿宋_GB2312" w:hAnsi="仿宋_GB2312" w:cs="仿宋_GB2312" w:eastAsia="仿宋_GB2312"/>
              </w:rPr>
              <w:t>（4）未知威胁：支持启发式扫描、沙箱分析、行为分析、机器学习，断网也能识别未知病毒。</w:t>
            </w:r>
          </w:p>
          <w:p>
            <w:pPr>
              <w:pStyle w:val="null3"/>
            </w:pPr>
            <w:r>
              <w:rPr>
                <w:rFonts w:ascii="仿宋_GB2312" w:hAnsi="仿宋_GB2312" w:cs="仿宋_GB2312" w:eastAsia="仿宋_GB2312"/>
              </w:rPr>
              <w:t>（5）压缩包扫描：支持多层压缩（≥10层）扫描，可自定义扫描层数。</w:t>
            </w:r>
          </w:p>
          <w:p>
            <w:pPr>
              <w:pStyle w:val="null3"/>
            </w:pPr>
            <w:r>
              <w:rPr>
                <w:rFonts w:ascii="仿宋_GB2312" w:hAnsi="仿宋_GB2312" w:cs="仿宋_GB2312" w:eastAsia="仿宋_GB2312"/>
              </w:rPr>
              <w:t>（6）▲杀毒客户端留存：当终端重装系统或强制非法卸载，导致杀毒客户端失效时，系统具有检测和强制安装功能，否则无法连接网络。</w:t>
            </w:r>
          </w:p>
          <w:p>
            <w:pPr>
              <w:pStyle w:val="null3"/>
            </w:pPr>
            <w:r>
              <w:rPr>
                <w:rFonts w:ascii="仿宋_GB2312" w:hAnsi="仿宋_GB2312" w:cs="仿宋_GB2312" w:eastAsia="仿宋_GB2312"/>
              </w:rPr>
              <w:t>2.重点威胁防护</w:t>
            </w:r>
          </w:p>
          <w:p>
            <w:pPr>
              <w:pStyle w:val="null3"/>
            </w:pPr>
            <w:r>
              <w:rPr>
                <w:rFonts w:ascii="仿宋_GB2312" w:hAnsi="仿宋_GB2312" w:cs="仿宋_GB2312" w:eastAsia="仿宋_GB2312"/>
              </w:rPr>
              <w:t>（1）勒索防护：远程协议拦截、漏洞基线修复、暴力破解监控及攻击日志溯源，提供一套防范勒索病毒入侵防护。</w:t>
            </w:r>
          </w:p>
          <w:p>
            <w:pPr>
              <w:pStyle w:val="null3"/>
            </w:pPr>
            <w:r>
              <w:rPr>
                <w:rFonts w:ascii="仿宋_GB2312" w:hAnsi="仿宋_GB2312" w:cs="仿宋_GB2312" w:eastAsia="仿宋_GB2312"/>
              </w:rPr>
              <w:t>（2）U盘/移动介质防护：自动扫描、禁用/只读控制、自行运行阻断。</w:t>
            </w:r>
          </w:p>
          <w:p>
            <w:pPr>
              <w:pStyle w:val="null3"/>
            </w:pPr>
            <w:r>
              <w:rPr>
                <w:rFonts w:ascii="仿宋_GB2312" w:hAnsi="仿宋_GB2312" w:cs="仿宋_GB2312" w:eastAsia="仿宋_GB2312"/>
              </w:rPr>
              <w:t>（3）邮件/下载/IM防护：附件病毒监测、恶意URL拦截、传输文件扫描。</w:t>
            </w:r>
          </w:p>
          <w:p>
            <w:pPr>
              <w:pStyle w:val="null3"/>
            </w:pPr>
            <w:r>
              <w:rPr>
                <w:rFonts w:ascii="仿宋_GB2312" w:hAnsi="仿宋_GB2312" w:cs="仿宋_GB2312" w:eastAsia="仿宋_GB2312"/>
              </w:rPr>
              <w:t>（4）应用白名单：仅允许可信程序运行，阻断未知可执行文件。</w:t>
            </w:r>
          </w:p>
          <w:p>
            <w:pPr>
              <w:pStyle w:val="null3"/>
            </w:pPr>
            <w:r>
              <w:rPr>
                <w:rFonts w:ascii="仿宋_GB2312" w:hAnsi="仿宋_GB2312" w:cs="仿宋_GB2312" w:eastAsia="仿宋_GB2312"/>
              </w:rPr>
              <w:t>（5）主动防御：提供主动防御功能，包括系统风险防御、上网风险防御、入口风险防御、高级威胁防御、风险工具防御和勒索风险防御，构建主动防御体系，实时监控病毒木马最常利用的目录、文件、注册表位置，阻止恶意利用，免疫流行病毒，抵御高级威胁攻击。</w:t>
            </w:r>
          </w:p>
          <w:p>
            <w:pPr>
              <w:pStyle w:val="null3"/>
            </w:pPr>
            <w:r>
              <w:rPr>
                <w:rFonts w:ascii="仿宋_GB2312" w:hAnsi="仿宋_GB2312" w:cs="仿宋_GB2312" w:eastAsia="仿宋_GB2312"/>
              </w:rPr>
              <w:t>（6）支持智能扫描，通过使用真实文件类型识别检查文件头,并且仅扫描已知可能包含恶意代码的文件类型来优化性能，真实文件类型识别有助于确定通过无害扩展名进行伪装的恶意代码。</w:t>
            </w:r>
          </w:p>
          <w:p>
            <w:pPr>
              <w:pStyle w:val="null3"/>
            </w:pPr>
            <w:r>
              <w:rPr>
                <w:rFonts w:ascii="仿宋_GB2312" w:hAnsi="仿宋_GB2312" w:cs="仿宋_GB2312" w:eastAsia="仿宋_GB2312"/>
              </w:rPr>
              <w:t>3.性能与兼容性</w:t>
            </w:r>
          </w:p>
          <w:p>
            <w:pPr>
              <w:pStyle w:val="null3"/>
            </w:pPr>
            <w:r>
              <w:rPr>
                <w:rFonts w:ascii="仿宋_GB2312" w:hAnsi="仿宋_GB2312" w:cs="仿宋_GB2312" w:eastAsia="仿宋_GB2312"/>
              </w:rPr>
              <w:t>（1）资源占用：CPU和内存占用，不影响业务系统。</w:t>
            </w:r>
          </w:p>
          <w:p>
            <w:pPr>
              <w:pStyle w:val="null3"/>
            </w:pPr>
            <w:r>
              <w:rPr>
                <w:rFonts w:ascii="仿宋_GB2312" w:hAnsi="仿宋_GB2312" w:cs="仿宋_GB2312" w:eastAsia="仿宋_GB2312"/>
              </w:rPr>
              <w:t>（2）兼容性：支持Windows7/10/11、Windows Server、Linux、全部国产操作系统；主流办公、业务软件无冲突。</w:t>
            </w:r>
          </w:p>
          <w:p>
            <w:pPr>
              <w:pStyle w:val="null3"/>
            </w:pPr>
            <w:r>
              <w:rPr>
                <w:rFonts w:ascii="仿宋_GB2312" w:hAnsi="仿宋_GB2312" w:cs="仿宋_GB2312" w:eastAsia="仿宋_GB2312"/>
              </w:rPr>
              <w:t>（3）静默安装：支持或推送、脚本批量部署、无弹窗干扰。</w:t>
            </w:r>
          </w:p>
          <w:p>
            <w:pPr>
              <w:pStyle w:val="null3"/>
            </w:pPr>
            <w:r>
              <w:rPr>
                <w:rFonts w:ascii="仿宋_GB2312" w:hAnsi="仿宋_GB2312" w:cs="仿宋_GB2312" w:eastAsia="仿宋_GB2312"/>
              </w:rPr>
              <w:t>（四）病毒库与升级服务要求</w:t>
            </w:r>
          </w:p>
          <w:p>
            <w:pPr>
              <w:pStyle w:val="null3"/>
            </w:pPr>
            <w:r>
              <w:rPr>
                <w:rFonts w:ascii="仿宋_GB2312" w:hAnsi="仿宋_GB2312" w:cs="仿宋_GB2312" w:eastAsia="仿宋_GB2312"/>
              </w:rPr>
              <w:t>1．更新频率：病毒特征库定期更新；高危威胁应急更新。</w:t>
            </w:r>
          </w:p>
          <w:p>
            <w:pPr>
              <w:pStyle w:val="null3"/>
            </w:pPr>
            <w:r>
              <w:rPr>
                <w:rFonts w:ascii="仿宋_GB2312" w:hAnsi="仿宋_GB2312" w:cs="仿宋_GB2312" w:eastAsia="仿宋_GB2312"/>
              </w:rPr>
              <w:t>2.升级方式：支持在线+离线升级；网络中断可导入离线包更新。</w:t>
            </w:r>
          </w:p>
          <w:p>
            <w:pPr>
              <w:pStyle w:val="null3"/>
            </w:pPr>
            <w:r>
              <w:rPr>
                <w:rFonts w:ascii="仿宋_GB2312" w:hAnsi="仿宋_GB2312" w:cs="仿宋_GB2312" w:eastAsia="仿宋_GB2312"/>
              </w:rPr>
              <w:t>3.版本一致性：全网终端病毒库版本可管控，支持强制更新、分级更新。</w:t>
            </w:r>
          </w:p>
          <w:p>
            <w:pPr>
              <w:pStyle w:val="null3"/>
            </w:pPr>
            <w:r>
              <w:rPr>
                <w:rFonts w:ascii="仿宋_GB2312" w:hAnsi="仿宋_GB2312" w:cs="仿宋_GB2312" w:eastAsia="仿宋_GB2312"/>
              </w:rPr>
              <w:t>4.云联动：厂商具备云安全中心/威胁情报平台，实时同步最新威胁特征（内网离线同步）。</w:t>
            </w:r>
          </w:p>
          <w:p>
            <w:pPr>
              <w:pStyle w:val="null3"/>
            </w:pPr>
            <w:r>
              <w:rPr>
                <w:rFonts w:ascii="仿宋_GB2312" w:hAnsi="仿宋_GB2312" w:cs="仿宋_GB2312" w:eastAsia="仿宋_GB2312"/>
              </w:rPr>
              <w:t>5.▲财政业务专网系统内部可向上级更新病毒库。</w:t>
            </w:r>
          </w:p>
          <w:p>
            <w:pPr>
              <w:pStyle w:val="null3"/>
            </w:pPr>
            <w:r>
              <w:rPr>
                <w:rFonts w:ascii="仿宋_GB2312" w:hAnsi="仿宋_GB2312" w:cs="仿宋_GB2312" w:eastAsia="仿宋_GB2312"/>
              </w:rPr>
              <w:t>（五）日志、审计与告警要求</w:t>
            </w:r>
          </w:p>
          <w:p>
            <w:pPr>
              <w:pStyle w:val="null3"/>
            </w:pPr>
            <w:r>
              <w:rPr>
                <w:rFonts w:ascii="仿宋_GB2312" w:hAnsi="仿宋_GB2312" w:cs="仿宋_GB2312" w:eastAsia="仿宋_GB2312"/>
              </w:rPr>
              <w:t>1.日志留存：病毒查杀、策略变更、升级记录、告警日志留存≥6 个月，可追溯。</w:t>
            </w:r>
          </w:p>
          <w:p>
            <w:pPr>
              <w:pStyle w:val="null3"/>
            </w:pPr>
            <w:r>
              <w:rPr>
                <w:rFonts w:ascii="仿宋_GB2312" w:hAnsi="仿宋_GB2312" w:cs="仿宋_GB2312" w:eastAsia="仿宋_GB2312"/>
              </w:rPr>
              <w:t>2.日志内容：事件时间、终端IP/MAC、用户名、病毒名称、处理动作、文件路径、结果。</w:t>
            </w:r>
          </w:p>
          <w:p>
            <w:pPr>
              <w:pStyle w:val="null3"/>
            </w:pPr>
            <w:r>
              <w:rPr>
                <w:rFonts w:ascii="仿宋_GB2312" w:hAnsi="仿宋_GB2312" w:cs="仿宋_GB2312" w:eastAsia="仿宋_GB2312"/>
              </w:rPr>
              <w:t>3.告警机制：邮件、短信、平台弹窗告警；支持按威胁等级分级告警（低/中/高紧急）。</w:t>
            </w:r>
          </w:p>
          <w:p>
            <w:pPr>
              <w:pStyle w:val="null3"/>
            </w:pPr>
            <w:r>
              <w:rPr>
                <w:rFonts w:ascii="仿宋_GB2312" w:hAnsi="仿宋_GB2312" w:cs="仿宋_GB2312" w:eastAsia="仿宋_GB2312"/>
              </w:rPr>
              <w:t>4．后期支持定制开发与防火墙/EDR联动、支持自动隔离终端、阻断恶意IP。</w:t>
            </w:r>
          </w:p>
          <w:p>
            <w:pPr>
              <w:pStyle w:val="null3"/>
            </w:pPr>
            <w:r>
              <w:rPr>
                <w:rFonts w:ascii="仿宋_GB2312" w:hAnsi="仿宋_GB2312" w:cs="仿宋_GB2312" w:eastAsia="仿宋_GB2312"/>
              </w:rPr>
              <w:t>（六）部署与运维</w:t>
            </w:r>
          </w:p>
          <w:p>
            <w:pPr>
              <w:pStyle w:val="null3"/>
            </w:pPr>
            <w:r>
              <w:rPr>
                <w:rFonts w:ascii="仿宋_GB2312" w:hAnsi="仿宋_GB2312" w:cs="仿宋_GB2312" w:eastAsia="仿宋_GB2312"/>
              </w:rPr>
              <w:t>1.部署模式：支持本地服务器部署或云端服务器;支持分支机构跨网统一管理。</w:t>
            </w:r>
          </w:p>
          <w:p>
            <w:pPr>
              <w:pStyle w:val="null3"/>
            </w:pPr>
            <w:r>
              <w:rPr>
                <w:rFonts w:ascii="仿宋_GB2312" w:hAnsi="仿宋_GB2312" w:cs="仿宋_GB2312" w:eastAsia="仿宋_GB2312"/>
              </w:rPr>
              <w:t>2.运维服务：</w:t>
            </w:r>
          </w:p>
          <w:p>
            <w:pPr>
              <w:pStyle w:val="null3"/>
            </w:pPr>
            <w:r>
              <w:rPr>
                <w:rFonts w:ascii="仿宋_GB2312" w:hAnsi="仿宋_GB2312" w:cs="仿宋_GB2312" w:eastAsia="仿宋_GB2312"/>
              </w:rPr>
              <w:t>（1）提供不少于1年原厂正版系统升级维护服务（含病毒库、引擎、版本升级）。</w:t>
            </w:r>
          </w:p>
          <w:p>
            <w:pPr>
              <w:pStyle w:val="null3"/>
            </w:pPr>
            <w:r>
              <w:rPr>
                <w:rFonts w:ascii="仿宋_GB2312" w:hAnsi="仿宋_GB2312" w:cs="仿宋_GB2312" w:eastAsia="仿宋_GB2312"/>
              </w:rPr>
              <w:t>（2）7×24 小时技术支持，远程+现场应急响应。</w:t>
            </w:r>
          </w:p>
          <w:p>
            <w:pPr>
              <w:pStyle w:val="null3"/>
            </w:pPr>
            <w:r>
              <w:rPr>
                <w:rFonts w:ascii="仿宋_GB2312" w:hAnsi="仿宋_GB2312" w:cs="仿宋_GB2312" w:eastAsia="仿宋_GB2312"/>
              </w:rPr>
              <w:t>（3）定期巡检：每月健康检查、定期策略优化等。</w:t>
            </w:r>
          </w:p>
          <w:p>
            <w:pPr>
              <w:pStyle w:val="null3"/>
            </w:pPr>
            <w:r>
              <w:rPr>
                <w:rFonts w:ascii="仿宋_GB2312" w:hAnsi="仿宋_GB2312" w:cs="仿宋_GB2312" w:eastAsia="仿宋_GB2312"/>
              </w:rPr>
              <w:t>3.应急响应：发生重大病毒事件（如勒索爆发），2小事内响应、4小时内处置、24小时内报告复盘。</w:t>
            </w:r>
          </w:p>
          <w:p>
            <w:pPr>
              <w:pStyle w:val="null3"/>
            </w:pPr>
            <w:r>
              <w:rPr>
                <w:rFonts w:ascii="仿宋_GB2312" w:hAnsi="仿宋_GB2312" w:cs="仿宋_GB2312" w:eastAsia="仿宋_GB2312"/>
              </w:rPr>
              <w:t>（七）合规与文档要求</w:t>
            </w:r>
          </w:p>
          <w:p>
            <w:pPr>
              <w:pStyle w:val="null3"/>
            </w:pPr>
            <w:r>
              <w:rPr>
                <w:rFonts w:ascii="仿宋_GB2312" w:hAnsi="仿宋_GB2312" w:cs="仿宋_GB2312" w:eastAsia="仿宋_GB2312"/>
              </w:rPr>
              <w:t>1.★产品要求：需提供产品&lt;&lt;网络安全专用产品安全检测证书&gt;&gt;或《网络安全专用产品安全认证证书》。</w:t>
            </w:r>
          </w:p>
          <w:p>
            <w:pPr>
              <w:pStyle w:val="null3"/>
            </w:pPr>
            <w:r>
              <w:rPr>
                <w:rFonts w:ascii="仿宋_GB2312" w:hAnsi="仿宋_GB2312" w:cs="仿宋_GB2312" w:eastAsia="仿宋_GB2312"/>
              </w:rPr>
              <w:t>2.文档交付：部署方案、配置手册、运维手册、应急响应预案、培训资料。</w:t>
            </w:r>
          </w:p>
          <w:p>
            <w:pPr>
              <w:pStyle w:val="null3"/>
            </w:pPr>
            <w:r>
              <w:rPr>
                <w:rFonts w:ascii="仿宋_GB2312" w:hAnsi="仿宋_GB2312" w:cs="仿宋_GB2312" w:eastAsia="仿宋_GB2312"/>
              </w:rPr>
              <w:t>3.培训服务：对管理员至少1次现场培训，包含平台操作、策略配置、事件处置等。</w:t>
            </w:r>
          </w:p>
          <w:p>
            <w:pPr>
              <w:pStyle w:val="null3"/>
            </w:pPr>
            <w:r>
              <w:rPr>
                <w:rFonts w:ascii="仿宋_GB2312" w:hAnsi="仿宋_GB2312" w:cs="仿宋_GB2312" w:eastAsia="仿宋_GB2312"/>
              </w:rPr>
              <w:t>4.确保接入财政业务专网和互联网的个人终端和服务器端进行病毒查杀防护，以及全省集中管理、统一升级病毒库和高效的防病毒运维，同时具备对国产终端电脑、国产化服务器的安全防护功能，形成一套高度适配财政网络环境的安全防护体系。</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1.省级财政业务专网和财政业务外网PC端、服务器防病毒客户端的实施工作，全省地市区县财政业务专网PC端的防病毒客户端的实施工作。</w:t>
            </w:r>
          </w:p>
          <w:p>
            <w:pPr>
              <w:pStyle w:val="null3"/>
            </w:pPr>
            <w:r>
              <w:rPr>
                <w:rFonts w:ascii="仿宋_GB2312" w:hAnsi="仿宋_GB2312" w:cs="仿宋_GB2312" w:eastAsia="仿宋_GB2312"/>
              </w:rPr>
              <w:t>2．提供7*24小时远程技术服务，如遇远程技术支持无法解决的问题，需提供技术人员2小时内到达现场服务。重要节日及重大活动期间增加安全巡检服务。</w:t>
            </w:r>
          </w:p>
          <w:p>
            <w:pPr>
              <w:pStyle w:val="null3"/>
            </w:pPr>
            <w:r>
              <w:rPr>
                <w:rFonts w:ascii="仿宋_GB2312" w:hAnsi="仿宋_GB2312" w:cs="仿宋_GB2312" w:eastAsia="仿宋_GB2312"/>
              </w:rPr>
              <w:t>3．预防性巡检</w:t>
            </w:r>
          </w:p>
          <w:p>
            <w:pPr>
              <w:pStyle w:val="null3"/>
            </w:pPr>
            <w:r>
              <w:rPr>
                <w:rFonts w:ascii="仿宋_GB2312" w:hAnsi="仿宋_GB2312" w:cs="仿宋_GB2312" w:eastAsia="仿宋_GB2312"/>
              </w:rPr>
              <w:t>服务期内每月预防性巡检，实时发现安全隐患，以提高信息系统终端安全防护效果。每次巡检提供巡检报告，经双方签字备案。</w:t>
            </w:r>
          </w:p>
          <w:p>
            <w:pPr>
              <w:pStyle w:val="null3"/>
            </w:pPr>
            <w:r>
              <w:rPr>
                <w:rFonts w:ascii="仿宋_GB2312" w:hAnsi="仿宋_GB2312" w:cs="仿宋_GB2312" w:eastAsia="仿宋_GB2312"/>
              </w:rPr>
              <w:t>4．应急支持</w:t>
            </w:r>
          </w:p>
          <w:p>
            <w:pPr>
              <w:pStyle w:val="null3"/>
            </w:pPr>
            <w:r>
              <w:rPr>
                <w:rFonts w:ascii="仿宋_GB2312" w:hAnsi="仿宋_GB2312" w:cs="仿宋_GB2312" w:eastAsia="仿宋_GB2312"/>
              </w:rPr>
              <w:t>拥有安全服务团队，具备安全应急响应能力，当出现终端引发的病毒事件时，提供工程师第一时间到现场，确保业务正常进行。</w:t>
            </w:r>
          </w:p>
          <w:p>
            <w:pPr>
              <w:pStyle w:val="null3"/>
            </w:pPr>
            <w:r>
              <w:rPr>
                <w:rFonts w:ascii="仿宋_GB2312" w:hAnsi="仿宋_GB2312" w:cs="仿宋_GB2312" w:eastAsia="仿宋_GB2312"/>
              </w:rPr>
              <w:t>5、服务期限</w:t>
            </w:r>
          </w:p>
          <w:p>
            <w:pPr>
              <w:pStyle w:val="null3"/>
            </w:pPr>
            <w:r>
              <w:rPr>
                <w:rFonts w:ascii="仿宋_GB2312" w:hAnsi="仿宋_GB2312" w:cs="仿宋_GB2312" w:eastAsia="仿宋_GB2312"/>
              </w:rPr>
              <w:t>服务周期一年。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陕西省财政厅指定地点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本项目首期款以甲方财政资金实际到位且相关运维（服务）准备工作完成后，监理单位签发开工令，乙方书面提出支付申请函及与拟支付金额等额的符合甲方财务管理要求的相应发票，甲方确认后启动首期款支付流程，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进度款，本项目服务期达到总服务期一半后，达到付款条件起30个工作日内，支付合同总金额的40.0%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服务期满，且经甲方评价后30个工作日内，依据甲方服务评价结果或结算审计结果（如有）确认的金额，乙方书面提出支付申请函及与拟支付金额等额的符合甲方财务管理要求的相应发票，甲方确认后启动尾款支付流程，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3、提供响应文件递交截止时间前六个月内至少一个月的的纳税证明或完税证明（社保及单位代扣代缴的个人所得税不能作为单位纳税的凭证），依法免税的单位应提供相关证明材料；时间以税款所属时期为准 4、提供响应文件递交截止时间前近六个月内至少一个月的社会保障资金缴存单据或社保机构开具的社会保险参保缴费情况证明，依法不需要缴纳社会保障资金的单位应提供相关证明材料。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 ” 网站（www.creditchina.gov.cn）和中国政府采购网（www.ccgp.gov.cn）上被列入失信被执行人、重大税收违法失信主体、政府采购严重违法失信行为记录名单的，不得参加磋商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其他资格证明文件.docx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1.在磋商过程中，磋商小组认为供应商报价明显低于其他实质性响应的供应商报价，有可能影响产品质量或者不能诚信履约的，磋商小组应当要求其在合理的时间内提供成本构成书面说明，并提交相关证明材料。 2.异常低价审查 2.1评审中出现下列情形之一的，磋商小组应当启动异常低价投标审查程序： （1）响应报价低于采购项目最高限价45%的，即投标报价&lt;采购项目最高限价×45%； （2）评标委员会基于专业判断，认为供应商报价过低，有可能影响产品质量或者不能诚信履约的其他情形。 相关法律法规对供应商报价有规定的，从其规定。 2.2评标委员会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投标人提交的相关说明和证明材料，应当加盖投标人（法定名称）电子印章，在评标委员会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服务内容及服务要求应答表 商务及技术条款偏离表.docx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商务及技术条款偏离表.docx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商务及技术条款偏离表.docx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详细评审75.00分</w:t>
            </w:r>
          </w:p>
          <w:p>
            <w:pPr>
              <w:pStyle w:val="null3"/>
            </w:pPr>
            <w:r>
              <w:rPr>
                <w:rFonts w:ascii="仿宋_GB2312" w:hAnsi="仿宋_GB2312" w:cs="仿宋_GB2312" w:eastAsia="仿宋_GB2312"/>
              </w:rPr>
              <w:t>报价得分25.00分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防护产品功能响应评审</w:t>
            </w:r>
          </w:p>
        </w:tc>
        <w:tc>
          <w:tcPr>
            <w:tcW w:type="dxa" w:w="2492"/>
          </w:tcPr>
          <w:p>
            <w:pPr>
              <w:pStyle w:val="null3"/>
            </w:pPr>
            <w:r>
              <w:rPr>
                <w:rFonts w:ascii="仿宋_GB2312" w:hAnsi="仿宋_GB2312" w:cs="仿宋_GB2312" w:eastAsia="仿宋_GB2312"/>
              </w:rPr>
              <w:t>提供本次服务所需要的防护产品的功能指标清楚、明确，有相应齐全的技术资料；并根据防护产品的功能指标响应情况评审； 全部满足技术功能标准要求得基础分16分； 技术指标中标“▲”项功能要求，每有1项功能存在负偏离扣2分，其他一般功能每有1项负偏离扣1分，扣完为止。 标“▲”项需提供证明材料；包括但不限于软件功能截图、产品说明书、官网宣传资料截图、检测检验报告等技术支持性文件资料。技术偏离表与证明资料文件中不一致的，以证明资料文件为准。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 人员</w:t>
            </w:r>
          </w:p>
        </w:tc>
        <w:tc>
          <w:tcPr>
            <w:tcW w:type="dxa" w:w="2492"/>
          </w:tcPr>
          <w:p>
            <w:pPr>
              <w:pStyle w:val="null3"/>
            </w:pPr>
            <w:r>
              <w:rPr>
                <w:rFonts w:ascii="仿宋_GB2312" w:hAnsi="仿宋_GB2312" w:cs="仿宋_GB2312" w:eastAsia="仿宋_GB2312"/>
              </w:rPr>
              <w:t>1.项目负责人具有同类项目相关工作经验得1分，提供项目业绩合同或中标通知书或业主证明等证明材料。 2.本项目至少配备1名项目负责人和1名工程师；在此基础上每增加1名专业人员得1分，最多得3分。 3.提供详细项目团队人员清单，团队人员职能分工明确得2分。 4.投标人配备技术专家支持团队（投标人或防护产品厂家技术专家），用于对新型病毒及重大感染事件的紧急、难点处理；具备专家支持团队得2分（与项目团队人员不得重复，否则不予认可）。 注：所有人员均须提供在响应文件递交截止日前近3个月内任意一个月由本单位缴纳的社保凭证。未按要求提供社保缴纳凭证的，团队人员不满足最基础要求的，本评审大项不予计分。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产品合法来源渠道及质量保障</w:t>
            </w:r>
          </w:p>
        </w:tc>
        <w:tc>
          <w:tcPr>
            <w:tcW w:type="dxa" w:w="2492"/>
          </w:tcPr>
          <w:p>
            <w:pPr>
              <w:pStyle w:val="null3"/>
            </w:pPr>
            <w:r>
              <w:rPr>
                <w:rFonts w:ascii="仿宋_GB2312" w:hAnsi="仿宋_GB2312" w:cs="仿宋_GB2312" w:eastAsia="仿宋_GB2312"/>
              </w:rPr>
              <w:t>本项目病毒防护涉及政务数据安全；为确保代理商或厂家提供的防护产品质量可靠，技术服务完善，防护保障及时；提供防护产品的合法来源渠道证明得3分。 证明材料：代理商可提供产品授权书、售后服务承诺函、官网购买渠道证明、代理商证明等；厂家可提供发明专利、软件著作权证书、备案认证资料等合法证明资料均可。</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商务及技术条款偏离表.docx</w:t>
            </w:r>
          </w:p>
        </w:tc>
      </w:tr>
      <w:tr>
        <w:tc>
          <w:tcPr>
            <w:tcW w:type="dxa" w:w="831"/>
            <w:vMerge/>
          </w:tcPr>
          <w:p/>
        </w:tc>
        <w:tc>
          <w:tcPr>
            <w:tcW w:type="dxa" w:w="1661"/>
          </w:tcPr>
          <w:p>
            <w:pPr>
              <w:pStyle w:val="null3"/>
            </w:pPr>
            <w:r>
              <w:rPr>
                <w:rFonts w:ascii="仿宋_GB2312" w:hAnsi="仿宋_GB2312" w:cs="仿宋_GB2312" w:eastAsia="仿宋_GB2312"/>
              </w:rPr>
              <w:t>现状 分析</w:t>
            </w:r>
          </w:p>
        </w:tc>
        <w:tc>
          <w:tcPr>
            <w:tcW w:type="dxa" w:w="2492"/>
          </w:tcPr>
          <w:p>
            <w:pPr>
              <w:pStyle w:val="null3"/>
            </w:pPr>
            <w:r>
              <w:rPr>
                <w:rFonts w:ascii="仿宋_GB2312" w:hAnsi="仿宋_GB2312" w:cs="仿宋_GB2312" w:eastAsia="仿宋_GB2312"/>
              </w:rPr>
              <w:t>供应商提供具体完善的项目现状分析情况，包括但不限于针对终端现状、终端风险、建设需求和建设目标等方面进行现状的需求分析，并提出需求的解决方案；按照方案的完整性（方案必须全面，对评审内容中的各项要求有详细描述），可实施性（切合本项目实际情况，提出步骤清晰、合理的方案），针对性（方案能够紧扣项目实际情况，内容科学合理）3项评审标准；每完全满足1项上述评审标准得2分，满分6分；每有一项缺陷（指完整性不足，或可实施性不够合理，针对性不强，不够切合项目需求）扣1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一、供应商提供具体完善的项目总体实施方案，包括但不限于：①部署、安装方案②运维服务方案③兼容性保障方案④防护质量保障方案⑤实施进度保障方案；并按照以下标准评审：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三、赋分标准（满分15分） 1、部署、安装方案：每满足一项评审标准得1分，不满足得0分，满分3分； 2、运维服务方案：每满足一项评审标准得1分，不满足得0分，满分3分； 3、兼容性保障方案：每满足一项评审标准得1分，不满足得0分，满分3分； 4、防护质量保障方案：每满足一项评审标准得1分，不满足得0分，满分3分； 5、实施进度保障方案：每满足一项评审标准得1分，不满足得0分，满分3分；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w:t>
            </w:r>
          </w:p>
        </w:tc>
        <w:tc>
          <w:tcPr>
            <w:tcW w:type="dxa" w:w="2492"/>
          </w:tcPr>
          <w:p>
            <w:pPr>
              <w:pStyle w:val="null3"/>
            </w:pPr>
            <w:r>
              <w:rPr>
                <w:rFonts w:ascii="仿宋_GB2312" w:hAnsi="仿宋_GB2312" w:cs="仿宋_GB2312" w:eastAsia="仿宋_GB2312"/>
              </w:rPr>
              <w:t>一、供应商针对本项目服务要求提供的完善的应急处置方案，包括但不限于①防护系统宕机②重大病毒感染事故③感染后数据恢复④新型病毒感染应急防护等；并按照以下标准评审：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三、赋分标准（满分6分） ①防护系统宕机：每满足一项评审标准得0.5分，不满足得0分，满分1.5分； ②重大病毒感染事故：每满足一项评审标准得0.5分，不满足得0分，满分1.5分； ③感染后数据恢复：每满足一项评审标准得0.5分，不满足得0分，满分1.5分； ④新型病毒感染应急防护等：每满足一项评审标准得0.5分，不满足得0分，满分1.5分；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制定详细的培训方案。根据培训方案的完整性（方案必须全面，对评审内容中的各项要求有详细描述）、针对性（方案能紧扣项目实际情况，内容科学合理）、合理性（切合本项目实际情况，提出步骤清晰、合理的方案）3项标准评审；每完全满足1项上述评审标准得1分，满分3分；每有一项缺陷（指完整性不足，或可实施性不够合理，针对性不强，不够切合项目需求）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②售后服务响应时间及服务承诺；并按照以下赋分标准赋分：根据内容的完整性（方案必须全面，对评审内容中的各项要求有详细描述）、针对性（方案能紧扣项目实际情况，内容科学合理）、合理性（切合本项目实际情况，提出步骤清晰、合理的方案）； ①售后服务人员配置：每满足一项评审标准得1分，不满足得0分，满分3分； ②售后服务响应时间及服务承诺：每满足一项评审标准得1分，不满足得0分，满分3分；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供应商提供针对本项目的保密方案，切合项目具体情况，责任明确，服务定位准确，能有效保障本项目实施： （1）方案完整详细、描述清晰、可实施性强的得4分。 （2）方案较完整但简单粗略、内容合理性及可实施性一般的得3分。 （3）方案内容有缺失，影响到项目实施的，得2分。 （4）未提供的不得分。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提供供应商或厂家防护产品自2023年1月1日至今，同类项目业绩证明：每提供一个业绩合同得2分，满分8分。 注：未提供不得分，响应文件中附项目合同关键页复印件，时间以签订时间为准。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基准价：有效响应文件最后报价中的最低报价为评审基准价。供应商报价得分：报价得分=(评审基准价／最后报价)×25。</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详见附件：商务及技术条款偏离表.docx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详见附件：省级政务信息化服务类项目合同书.docx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