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4EE11">
      <w:pPr>
        <w:jc w:val="right"/>
        <w:rPr>
          <w:rFonts w:hint="eastAsia" w:ascii="楷体" w:hAnsi="楷体" w:eastAsia="楷体" w:cs="楷体"/>
          <w:b/>
          <w:color w:val="auto"/>
          <w:sz w:val="28"/>
          <w:szCs w:val="44"/>
          <w:highlight w:val="none"/>
          <w:bdr w:val="single" w:color="auto" w:sz="4" w:space="0"/>
        </w:rPr>
      </w:pPr>
      <w:bookmarkStart w:id="0" w:name="_Toc30102_WPSOffice_Level1"/>
      <w:bookmarkStart w:id="1" w:name="_Toc10222_WPSOffice_Level1"/>
      <w:bookmarkStart w:id="2" w:name="_Toc30340_WPSOffice_Level1"/>
      <w:r>
        <w:rPr>
          <w:rFonts w:hint="eastAsia" w:ascii="楷体" w:hAnsi="楷体" w:eastAsia="楷体" w:cs="楷体"/>
          <w:sz w:val="28"/>
          <w:highlight w:val="none"/>
        </w:rPr>
        <mc:AlternateContent>
          <mc:Choice Requires="wps">
            <w:drawing>
              <wp:anchor distT="0" distB="0" distL="114300" distR="114300" simplePos="0" relativeHeight="251659264" behindDoc="0" locked="0" layoutInCell="1" allowOverlap="1">
                <wp:simplePos x="0" y="0"/>
                <wp:positionH relativeFrom="column">
                  <wp:posOffset>4460240</wp:posOffset>
                </wp:positionH>
                <wp:positionV relativeFrom="paragraph">
                  <wp:posOffset>184150</wp:posOffset>
                </wp:positionV>
                <wp:extent cx="1281430" cy="398780"/>
                <wp:effectExtent l="5080" t="4445" r="8890" b="15875"/>
                <wp:wrapNone/>
                <wp:docPr id="1" name="文本框 7"/>
                <wp:cNvGraphicFramePr/>
                <a:graphic xmlns:a="http://schemas.openxmlformats.org/drawingml/2006/main">
                  <a:graphicData uri="http://schemas.microsoft.com/office/word/2010/wordprocessingShape">
                    <wps:wsp>
                      <wps:cNvSpPr txBox="1"/>
                      <wps:spPr>
                        <a:xfrm>
                          <a:off x="0" y="0"/>
                          <a:ext cx="1281430" cy="398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7A9DCB">
                            <w:pPr>
                              <w:rPr>
                                <w:rFonts w:hint="eastAsia" w:ascii="楷体" w:hAnsi="楷体" w:eastAsia="楷体" w:cs="楷体"/>
                                <w:b/>
                                <w:bCs/>
                                <w:lang w:val="en-US" w:eastAsia="zh-CN"/>
                              </w:rPr>
                            </w:pPr>
                            <w:r>
                              <w:rPr>
                                <w:rFonts w:hint="eastAsia" w:ascii="楷体" w:hAnsi="楷体" w:eastAsia="楷体" w:cs="楷体"/>
                                <w:b/>
                                <w:bCs/>
                                <w:lang w:val="en-US" w:eastAsia="zh-CN"/>
                              </w:rPr>
                              <w:t>政府采购项目</w:t>
                            </w:r>
                          </w:p>
                        </w:txbxContent>
                      </wps:txbx>
                      <wps:bodyPr vert="horz" wrap="square" anchor="t" anchorCtr="0" upright="1"/>
                    </wps:wsp>
                  </a:graphicData>
                </a:graphic>
              </wp:anchor>
            </w:drawing>
          </mc:Choice>
          <mc:Fallback>
            <w:pict>
              <v:shape id="文本框 7" o:spid="_x0000_s1026" o:spt="202" type="#_x0000_t202" style="position:absolute;left:0pt;margin-left:351.2pt;margin-top:14.5pt;height:31.4pt;width:100.9pt;z-index:251659264;mso-width-relative:page;mso-height-relative:page;" fillcolor="#FFFFFF" filled="t" stroked="t" coordsize="21600,21600" o:gfxdata="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t6/JTtgAAAAJAQAADwAAAAAAAAABACAAAAAiAAAAZHJzL2Rvd25yZXYueG1sUEsBAhQA&#10;FAAAAAgAh07iQMUbdlMrAgAAaQQAAA4AAAAAAAAAAQAgAAAAJwEAAGRycy9lMm9Eb2MueG1sUEsF&#10;BgAAAAAGAAYAWQEAAMQFAAAAAA==&#10;">
                <v:fill on="t" focussize="0,0"/>
                <v:stroke color="#000000" joinstyle="miter"/>
                <v:imagedata o:title=""/>
                <o:lock v:ext="edit" aspectratio="f"/>
                <v:textbox>
                  <w:txbxContent>
                    <w:p w14:paraId="097A9DCB">
                      <w:pPr>
                        <w:rPr>
                          <w:rFonts w:hint="eastAsia" w:ascii="楷体" w:hAnsi="楷体" w:eastAsia="楷体" w:cs="楷体"/>
                          <w:b/>
                          <w:bCs/>
                          <w:lang w:val="en-US" w:eastAsia="zh-CN"/>
                        </w:rPr>
                      </w:pPr>
                      <w:r>
                        <w:rPr>
                          <w:rFonts w:hint="eastAsia" w:ascii="楷体" w:hAnsi="楷体" w:eastAsia="楷体" w:cs="楷体"/>
                          <w:b/>
                          <w:bCs/>
                          <w:lang w:val="en-US" w:eastAsia="zh-CN"/>
                        </w:rPr>
                        <w:t>政府采购项目</w:t>
                      </w:r>
                    </w:p>
                  </w:txbxContent>
                </v:textbox>
              </v:shape>
            </w:pict>
          </mc:Fallback>
        </mc:AlternateContent>
      </w:r>
    </w:p>
    <w:p w14:paraId="079E3BE5">
      <w:pPr>
        <w:jc w:val="right"/>
        <w:rPr>
          <w:rFonts w:hint="eastAsia" w:ascii="楷体" w:hAnsi="楷体" w:eastAsia="楷体" w:cs="楷体"/>
          <w:b/>
          <w:color w:val="auto"/>
          <w:sz w:val="28"/>
          <w:szCs w:val="44"/>
          <w:highlight w:val="none"/>
          <w:u w:val="none"/>
          <w:bdr w:val="single" w:color="auto" w:sz="4" w:space="0"/>
        </w:rPr>
      </w:pPr>
    </w:p>
    <w:p w14:paraId="114DE1F0">
      <w:pPr>
        <w:jc w:val="center"/>
        <w:rPr>
          <w:rFonts w:hint="eastAsia" w:ascii="楷体" w:hAnsi="楷体" w:eastAsia="楷体" w:cs="楷体"/>
          <w:sz w:val="44"/>
          <w:szCs w:val="44"/>
          <w:highlight w:val="none"/>
        </w:rPr>
      </w:pPr>
    </w:p>
    <w:p w14:paraId="4E16253D">
      <w:pPr>
        <w:spacing w:line="600" w:lineRule="auto"/>
        <w:jc w:val="both"/>
        <w:outlineLvl w:val="0"/>
        <w:rPr>
          <w:rFonts w:hint="eastAsia" w:ascii="楷体" w:hAnsi="楷体" w:eastAsia="楷体" w:cs="楷体"/>
          <w:b/>
          <w:color w:val="auto"/>
          <w:sz w:val="44"/>
          <w:szCs w:val="36"/>
          <w:highlight w:val="none"/>
          <w:lang w:eastAsia="zh-CN"/>
        </w:rPr>
      </w:pPr>
    </w:p>
    <w:p w14:paraId="238AFA9F">
      <w:pPr>
        <w:spacing w:line="600" w:lineRule="auto"/>
        <w:jc w:val="center"/>
        <w:outlineLvl w:val="0"/>
        <w:rPr>
          <w:rFonts w:hint="eastAsia" w:ascii="楷体" w:hAnsi="楷体" w:eastAsia="楷体" w:cs="楷体"/>
          <w:b/>
          <w:color w:val="auto"/>
          <w:sz w:val="48"/>
          <w:szCs w:val="40"/>
          <w:highlight w:val="none"/>
          <w:lang w:eastAsia="zh-CN"/>
        </w:rPr>
      </w:pPr>
      <w:r>
        <w:rPr>
          <w:rFonts w:hint="eastAsia" w:ascii="楷体" w:hAnsi="楷体" w:eastAsia="楷体" w:cs="楷体"/>
          <w:b/>
          <w:color w:val="auto"/>
          <w:sz w:val="48"/>
          <w:szCs w:val="40"/>
          <w:highlight w:val="none"/>
          <w:lang w:eastAsia="zh-CN"/>
        </w:rPr>
        <w:t>安康市疾病预防控制中心（市卫生监督所）前置软件单位数字证书服务项目</w:t>
      </w:r>
    </w:p>
    <w:p w14:paraId="6A8A19A6">
      <w:pPr>
        <w:spacing w:line="600" w:lineRule="auto"/>
        <w:jc w:val="center"/>
        <w:outlineLvl w:val="0"/>
        <w:rPr>
          <w:rFonts w:hint="eastAsia" w:ascii="楷体" w:hAnsi="楷体" w:eastAsia="楷体" w:cs="楷体"/>
          <w:b/>
          <w:color w:val="auto"/>
          <w:sz w:val="40"/>
          <w:szCs w:val="40"/>
          <w:highlight w:val="none"/>
          <w:lang w:eastAsia="zh-CN"/>
        </w:rPr>
      </w:pPr>
      <w:bookmarkStart w:id="3" w:name="_Toc23578"/>
      <w:bookmarkStart w:id="4" w:name="_Toc28056"/>
      <w:r>
        <w:rPr>
          <w:rFonts w:hint="eastAsia" w:ascii="楷体" w:hAnsi="楷体" w:eastAsia="楷体" w:cs="楷体"/>
          <w:b/>
          <w:color w:val="auto"/>
          <w:sz w:val="40"/>
          <w:szCs w:val="40"/>
          <w:highlight w:val="none"/>
          <w:lang w:eastAsia="zh-CN"/>
        </w:rPr>
        <w:t>（项目编号：SZCTC-F260717）</w:t>
      </w:r>
      <w:bookmarkEnd w:id="3"/>
      <w:bookmarkEnd w:id="4"/>
    </w:p>
    <w:p w14:paraId="3E39C881">
      <w:pPr>
        <w:spacing w:line="240" w:lineRule="auto"/>
        <w:jc w:val="center"/>
        <w:outlineLvl w:val="0"/>
        <w:rPr>
          <w:rFonts w:hint="eastAsia" w:ascii="楷体" w:hAnsi="楷体" w:eastAsia="楷体" w:cs="楷体"/>
          <w:b/>
          <w:color w:val="auto"/>
          <w:sz w:val="32"/>
          <w:highlight w:val="none"/>
          <w:lang w:eastAsia="zh-CN"/>
        </w:rPr>
      </w:pPr>
    </w:p>
    <w:p w14:paraId="069EDFFF">
      <w:pPr>
        <w:pStyle w:val="4"/>
        <w:rPr>
          <w:rFonts w:hint="eastAsia" w:ascii="楷体" w:hAnsi="楷体" w:eastAsia="楷体" w:cs="楷体"/>
          <w:b/>
          <w:color w:val="auto"/>
          <w:sz w:val="32"/>
          <w:highlight w:val="none"/>
          <w:lang w:eastAsia="zh-CN"/>
        </w:rPr>
      </w:pPr>
    </w:p>
    <w:p w14:paraId="1F4A9DD7">
      <w:pPr>
        <w:spacing w:line="240" w:lineRule="auto"/>
        <w:jc w:val="center"/>
        <w:outlineLvl w:val="0"/>
        <w:rPr>
          <w:rFonts w:hint="eastAsia" w:ascii="楷体" w:hAnsi="楷体" w:eastAsia="楷体" w:cs="楷体"/>
          <w:b/>
          <w:color w:val="auto"/>
          <w:sz w:val="72"/>
          <w:szCs w:val="52"/>
          <w:highlight w:val="none"/>
          <w:lang w:eastAsia="zh-CN"/>
        </w:rPr>
      </w:pPr>
      <w:bookmarkStart w:id="5" w:name="_Toc28996"/>
      <w:bookmarkStart w:id="6" w:name="_Toc1545"/>
      <w:r>
        <w:rPr>
          <w:rFonts w:hint="eastAsia" w:ascii="楷体" w:hAnsi="楷体" w:eastAsia="楷体" w:cs="楷体"/>
          <w:b/>
          <w:color w:val="auto"/>
          <w:sz w:val="72"/>
          <w:szCs w:val="52"/>
          <w:highlight w:val="none"/>
          <w:lang w:val="en-US" w:eastAsia="zh-CN"/>
        </w:rPr>
        <w:t>竞争性磋商</w:t>
      </w:r>
      <w:r>
        <w:rPr>
          <w:rFonts w:hint="eastAsia" w:ascii="楷体" w:hAnsi="楷体" w:eastAsia="楷体" w:cs="楷体"/>
          <w:b/>
          <w:color w:val="auto"/>
          <w:sz w:val="72"/>
          <w:szCs w:val="52"/>
          <w:highlight w:val="none"/>
          <w:lang w:eastAsia="zh-CN"/>
        </w:rPr>
        <w:t>文件</w:t>
      </w:r>
      <w:bookmarkEnd w:id="5"/>
      <w:bookmarkEnd w:id="6"/>
    </w:p>
    <w:p w14:paraId="54FA8E37">
      <w:pPr>
        <w:spacing w:line="240" w:lineRule="auto"/>
        <w:jc w:val="center"/>
        <w:outlineLvl w:val="0"/>
        <w:rPr>
          <w:rFonts w:hint="eastAsia" w:ascii="楷体" w:hAnsi="楷体" w:eastAsia="楷体" w:cs="楷体"/>
          <w:b/>
          <w:color w:val="auto"/>
          <w:sz w:val="32"/>
          <w:highlight w:val="none"/>
        </w:rPr>
      </w:pPr>
    </w:p>
    <w:p w14:paraId="78ABF641">
      <w:pPr>
        <w:spacing w:line="240" w:lineRule="auto"/>
        <w:jc w:val="center"/>
        <w:outlineLvl w:val="0"/>
        <w:rPr>
          <w:rFonts w:hint="eastAsia" w:ascii="楷体" w:hAnsi="楷体" w:eastAsia="楷体" w:cs="楷体"/>
          <w:b/>
          <w:color w:val="auto"/>
          <w:sz w:val="32"/>
          <w:highlight w:val="none"/>
        </w:rPr>
      </w:pPr>
    </w:p>
    <w:p w14:paraId="43056677">
      <w:pPr>
        <w:spacing w:line="240" w:lineRule="auto"/>
        <w:jc w:val="center"/>
        <w:outlineLvl w:val="0"/>
        <w:rPr>
          <w:rFonts w:hint="eastAsia" w:ascii="楷体" w:hAnsi="楷体" w:eastAsia="楷体" w:cs="楷体"/>
          <w:b/>
          <w:color w:val="auto"/>
          <w:sz w:val="32"/>
          <w:highlight w:val="none"/>
        </w:rPr>
      </w:pPr>
    </w:p>
    <w:p w14:paraId="4C7FF026">
      <w:pPr>
        <w:pStyle w:val="4"/>
        <w:rPr>
          <w:rFonts w:hint="eastAsia" w:ascii="楷体" w:hAnsi="楷体" w:eastAsia="楷体" w:cs="楷体"/>
          <w:b/>
          <w:color w:val="auto"/>
          <w:sz w:val="32"/>
          <w:highlight w:val="none"/>
        </w:rPr>
      </w:pPr>
    </w:p>
    <w:p w14:paraId="1B6BC706">
      <w:pPr>
        <w:pStyle w:val="4"/>
        <w:ind w:left="0" w:leftChars="0" w:firstLine="0" w:firstLineChars="0"/>
        <w:rPr>
          <w:rFonts w:hint="eastAsia" w:ascii="楷体" w:hAnsi="楷体" w:eastAsia="楷体" w:cs="楷体"/>
          <w:b/>
          <w:color w:val="auto"/>
          <w:sz w:val="32"/>
          <w:highlight w:val="none"/>
        </w:rPr>
      </w:pPr>
    </w:p>
    <w:p w14:paraId="6BD19ECE">
      <w:pPr>
        <w:pStyle w:val="4"/>
        <w:ind w:left="0" w:leftChars="0" w:firstLine="0" w:firstLineChars="0"/>
        <w:rPr>
          <w:rFonts w:hint="eastAsia" w:ascii="楷体" w:hAnsi="楷体" w:eastAsia="楷体" w:cs="楷体"/>
          <w:b/>
          <w:color w:val="auto"/>
          <w:sz w:val="32"/>
          <w:highlight w:val="none"/>
        </w:rPr>
      </w:pPr>
    </w:p>
    <w:p w14:paraId="3791B8D2">
      <w:pPr>
        <w:pStyle w:val="4"/>
        <w:ind w:left="0" w:leftChars="0" w:firstLine="0" w:firstLineChars="0"/>
        <w:rPr>
          <w:rFonts w:hint="eastAsia" w:ascii="楷体" w:hAnsi="楷体" w:eastAsia="楷体" w:cs="楷体"/>
          <w:b/>
          <w:color w:val="auto"/>
          <w:sz w:val="32"/>
          <w:highlight w:val="none"/>
        </w:rPr>
      </w:pPr>
      <w:r>
        <w:rPr>
          <w:rFonts w:hint="eastAsia" w:ascii="楷体" w:hAnsi="楷体" w:eastAsia="楷体" w:cs="楷体"/>
        </w:rPr>
        <w:drawing>
          <wp:anchor distT="0" distB="0" distL="114300" distR="114300" simplePos="0" relativeHeight="251662336" behindDoc="1" locked="0" layoutInCell="1" allowOverlap="1">
            <wp:simplePos x="0" y="0"/>
            <wp:positionH relativeFrom="column">
              <wp:posOffset>1997710</wp:posOffset>
            </wp:positionH>
            <wp:positionV relativeFrom="paragraph">
              <wp:posOffset>30480</wp:posOffset>
            </wp:positionV>
            <wp:extent cx="1647825" cy="161925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a:stretch>
                      <a:fillRect/>
                    </a:stretch>
                  </pic:blipFill>
                  <pic:spPr>
                    <a:xfrm>
                      <a:off x="0" y="0"/>
                      <a:ext cx="1647825" cy="1619250"/>
                    </a:xfrm>
                    <a:prstGeom prst="rect">
                      <a:avLst/>
                    </a:prstGeom>
                    <a:noFill/>
                    <a:ln>
                      <a:noFill/>
                    </a:ln>
                  </pic:spPr>
                </pic:pic>
              </a:graphicData>
            </a:graphic>
          </wp:anchor>
        </w:drawing>
      </w:r>
    </w:p>
    <w:p w14:paraId="7A9F36E2">
      <w:pPr>
        <w:pStyle w:val="4"/>
        <w:ind w:left="0" w:leftChars="0" w:firstLine="0" w:firstLineChars="0"/>
        <w:rPr>
          <w:rFonts w:hint="eastAsia" w:ascii="楷体" w:hAnsi="楷体" w:eastAsia="楷体" w:cs="楷体"/>
          <w:b/>
          <w:color w:val="auto"/>
          <w:sz w:val="32"/>
          <w:highlight w:val="none"/>
        </w:rPr>
      </w:pPr>
    </w:p>
    <w:p w14:paraId="231A3175">
      <w:pPr>
        <w:spacing w:line="240" w:lineRule="auto"/>
        <w:jc w:val="center"/>
        <w:outlineLvl w:val="0"/>
        <w:rPr>
          <w:rFonts w:hint="eastAsia" w:ascii="楷体" w:hAnsi="楷体" w:eastAsia="楷体" w:cs="楷体"/>
          <w:b/>
          <w:color w:val="auto"/>
          <w:sz w:val="32"/>
          <w:szCs w:val="32"/>
          <w:highlight w:val="none"/>
        </w:rPr>
      </w:pPr>
      <w:bookmarkStart w:id="7" w:name="_Toc13317"/>
      <w:bookmarkStart w:id="8" w:name="_Toc19931"/>
      <w:r>
        <w:rPr>
          <w:rFonts w:hint="eastAsia" w:ascii="楷体" w:hAnsi="楷体" w:eastAsia="楷体" w:cs="楷体"/>
          <w:b/>
          <w:color w:val="auto"/>
          <w:sz w:val="32"/>
          <w:szCs w:val="32"/>
          <w:highlight w:val="none"/>
          <w:lang w:eastAsia="zh-CN"/>
        </w:rPr>
        <w:t>陕西</w:t>
      </w:r>
      <w:r>
        <w:rPr>
          <w:rFonts w:hint="eastAsia" w:ascii="楷体" w:hAnsi="楷体" w:eastAsia="楷体" w:cs="楷体"/>
          <w:b/>
          <w:color w:val="auto"/>
          <w:sz w:val="32"/>
          <w:szCs w:val="32"/>
          <w:highlight w:val="none"/>
        </w:rPr>
        <w:t>中海建</w:t>
      </w:r>
      <w:r>
        <w:rPr>
          <w:rFonts w:hint="eastAsia" w:ascii="楷体" w:hAnsi="楷体" w:eastAsia="楷体" w:cs="楷体"/>
          <w:b/>
          <w:color w:val="auto"/>
          <w:sz w:val="32"/>
          <w:szCs w:val="32"/>
          <w:highlight w:val="none"/>
          <w:lang w:eastAsia="zh-CN"/>
        </w:rPr>
        <w:t>招标</w:t>
      </w:r>
      <w:r>
        <w:rPr>
          <w:rFonts w:hint="eastAsia" w:ascii="楷体" w:hAnsi="楷体" w:eastAsia="楷体" w:cs="楷体"/>
          <w:b/>
          <w:color w:val="auto"/>
          <w:sz w:val="32"/>
          <w:szCs w:val="32"/>
          <w:highlight w:val="none"/>
        </w:rPr>
        <w:t>有限责任公司</w:t>
      </w:r>
      <w:bookmarkEnd w:id="7"/>
      <w:bookmarkEnd w:id="8"/>
    </w:p>
    <w:p w14:paraId="46A485E1">
      <w:pPr>
        <w:keepNext w:val="0"/>
        <w:keepLines w:val="0"/>
        <w:widowControl/>
        <w:suppressLineNumbers w:val="0"/>
        <w:jc w:val="center"/>
        <w:rPr>
          <w:rFonts w:hint="eastAsia" w:ascii="楷体" w:hAnsi="楷体" w:eastAsia="楷体" w:cs="楷体"/>
          <w:b/>
          <w:bCs/>
          <w:color w:val="000000"/>
          <w:kern w:val="0"/>
          <w:sz w:val="36"/>
          <w:szCs w:val="36"/>
          <w:highlight w:val="none"/>
          <w:lang w:val="en-US" w:eastAsia="zh-CN" w:bidi="ar"/>
        </w:rPr>
      </w:pPr>
      <w:r>
        <w:rPr>
          <w:rFonts w:hint="eastAsia" w:ascii="楷体" w:hAnsi="楷体" w:eastAsia="楷体" w:cs="楷体"/>
          <w:b/>
          <w:color w:val="auto"/>
          <w:sz w:val="32"/>
          <w:szCs w:val="32"/>
          <w:highlight w:val="none"/>
          <w:lang w:val="en-US" w:eastAsia="zh-CN"/>
        </w:rPr>
        <w:t>2026年07月</w:t>
      </w:r>
    </w:p>
    <w:p w14:paraId="3FB26690">
      <w:pPr>
        <w:rPr>
          <w:rFonts w:hint="eastAsia" w:ascii="楷体" w:hAnsi="楷体" w:eastAsia="楷体" w:cs="楷体"/>
          <w:highlight w:val="none"/>
        </w:rPr>
      </w:pPr>
    </w:p>
    <w:p w14:paraId="375A9CCF">
      <w:pPr>
        <w:pStyle w:val="18"/>
        <w:tabs>
          <w:tab w:val="right" w:leader="dot" w:pos="9072"/>
        </w:tabs>
        <w:spacing w:before="190" w:beforeLines="50" w:after="190" w:afterLines="50" w:line="500" w:lineRule="exact"/>
        <w:jc w:val="both"/>
        <w:rPr>
          <w:rFonts w:hint="eastAsia" w:ascii="楷体" w:hAnsi="楷体" w:eastAsia="楷体" w:cs="楷体"/>
          <w:sz w:val="44"/>
          <w:szCs w:val="44"/>
          <w:highlight w:val="none"/>
        </w:rPr>
      </w:pPr>
    </w:p>
    <w:p w14:paraId="49920792">
      <w:pPr>
        <w:pStyle w:val="18"/>
        <w:tabs>
          <w:tab w:val="right" w:leader="dot" w:pos="9072"/>
        </w:tabs>
        <w:spacing w:before="190" w:beforeLines="50" w:after="190" w:afterLines="50" w:line="500" w:lineRule="exact"/>
        <w:jc w:val="both"/>
        <w:rPr>
          <w:rFonts w:hint="eastAsia" w:ascii="楷体" w:hAnsi="楷体" w:eastAsia="楷体" w:cs="楷体"/>
          <w:sz w:val="44"/>
          <w:szCs w:val="44"/>
          <w:highlight w:val="none"/>
        </w:rPr>
      </w:pPr>
    </w:p>
    <w:p w14:paraId="302CB349">
      <w:pPr>
        <w:pStyle w:val="18"/>
        <w:tabs>
          <w:tab w:val="right" w:leader="dot" w:pos="9072"/>
        </w:tabs>
        <w:spacing w:before="190" w:beforeLines="50" w:after="190" w:afterLines="50" w:line="500" w:lineRule="exact"/>
        <w:jc w:val="center"/>
        <w:rPr>
          <w:rFonts w:hint="eastAsia" w:ascii="楷体" w:hAnsi="楷体" w:eastAsia="楷体" w:cs="楷体"/>
          <w:sz w:val="44"/>
          <w:szCs w:val="44"/>
          <w:highlight w:val="none"/>
        </w:rPr>
      </w:pPr>
    </w:p>
    <w:p w14:paraId="40C24605">
      <w:pPr>
        <w:pStyle w:val="18"/>
        <w:tabs>
          <w:tab w:val="right" w:leader="dot" w:pos="9072"/>
        </w:tabs>
        <w:spacing w:before="190" w:beforeLines="50" w:after="190" w:afterLines="50" w:line="500" w:lineRule="exact"/>
        <w:jc w:val="center"/>
        <w:rPr>
          <w:rFonts w:hint="eastAsia" w:ascii="楷体" w:hAnsi="楷体" w:eastAsia="楷体" w:cs="楷体"/>
          <w:sz w:val="44"/>
          <w:szCs w:val="44"/>
          <w:highlight w:val="none"/>
        </w:rPr>
      </w:pPr>
      <w:r>
        <w:rPr>
          <w:rFonts w:hint="eastAsia" w:ascii="楷体" w:hAnsi="楷体" w:eastAsia="楷体" w:cs="楷体"/>
          <w:sz w:val="44"/>
          <w:szCs w:val="44"/>
          <w:highlight w:val="none"/>
        </w:rPr>
        <w:t>目  录</w:t>
      </w:r>
    </w:p>
    <w:p w14:paraId="6D885786">
      <w:pPr>
        <w:pStyle w:val="18"/>
        <w:tabs>
          <w:tab w:val="right" w:leader="dot" w:pos="9072"/>
        </w:tabs>
        <w:rPr>
          <w:rFonts w:hint="eastAsia" w:ascii="楷体" w:hAnsi="楷体" w:eastAsia="楷体" w:cs="楷体"/>
          <w:highlight w:val="none"/>
        </w:rPr>
      </w:pPr>
      <w:r>
        <w:rPr>
          <w:rFonts w:hint="eastAsia" w:ascii="楷体" w:hAnsi="楷体" w:eastAsia="楷体" w:cs="楷体"/>
          <w:sz w:val="32"/>
          <w:szCs w:val="32"/>
          <w:highlight w:val="none"/>
        </w:rPr>
        <w:fldChar w:fldCharType="begin"/>
      </w:r>
      <w:r>
        <w:rPr>
          <w:rFonts w:hint="eastAsia" w:ascii="楷体" w:hAnsi="楷体" w:eastAsia="楷体" w:cs="楷体"/>
          <w:sz w:val="32"/>
          <w:szCs w:val="32"/>
          <w:highlight w:val="none"/>
        </w:rPr>
        <w:instrText xml:space="preserve">TOC \o "1-2" \h \u </w:instrText>
      </w:r>
      <w:r>
        <w:rPr>
          <w:rFonts w:hint="eastAsia" w:ascii="楷体" w:hAnsi="楷体" w:eastAsia="楷体" w:cs="楷体"/>
          <w:sz w:val="32"/>
          <w:szCs w:val="32"/>
          <w:highlight w:val="none"/>
        </w:rPr>
        <w:fldChar w:fldCharType="separate"/>
      </w:r>
    </w:p>
    <w:p w14:paraId="0C46F920">
      <w:pPr>
        <w:pStyle w:val="18"/>
        <w:keepNext w:val="0"/>
        <w:keepLines w:val="0"/>
        <w:pageBreakBefore w:val="0"/>
        <w:widowControl/>
        <w:tabs>
          <w:tab w:val="right" w:leader="dot" w:pos="9072"/>
        </w:tabs>
        <w:kinsoku/>
        <w:wordWrap/>
        <w:overflowPunct/>
        <w:topLinePunct w:val="0"/>
        <w:autoSpaceDE/>
        <w:autoSpaceDN/>
        <w:bidi w:val="0"/>
        <w:adjustRightInd/>
        <w:snapToGrid/>
        <w:spacing w:line="480" w:lineRule="auto"/>
        <w:textAlignment w:val="auto"/>
        <w:rPr>
          <w:rFonts w:hint="eastAsia" w:ascii="楷体" w:hAnsi="楷体" w:eastAsia="楷体" w:cs="楷体"/>
          <w:highlight w:val="none"/>
        </w:rPr>
      </w:pPr>
      <w:r>
        <w:rPr>
          <w:rFonts w:hint="eastAsia" w:ascii="楷体" w:hAnsi="楷体" w:eastAsia="楷体" w:cs="楷体"/>
          <w:szCs w:val="32"/>
          <w:highlight w:val="none"/>
        </w:rPr>
        <w:fldChar w:fldCharType="begin"/>
      </w:r>
      <w:r>
        <w:rPr>
          <w:rFonts w:hint="eastAsia" w:ascii="楷体" w:hAnsi="楷体" w:eastAsia="楷体" w:cs="楷体"/>
          <w:szCs w:val="32"/>
          <w:highlight w:val="none"/>
        </w:rPr>
        <w:instrText xml:space="preserve"> HYPERLINK \l _Toc17399 </w:instrText>
      </w:r>
      <w:r>
        <w:rPr>
          <w:rFonts w:hint="eastAsia" w:ascii="楷体" w:hAnsi="楷体" w:eastAsia="楷体" w:cs="楷体"/>
          <w:szCs w:val="32"/>
          <w:highlight w:val="none"/>
        </w:rPr>
        <w:fldChar w:fldCharType="separate"/>
      </w:r>
      <w:r>
        <w:rPr>
          <w:rFonts w:hint="eastAsia" w:ascii="楷体" w:hAnsi="楷体" w:eastAsia="楷体" w:cs="楷体"/>
          <w:szCs w:val="36"/>
          <w:highlight w:val="none"/>
        </w:rPr>
        <w:t xml:space="preserve">第一章  </w:t>
      </w:r>
      <w:r>
        <w:rPr>
          <w:rFonts w:hint="eastAsia" w:ascii="楷体" w:hAnsi="楷体" w:eastAsia="楷体" w:cs="楷体"/>
          <w:szCs w:val="36"/>
          <w:highlight w:val="none"/>
          <w:lang w:val="en-US" w:eastAsia="zh-CN"/>
        </w:rPr>
        <w:t>竞</w:t>
      </w:r>
      <w:r>
        <w:rPr>
          <w:rFonts w:hint="eastAsia" w:ascii="楷体" w:hAnsi="楷体" w:eastAsia="楷体" w:cs="楷体"/>
          <w:szCs w:val="36"/>
          <w:highlight w:val="none"/>
        </w:rPr>
        <w:t>争性磋商</w:t>
      </w:r>
      <w:r>
        <w:rPr>
          <w:rFonts w:hint="eastAsia" w:ascii="楷体" w:hAnsi="楷体" w:eastAsia="楷体" w:cs="楷体"/>
          <w:szCs w:val="36"/>
          <w:highlight w:val="none"/>
          <w:lang w:val="en-US" w:eastAsia="zh-CN"/>
        </w:rPr>
        <w:t>公告</w:t>
      </w:r>
      <w:r>
        <w:rPr>
          <w:rFonts w:hint="eastAsia" w:ascii="楷体" w:hAnsi="楷体" w:eastAsia="楷体" w:cs="楷体"/>
          <w:highlight w:val="none"/>
        </w:rPr>
        <w:tab/>
      </w:r>
      <w:r>
        <w:rPr>
          <w:rFonts w:hint="eastAsia" w:ascii="楷体" w:hAnsi="楷体" w:eastAsia="楷体" w:cs="楷体"/>
          <w:highlight w:val="none"/>
        </w:rPr>
        <w:fldChar w:fldCharType="begin"/>
      </w:r>
      <w:r>
        <w:rPr>
          <w:rFonts w:hint="eastAsia" w:ascii="楷体" w:hAnsi="楷体" w:eastAsia="楷体" w:cs="楷体"/>
          <w:highlight w:val="none"/>
        </w:rPr>
        <w:instrText xml:space="preserve"> PAGEREF _Toc17399 \h </w:instrText>
      </w:r>
      <w:r>
        <w:rPr>
          <w:rFonts w:hint="eastAsia" w:ascii="楷体" w:hAnsi="楷体" w:eastAsia="楷体" w:cs="楷体"/>
          <w:highlight w:val="none"/>
        </w:rPr>
        <w:fldChar w:fldCharType="separate"/>
      </w:r>
      <w:r>
        <w:rPr>
          <w:rFonts w:hint="eastAsia" w:ascii="楷体" w:hAnsi="楷体" w:eastAsia="楷体" w:cs="楷体"/>
          <w:highlight w:val="none"/>
        </w:rPr>
        <w:t>3</w:t>
      </w:r>
      <w:r>
        <w:rPr>
          <w:rFonts w:hint="eastAsia" w:ascii="楷体" w:hAnsi="楷体" w:eastAsia="楷体" w:cs="楷体"/>
          <w:highlight w:val="none"/>
        </w:rPr>
        <w:fldChar w:fldCharType="end"/>
      </w:r>
      <w:r>
        <w:rPr>
          <w:rFonts w:hint="eastAsia" w:ascii="楷体" w:hAnsi="楷体" w:eastAsia="楷体" w:cs="楷体"/>
          <w:szCs w:val="32"/>
          <w:highlight w:val="none"/>
        </w:rPr>
        <w:fldChar w:fldCharType="end"/>
      </w:r>
    </w:p>
    <w:p w14:paraId="55A9C960">
      <w:pPr>
        <w:pStyle w:val="18"/>
        <w:keepNext w:val="0"/>
        <w:keepLines w:val="0"/>
        <w:pageBreakBefore w:val="0"/>
        <w:widowControl/>
        <w:tabs>
          <w:tab w:val="right" w:leader="dot" w:pos="9072"/>
        </w:tabs>
        <w:kinsoku/>
        <w:wordWrap/>
        <w:overflowPunct/>
        <w:topLinePunct w:val="0"/>
        <w:autoSpaceDE/>
        <w:autoSpaceDN/>
        <w:bidi w:val="0"/>
        <w:adjustRightInd/>
        <w:snapToGrid/>
        <w:spacing w:line="480" w:lineRule="auto"/>
        <w:textAlignment w:val="auto"/>
        <w:rPr>
          <w:rFonts w:hint="eastAsia" w:ascii="楷体" w:hAnsi="楷体" w:eastAsia="楷体" w:cs="楷体"/>
          <w:highlight w:val="none"/>
        </w:rPr>
      </w:pPr>
      <w:r>
        <w:rPr>
          <w:rFonts w:hint="eastAsia" w:ascii="楷体" w:hAnsi="楷体" w:eastAsia="楷体" w:cs="楷体"/>
          <w:szCs w:val="32"/>
          <w:highlight w:val="none"/>
        </w:rPr>
        <w:fldChar w:fldCharType="begin"/>
      </w:r>
      <w:r>
        <w:rPr>
          <w:rFonts w:hint="eastAsia" w:ascii="楷体" w:hAnsi="楷体" w:eastAsia="楷体" w:cs="楷体"/>
          <w:szCs w:val="32"/>
          <w:highlight w:val="none"/>
        </w:rPr>
        <w:instrText xml:space="preserve"> HYPERLINK \l _Toc27165 </w:instrText>
      </w:r>
      <w:r>
        <w:rPr>
          <w:rFonts w:hint="eastAsia" w:ascii="楷体" w:hAnsi="楷体" w:eastAsia="楷体" w:cs="楷体"/>
          <w:szCs w:val="32"/>
          <w:highlight w:val="none"/>
        </w:rPr>
        <w:fldChar w:fldCharType="separate"/>
      </w:r>
      <w:r>
        <w:rPr>
          <w:rFonts w:hint="eastAsia" w:ascii="楷体" w:hAnsi="楷体" w:eastAsia="楷体" w:cs="楷体"/>
          <w:szCs w:val="36"/>
          <w:highlight w:val="none"/>
        </w:rPr>
        <w:t>第二章  供应商须知</w:t>
      </w:r>
      <w:r>
        <w:rPr>
          <w:rFonts w:hint="eastAsia" w:ascii="楷体" w:hAnsi="楷体" w:eastAsia="楷体" w:cs="楷体"/>
          <w:highlight w:val="none"/>
        </w:rPr>
        <w:tab/>
      </w:r>
      <w:r>
        <w:rPr>
          <w:rFonts w:hint="eastAsia" w:ascii="楷体" w:hAnsi="楷体" w:eastAsia="楷体" w:cs="楷体"/>
          <w:highlight w:val="none"/>
        </w:rPr>
        <w:fldChar w:fldCharType="begin"/>
      </w:r>
      <w:r>
        <w:rPr>
          <w:rFonts w:hint="eastAsia" w:ascii="楷体" w:hAnsi="楷体" w:eastAsia="楷体" w:cs="楷体"/>
          <w:highlight w:val="none"/>
        </w:rPr>
        <w:instrText xml:space="preserve"> PAGEREF _Toc27165 \h </w:instrText>
      </w:r>
      <w:r>
        <w:rPr>
          <w:rFonts w:hint="eastAsia" w:ascii="楷体" w:hAnsi="楷体" w:eastAsia="楷体" w:cs="楷体"/>
          <w:highlight w:val="none"/>
        </w:rPr>
        <w:fldChar w:fldCharType="separate"/>
      </w:r>
      <w:r>
        <w:rPr>
          <w:rFonts w:hint="eastAsia" w:ascii="楷体" w:hAnsi="楷体" w:eastAsia="楷体" w:cs="楷体"/>
          <w:highlight w:val="none"/>
        </w:rPr>
        <w:t>3</w:t>
      </w:r>
      <w:r>
        <w:rPr>
          <w:rFonts w:hint="eastAsia" w:ascii="楷体" w:hAnsi="楷体" w:eastAsia="楷体" w:cs="楷体"/>
          <w:highlight w:val="none"/>
        </w:rPr>
        <w:fldChar w:fldCharType="end"/>
      </w:r>
      <w:r>
        <w:rPr>
          <w:rFonts w:hint="eastAsia" w:ascii="楷体" w:hAnsi="楷体" w:eastAsia="楷体" w:cs="楷体"/>
          <w:szCs w:val="32"/>
          <w:highlight w:val="none"/>
        </w:rPr>
        <w:fldChar w:fldCharType="end"/>
      </w:r>
    </w:p>
    <w:p w14:paraId="674EC3EF">
      <w:pPr>
        <w:pStyle w:val="18"/>
        <w:keepNext w:val="0"/>
        <w:keepLines w:val="0"/>
        <w:pageBreakBefore w:val="0"/>
        <w:widowControl/>
        <w:tabs>
          <w:tab w:val="right" w:leader="dot" w:pos="9072"/>
        </w:tabs>
        <w:kinsoku/>
        <w:wordWrap/>
        <w:overflowPunct/>
        <w:topLinePunct w:val="0"/>
        <w:autoSpaceDE/>
        <w:autoSpaceDN/>
        <w:bidi w:val="0"/>
        <w:adjustRightInd/>
        <w:snapToGrid/>
        <w:spacing w:line="480" w:lineRule="auto"/>
        <w:textAlignment w:val="auto"/>
        <w:rPr>
          <w:rFonts w:hint="eastAsia" w:ascii="楷体" w:hAnsi="楷体" w:eastAsia="楷体" w:cs="楷体"/>
          <w:highlight w:val="none"/>
        </w:rPr>
      </w:pPr>
      <w:r>
        <w:rPr>
          <w:rFonts w:hint="eastAsia" w:ascii="楷体" w:hAnsi="楷体" w:eastAsia="楷体" w:cs="楷体"/>
          <w:szCs w:val="32"/>
          <w:highlight w:val="none"/>
        </w:rPr>
        <w:fldChar w:fldCharType="begin"/>
      </w:r>
      <w:r>
        <w:rPr>
          <w:rFonts w:hint="eastAsia" w:ascii="楷体" w:hAnsi="楷体" w:eastAsia="楷体" w:cs="楷体"/>
          <w:szCs w:val="32"/>
          <w:highlight w:val="none"/>
        </w:rPr>
        <w:instrText xml:space="preserve"> HYPERLINK \l _Toc13057 </w:instrText>
      </w:r>
      <w:r>
        <w:rPr>
          <w:rFonts w:hint="eastAsia" w:ascii="楷体" w:hAnsi="楷体" w:eastAsia="楷体" w:cs="楷体"/>
          <w:szCs w:val="32"/>
          <w:highlight w:val="none"/>
        </w:rPr>
        <w:fldChar w:fldCharType="separate"/>
      </w:r>
      <w:r>
        <w:rPr>
          <w:rFonts w:hint="eastAsia" w:ascii="楷体" w:hAnsi="楷体" w:eastAsia="楷体" w:cs="楷体"/>
          <w:szCs w:val="36"/>
          <w:highlight w:val="none"/>
        </w:rPr>
        <w:t>第三章  磋商内容及采购要求</w:t>
      </w:r>
      <w:r>
        <w:rPr>
          <w:rFonts w:hint="eastAsia" w:ascii="楷体" w:hAnsi="楷体" w:eastAsia="楷体" w:cs="楷体"/>
          <w:highlight w:val="none"/>
        </w:rPr>
        <w:tab/>
      </w:r>
      <w:r>
        <w:rPr>
          <w:rFonts w:hint="eastAsia" w:ascii="楷体" w:hAnsi="楷体" w:eastAsia="楷体" w:cs="楷体"/>
          <w:highlight w:val="none"/>
        </w:rPr>
        <w:fldChar w:fldCharType="begin"/>
      </w:r>
      <w:r>
        <w:rPr>
          <w:rFonts w:hint="eastAsia" w:ascii="楷体" w:hAnsi="楷体" w:eastAsia="楷体" w:cs="楷体"/>
          <w:highlight w:val="none"/>
        </w:rPr>
        <w:instrText xml:space="preserve"> PAGEREF _Toc13057 \h </w:instrText>
      </w:r>
      <w:r>
        <w:rPr>
          <w:rFonts w:hint="eastAsia" w:ascii="楷体" w:hAnsi="楷体" w:eastAsia="楷体" w:cs="楷体"/>
          <w:highlight w:val="none"/>
        </w:rPr>
        <w:fldChar w:fldCharType="separate"/>
      </w:r>
      <w:r>
        <w:rPr>
          <w:rFonts w:hint="eastAsia" w:ascii="楷体" w:hAnsi="楷体" w:eastAsia="楷体" w:cs="楷体"/>
          <w:highlight w:val="none"/>
        </w:rPr>
        <w:t>28</w:t>
      </w:r>
      <w:r>
        <w:rPr>
          <w:rFonts w:hint="eastAsia" w:ascii="楷体" w:hAnsi="楷体" w:eastAsia="楷体" w:cs="楷体"/>
          <w:highlight w:val="none"/>
        </w:rPr>
        <w:fldChar w:fldCharType="end"/>
      </w:r>
      <w:r>
        <w:rPr>
          <w:rFonts w:hint="eastAsia" w:ascii="楷体" w:hAnsi="楷体" w:eastAsia="楷体" w:cs="楷体"/>
          <w:szCs w:val="32"/>
          <w:highlight w:val="none"/>
        </w:rPr>
        <w:fldChar w:fldCharType="end"/>
      </w:r>
    </w:p>
    <w:p w14:paraId="12E752B2">
      <w:pPr>
        <w:pStyle w:val="18"/>
        <w:keepNext w:val="0"/>
        <w:keepLines w:val="0"/>
        <w:pageBreakBefore w:val="0"/>
        <w:widowControl/>
        <w:tabs>
          <w:tab w:val="right" w:leader="dot" w:pos="9072"/>
        </w:tabs>
        <w:kinsoku/>
        <w:wordWrap/>
        <w:overflowPunct/>
        <w:topLinePunct w:val="0"/>
        <w:autoSpaceDE/>
        <w:autoSpaceDN/>
        <w:bidi w:val="0"/>
        <w:adjustRightInd/>
        <w:snapToGrid/>
        <w:spacing w:line="480" w:lineRule="auto"/>
        <w:textAlignment w:val="auto"/>
        <w:rPr>
          <w:rFonts w:hint="eastAsia" w:ascii="楷体" w:hAnsi="楷体" w:eastAsia="楷体" w:cs="楷体"/>
          <w:highlight w:val="none"/>
        </w:rPr>
      </w:pPr>
      <w:r>
        <w:rPr>
          <w:rFonts w:hint="eastAsia" w:ascii="楷体" w:hAnsi="楷体" w:eastAsia="楷体" w:cs="楷体"/>
          <w:szCs w:val="32"/>
          <w:highlight w:val="none"/>
        </w:rPr>
        <w:fldChar w:fldCharType="begin"/>
      </w:r>
      <w:r>
        <w:rPr>
          <w:rFonts w:hint="eastAsia" w:ascii="楷体" w:hAnsi="楷体" w:eastAsia="楷体" w:cs="楷体"/>
          <w:szCs w:val="32"/>
          <w:highlight w:val="none"/>
        </w:rPr>
        <w:instrText xml:space="preserve"> HYPERLINK \l _Toc24287 </w:instrText>
      </w:r>
      <w:r>
        <w:rPr>
          <w:rFonts w:hint="eastAsia" w:ascii="楷体" w:hAnsi="楷体" w:eastAsia="楷体" w:cs="楷体"/>
          <w:szCs w:val="32"/>
          <w:highlight w:val="none"/>
        </w:rPr>
        <w:fldChar w:fldCharType="separate"/>
      </w:r>
      <w:r>
        <w:rPr>
          <w:rFonts w:hint="eastAsia" w:ascii="楷体" w:hAnsi="楷体" w:eastAsia="楷体" w:cs="楷体"/>
          <w:szCs w:val="36"/>
          <w:highlight w:val="none"/>
        </w:rPr>
        <w:t xml:space="preserve">第四章  </w:t>
      </w:r>
      <w:r>
        <w:rPr>
          <w:rFonts w:hint="eastAsia" w:ascii="楷体" w:hAnsi="楷体" w:eastAsia="楷体" w:cs="楷体"/>
          <w:szCs w:val="36"/>
          <w:highlight w:val="none"/>
          <w:lang w:eastAsia="zh-CN"/>
        </w:rPr>
        <w:t>商务要求</w:t>
      </w:r>
      <w:r>
        <w:rPr>
          <w:rFonts w:hint="eastAsia" w:ascii="楷体" w:hAnsi="楷体" w:eastAsia="楷体" w:cs="楷体"/>
          <w:szCs w:val="36"/>
          <w:highlight w:val="none"/>
        </w:rPr>
        <w:t>（合同草案条款）</w:t>
      </w:r>
      <w:r>
        <w:rPr>
          <w:rFonts w:hint="eastAsia" w:ascii="楷体" w:hAnsi="楷体" w:eastAsia="楷体" w:cs="楷体"/>
          <w:highlight w:val="none"/>
        </w:rPr>
        <w:tab/>
      </w:r>
      <w:r>
        <w:rPr>
          <w:rFonts w:hint="eastAsia" w:ascii="楷体" w:hAnsi="楷体" w:eastAsia="楷体" w:cs="楷体"/>
          <w:highlight w:val="none"/>
        </w:rPr>
        <w:fldChar w:fldCharType="begin"/>
      </w:r>
      <w:r>
        <w:rPr>
          <w:rFonts w:hint="eastAsia" w:ascii="楷体" w:hAnsi="楷体" w:eastAsia="楷体" w:cs="楷体"/>
          <w:highlight w:val="none"/>
        </w:rPr>
        <w:instrText xml:space="preserve"> PAGEREF _Toc24287 \h </w:instrText>
      </w:r>
      <w:r>
        <w:rPr>
          <w:rFonts w:hint="eastAsia" w:ascii="楷体" w:hAnsi="楷体" w:eastAsia="楷体" w:cs="楷体"/>
          <w:highlight w:val="none"/>
        </w:rPr>
        <w:fldChar w:fldCharType="separate"/>
      </w:r>
      <w:r>
        <w:rPr>
          <w:rFonts w:hint="eastAsia" w:ascii="楷体" w:hAnsi="楷体" w:eastAsia="楷体" w:cs="楷体"/>
          <w:highlight w:val="none"/>
        </w:rPr>
        <w:t>28</w:t>
      </w:r>
      <w:r>
        <w:rPr>
          <w:rFonts w:hint="eastAsia" w:ascii="楷体" w:hAnsi="楷体" w:eastAsia="楷体" w:cs="楷体"/>
          <w:highlight w:val="none"/>
        </w:rPr>
        <w:fldChar w:fldCharType="end"/>
      </w:r>
      <w:r>
        <w:rPr>
          <w:rFonts w:hint="eastAsia" w:ascii="楷体" w:hAnsi="楷体" w:eastAsia="楷体" w:cs="楷体"/>
          <w:szCs w:val="32"/>
          <w:highlight w:val="none"/>
        </w:rPr>
        <w:fldChar w:fldCharType="end"/>
      </w:r>
    </w:p>
    <w:p w14:paraId="17387E6F">
      <w:pPr>
        <w:pStyle w:val="18"/>
        <w:keepNext w:val="0"/>
        <w:keepLines w:val="0"/>
        <w:pageBreakBefore w:val="0"/>
        <w:widowControl/>
        <w:tabs>
          <w:tab w:val="right" w:leader="dot" w:pos="9072"/>
        </w:tabs>
        <w:kinsoku/>
        <w:wordWrap/>
        <w:overflowPunct/>
        <w:topLinePunct w:val="0"/>
        <w:autoSpaceDE/>
        <w:autoSpaceDN/>
        <w:bidi w:val="0"/>
        <w:adjustRightInd/>
        <w:snapToGrid/>
        <w:spacing w:line="480" w:lineRule="auto"/>
        <w:textAlignment w:val="auto"/>
        <w:rPr>
          <w:rFonts w:hint="eastAsia" w:ascii="楷体" w:hAnsi="楷体" w:eastAsia="楷体" w:cs="楷体"/>
          <w:highlight w:val="none"/>
        </w:rPr>
      </w:pPr>
      <w:r>
        <w:rPr>
          <w:rFonts w:hint="eastAsia" w:ascii="楷体" w:hAnsi="楷体" w:eastAsia="楷体" w:cs="楷体"/>
          <w:szCs w:val="32"/>
          <w:highlight w:val="none"/>
        </w:rPr>
        <w:fldChar w:fldCharType="begin"/>
      </w:r>
      <w:r>
        <w:rPr>
          <w:rFonts w:hint="eastAsia" w:ascii="楷体" w:hAnsi="楷体" w:eastAsia="楷体" w:cs="楷体"/>
          <w:szCs w:val="32"/>
          <w:highlight w:val="none"/>
        </w:rPr>
        <w:instrText xml:space="preserve"> HYPERLINK \l _Toc20180 </w:instrText>
      </w:r>
      <w:r>
        <w:rPr>
          <w:rFonts w:hint="eastAsia" w:ascii="楷体" w:hAnsi="楷体" w:eastAsia="楷体" w:cs="楷体"/>
          <w:szCs w:val="32"/>
          <w:highlight w:val="none"/>
        </w:rPr>
        <w:fldChar w:fldCharType="separate"/>
      </w:r>
      <w:r>
        <w:rPr>
          <w:rFonts w:hint="eastAsia" w:ascii="楷体" w:hAnsi="楷体" w:eastAsia="楷体" w:cs="楷体"/>
          <w:szCs w:val="36"/>
          <w:highlight w:val="none"/>
        </w:rPr>
        <w:t>第五章  响应文件构成及格式</w:t>
      </w:r>
      <w:r>
        <w:rPr>
          <w:rFonts w:hint="eastAsia" w:ascii="楷体" w:hAnsi="楷体" w:eastAsia="楷体" w:cs="楷体"/>
          <w:highlight w:val="none"/>
        </w:rPr>
        <w:tab/>
      </w:r>
      <w:r>
        <w:rPr>
          <w:rFonts w:hint="eastAsia" w:ascii="楷体" w:hAnsi="楷体" w:eastAsia="楷体" w:cs="楷体"/>
          <w:highlight w:val="none"/>
        </w:rPr>
        <w:fldChar w:fldCharType="begin"/>
      </w:r>
      <w:r>
        <w:rPr>
          <w:rFonts w:hint="eastAsia" w:ascii="楷体" w:hAnsi="楷体" w:eastAsia="楷体" w:cs="楷体"/>
          <w:highlight w:val="none"/>
        </w:rPr>
        <w:instrText xml:space="preserve"> PAGEREF _Toc20180 \h </w:instrText>
      </w:r>
      <w:r>
        <w:rPr>
          <w:rFonts w:hint="eastAsia" w:ascii="楷体" w:hAnsi="楷体" w:eastAsia="楷体" w:cs="楷体"/>
          <w:highlight w:val="none"/>
        </w:rPr>
        <w:fldChar w:fldCharType="separate"/>
      </w:r>
      <w:r>
        <w:rPr>
          <w:rFonts w:hint="eastAsia" w:ascii="楷体" w:hAnsi="楷体" w:eastAsia="楷体" w:cs="楷体"/>
          <w:highlight w:val="none"/>
        </w:rPr>
        <w:t>37</w:t>
      </w:r>
      <w:r>
        <w:rPr>
          <w:rFonts w:hint="eastAsia" w:ascii="楷体" w:hAnsi="楷体" w:eastAsia="楷体" w:cs="楷体"/>
          <w:highlight w:val="none"/>
        </w:rPr>
        <w:fldChar w:fldCharType="end"/>
      </w:r>
      <w:r>
        <w:rPr>
          <w:rFonts w:hint="eastAsia" w:ascii="楷体" w:hAnsi="楷体" w:eastAsia="楷体" w:cs="楷体"/>
          <w:szCs w:val="32"/>
          <w:highlight w:val="none"/>
        </w:rPr>
        <w:fldChar w:fldCharType="end"/>
      </w:r>
    </w:p>
    <w:p w14:paraId="0507B451">
      <w:pPr>
        <w:pStyle w:val="21"/>
        <w:tabs>
          <w:tab w:val="right" w:leader="dot" w:pos="9072"/>
        </w:tabs>
        <w:spacing w:line="480" w:lineRule="auto"/>
        <w:ind w:left="0" w:leftChars="0"/>
        <w:rPr>
          <w:rFonts w:hint="eastAsia" w:ascii="楷体" w:hAnsi="楷体" w:eastAsia="楷体" w:cs="楷体"/>
          <w:szCs w:val="32"/>
          <w:highlight w:val="none"/>
        </w:rPr>
      </w:pPr>
      <w:r>
        <w:rPr>
          <w:rFonts w:hint="eastAsia" w:ascii="楷体" w:hAnsi="楷体" w:eastAsia="楷体" w:cs="楷体"/>
          <w:szCs w:val="32"/>
          <w:highlight w:val="none"/>
        </w:rPr>
        <w:fldChar w:fldCharType="end"/>
      </w:r>
    </w:p>
    <w:p w14:paraId="57C6AC2F">
      <w:pPr>
        <w:tabs>
          <w:tab w:val="left" w:pos="2567"/>
        </w:tabs>
        <w:jc w:val="left"/>
        <w:rPr>
          <w:rFonts w:hint="eastAsia" w:ascii="楷体" w:hAnsi="楷体" w:eastAsia="楷体" w:cs="楷体"/>
          <w:highlight w:val="none"/>
        </w:rPr>
        <w:sectPr>
          <w:headerReference r:id="rId5" w:type="default"/>
          <w:footerReference r:id="rId6" w:type="default"/>
          <w:pgSz w:w="11906" w:h="16838"/>
          <w:pgMar w:top="1417" w:right="1417" w:bottom="1417" w:left="1417" w:header="850" w:footer="992" w:gutter="0"/>
          <w:pgNumType w:fmt="decimal" w:start="1"/>
          <w:cols w:space="720" w:num="1"/>
          <w:docGrid w:type="linesAndChars" w:linePitch="381" w:charSpace="704"/>
        </w:sectPr>
      </w:pPr>
    </w:p>
    <w:p w14:paraId="007ED0F7">
      <w:pPr>
        <w:pStyle w:val="2"/>
        <w:spacing w:line="360" w:lineRule="auto"/>
        <w:rPr>
          <w:rFonts w:hint="eastAsia" w:ascii="楷体" w:hAnsi="楷体" w:eastAsia="楷体" w:cs="楷体"/>
          <w:color w:val="auto"/>
          <w:sz w:val="36"/>
          <w:szCs w:val="36"/>
          <w:highlight w:val="none"/>
        </w:rPr>
      </w:pPr>
      <w:bookmarkStart w:id="9" w:name="_Toc21489"/>
      <w:bookmarkStart w:id="10" w:name="_Toc26235"/>
      <w:bookmarkStart w:id="11" w:name="_Toc17399"/>
    </w:p>
    <w:p w14:paraId="12864F6E">
      <w:pPr>
        <w:pStyle w:val="2"/>
        <w:spacing w:line="360" w:lineRule="auto"/>
        <w:rPr>
          <w:rFonts w:hint="eastAsia" w:ascii="楷体" w:hAnsi="楷体" w:eastAsia="楷体" w:cs="楷体"/>
          <w:color w:val="auto"/>
          <w:sz w:val="36"/>
          <w:szCs w:val="36"/>
          <w:highlight w:val="none"/>
        </w:rPr>
      </w:pPr>
    </w:p>
    <w:p w14:paraId="06B7AF34">
      <w:pPr>
        <w:pStyle w:val="2"/>
        <w:spacing w:line="360" w:lineRule="auto"/>
        <w:rPr>
          <w:rFonts w:hint="eastAsia" w:ascii="楷体" w:hAnsi="楷体" w:eastAsia="楷体" w:cs="楷体"/>
          <w:color w:val="auto"/>
          <w:sz w:val="36"/>
          <w:szCs w:val="36"/>
          <w:highlight w:val="none"/>
        </w:rPr>
      </w:pPr>
    </w:p>
    <w:p w14:paraId="444B3AA4">
      <w:pPr>
        <w:pStyle w:val="2"/>
        <w:spacing w:line="360" w:lineRule="auto"/>
        <w:rPr>
          <w:rFonts w:hint="eastAsia" w:ascii="楷体" w:hAnsi="楷体" w:eastAsia="楷体" w:cs="楷体"/>
          <w:color w:val="auto"/>
          <w:sz w:val="36"/>
          <w:szCs w:val="36"/>
          <w:highlight w:val="none"/>
        </w:rPr>
      </w:pPr>
    </w:p>
    <w:p w14:paraId="087CF924">
      <w:pPr>
        <w:pStyle w:val="2"/>
        <w:spacing w:line="360" w:lineRule="auto"/>
        <w:rPr>
          <w:rFonts w:hint="eastAsia" w:ascii="楷体" w:hAnsi="楷体" w:eastAsia="楷体" w:cs="楷体"/>
          <w:color w:val="auto"/>
          <w:sz w:val="36"/>
          <w:szCs w:val="36"/>
          <w:highlight w:val="none"/>
        </w:rPr>
      </w:pPr>
    </w:p>
    <w:p w14:paraId="707D15AE">
      <w:pPr>
        <w:pStyle w:val="2"/>
        <w:spacing w:line="360" w:lineRule="auto"/>
        <w:rPr>
          <w:rFonts w:hint="eastAsia" w:ascii="楷体" w:hAnsi="楷体" w:eastAsia="楷体" w:cs="楷体"/>
          <w:color w:val="auto"/>
          <w:sz w:val="36"/>
          <w:szCs w:val="36"/>
          <w:highlight w:val="none"/>
        </w:rPr>
      </w:pPr>
    </w:p>
    <w:p w14:paraId="0E2BF24E">
      <w:pPr>
        <w:rPr>
          <w:rFonts w:hint="eastAsia" w:ascii="楷体" w:hAnsi="楷体" w:eastAsia="楷体" w:cs="楷体"/>
          <w:color w:val="auto"/>
          <w:sz w:val="36"/>
          <w:szCs w:val="36"/>
          <w:highlight w:val="none"/>
        </w:rPr>
      </w:pPr>
    </w:p>
    <w:p w14:paraId="4BCEC8F8">
      <w:pPr>
        <w:rPr>
          <w:rFonts w:hint="eastAsia" w:ascii="楷体" w:hAnsi="楷体" w:eastAsia="楷体" w:cs="楷体"/>
          <w:color w:val="auto"/>
          <w:sz w:val="36"/>
          <w:szCs w:val="36"/>
          <w:highlight w:val="none"/>
        </w:rPr>
      </w:pPr>
    </w:p>
    <w:p w14:paraId="50BF6026">
      <w:pPr>
        <w:pStyle w:val="12"/>
        <w:rPr>
          <w:rFonts w:hint="eastAsia" w:ascii="楷体" w:hAnsi="楷体" w:eastAsia="楷体" w:cs="楷体"/>
        </w:rPr>
      </w:pPr>
    </w:p>
    <w:p w14:paraId="72ED7E17">
      <w:pPr>
        <w:pStyle w:val="2"/>
        <w:spacing w:line="360" w:lineRule="auto"/>
        <w:rPr>
          <w:rFonts w:hint="eastAsia" w:ascii="楷体" w:hAnsi="楷体" w:eastAsia="楷体" w:cs="楷体"/>
          <w:color w:val="auto"/>
          <w:sz w:val="36"/>
          <w:szCs w:val="36"/>
          <w:highlight w:val="none"/>
          <w:lang w:eastAsia="zh-CN"/>
        </w:rPr>
      </w:pPr>
      <w:r>
        <w:rPr>
          <w:rFonts w:hint="eastAsia" w:ascii="楷体" w:hAnsi="楷体" w:eastAsia="楷体" w:cs="楷体"/>
          <w:color w:val="auto"/>
          <w:sz w:val="36"/>
          <w:szCs w:val="36"/>
          <w:highlight w:val="none"/>
        </w:rPr>
        <w:t xml:space="preserve">第一章  </w:t>
      </w:r>
      <w:r>
        <w:rPr>
          <w:rFonts w:hint="eastAsia" w:ascii="楷体" w:hAnsi="楷体" w:eastAsia="楷体" w:cs="楷体"/>
          <w:color w:val="auto"/>
          <w:sz w:val="36"/>
          <w:szCs w:val="36"/>
          <w:highlight w:val="none"/>
          <w:lang w:val="en-US" w:eastAsia="zh-CN"/>
        </w:rPr>
        <w:t>竞</w:t>
      </w:r>
      <w:r>
        <w:rPr>
          <w:rFonts w:hint="eastAsia" w:ascii="楷体" w:hAnsi="楷体" w:eastAsia="楷体" w:cs="楷体"/>
          <w:color w:val="auto"/>
          <w:sz w:val="36"/>
          <w:szCs w:val="36"/>
          <w:highlight w:val="none"/>
        </w:rPr>
        <w:t>争性磋商</w:t>
      </w:r>
      <w:bookmarkEnd w:id="0"/>
      <w:bookmarkEnd w:id="1"/>
      <w:bookmarkEnd w:id="2"/>
      <w:bookmarkEnd w:id="9"/>
      <w:bookmarkEnd w:id="10"/>
      <w:r>
        <w:rPr>
          <w:rFonts w:hint="eastAsia" w:ascii="楷体" w:hAnsi="楷体" w:eastAsia="楷体" w:cs="楷体"/>
          <w:color w:val="auto"/>
          <w:sz w:val="36"/>
          <w:szCs w:val="36"/>
          <w:highlight w:val="none"/>
          <w:lang w:val="en-US" w:eastAsia="zh-CN"/>
        </w:rPr>
        <w:t>公告</w:t>
      </w:r>
      <w:bookmarkEnd w:id="11"/>
    </w:p>
    <w:p w14:paraId="7384D2D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楷体" w:hAnsi="楷体" w:eastAsia="楷体" w:cs="楷体"/>
          <w:b/>
          <w:bCs/>
          <w:sz w:val="24"/>
          <w:szCs w:val="24"/>
          <w:highlight w:val="none"/>
          <w:lang w:val="en-US" w:eastAsia="zh-CN"/>
        </w:rPr>
      </w:pPr>
      <w:bookmarkStart w:id="12" w:name="_Toc22804_WPSOffice_Level1"/>
      <w:bookmarkStart w:id="13" w:name="_Toc495012820"/>
      <w:bookmarkStart w:id="14" w:name="_Toc4326"/>
      <w:bookmarkStart w:id="15" w:name="_Toc495014610"/>
      <w:bookmarkStart w:id="16" w:name="_Toc495014919"/>
      <w:bookmarkStart w:id="17" w:name="_Toc495014648"/>
      <w:bookmarkStart w:id="18" w:name="_Toc495014953"/>
      <w:bookmarkStart w:id="19" w:name="_Toc445306492"/>
      <w:bookmarkStart w:id="20" w:name="_Toc495014584"/>
      <w:bookmarkStart w:id="21" w:name="_Toc19337_WPSOffice_Level1"/>
      <w:bookmarkStart w:id="22" w:name="_Toc15046_WPSOffice_Level1"/>
      <w:bookmarkStart w:id="23" w:name="_Toc495012770"/>
      <w:bookmarkStart w:id="24" w:name="_Toc7814"/>
      <w:r>
        <w:rPr>
          <w:rFonts w:hint="eastAsia" w:ascii="楷体" w:hAnsi="楷体" w:eastAsia="楷体" w:cs="楷体"/>
          <w:b/>
          <w:bCs/>
          <w:sz w:val="24"/>
          <w:szCs w:val="24"/>
          <w:highlight w:val="none"/>
          <w:lang w:val="en-US" w:eastAsia="zh-CN"/>
        </w:rPr>
        <w:t>前置软件单位数字证书服务项目</w:t>
      </w:r>
    </w:p>
    <w:p w14:paraId="5B16DF4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楷体" w:hAnsi="楷体" w:eastAsia="楷体" w:cs="楷体"/>
          <w:b/>
          <w:bCs/>
          <w:sz w:val="24"/>
          <w:szCs w:val="24"/>
          <w:highlight w:val="none"/>
          <w:lang w:val="en-US" w:eastAsia="zh-CN"/>
        </w:rPr>
      </w:pPr>
      <w:r>
        <w:rPr>
          <w:rFonts w:hint="eastAsia" w:ascii="楷体" w:hAnsi="楷体" w:eastAsia="楷体" w:cs="楷体"/>
          <w:b/>
          <w:bCs/>
          <w:sz w:val="24"/>
          <w:szCs w:val="24"/>
          <w:highlight w:val="none"/>
          <w:lang w:val="en-US" w:eastAsia="zh-CN"/>
        </w:rPr>
        <w:t>竞</w:t>
      </w:r>
      <w:r>
        <w:rPr>
          <w:rFonts w:hint="eastAsia" w:ascii="楷体" w:hAnsi="楷体" w:eastAsia="楷体" w:cs="楷体"/>
          <w:b/>
          <w:bCs/>
          <w:spacing w:val="-6"/>
          <w:sz w:val="24"/>
          <w:szCs w:val="24"/>
          <w:highlight w:val="none"/>
        </w:rPr>
        <w:t>争性磋商公告</w:t>
      </w:r>
    </w:p>
    <w:p w14:paraId="29C65C40">
      <w:pPr>
        <w:keepNext w:val="0"/>
        <w:keepLines w:val="0"/>
        <w:pageBreakBefore w:val="0"/>
        <w:widowControl/>
        <w:kinsoku/>
        <w:wordWrap/>
        <w:overflowPunct/>
        <w:topLinePunct w:val="0"/>
        <w:autoSpaceDE/>
        <w:autoSpaceDN/>
        <w:bidi w:val="0"/>
        <w:adjustRightInd/>
        <w:snapToGrid/>
        <w:spacing w:line="240" w:lineRule="auto"/>
        <w:ind w:firstLine="504" w:firstLineChars="200"/>
        <w:rPr>
          <w:rFonts w:hint="eastAsia" w:ascii="楷体" w:hAnsi="楷体" w:eastAsia="楷体" w:cs="楷体"/>
          <w:b/>
          <w:bCs/>
          <w:sz w:val="24"/>
          <w:szCs w:val="24"/>
        </w:rPr>
      </w:pPr>
      <w:bookmarkStart w:id="25" w:name="_Toc27165"/>
      <w:r>
        <w:rPr>
          <w:rFonts w:hint="eastAsia" w:ascii="楷体" w:hAnsi="楷体" w:eastAsia="楷体" w:cs="楷体"/>
          <w:b/>
          <w:bCs/>
          <w:sz w:val="24"/>
          <w:szCs w:val="24"/>
        </w:rPr>
        <w:t>项目概况</w:t>
      </w:r>
    </w:p>
    <w:p w14:paraId="7E848E9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前置软件单位数字证书服务项目采购项目的潜在供应商应在线下获取采购文件（地址：西安市雁塔区南二环西段154号易和蓝钻23楼西（高新路与二环十字东南角大香港酒楼东侧100米红色写字楼，楼西侧电梯直达））获取采购文件，并于 2026年07月31日 14时00分 （北京时间）前提交响应文件。</w:t>
      </w:r>
    </w:p>
    <w:p w14:paraId="3969A79D">
      <w:pPr>
        <w:keepNext w:val="0"/>
        <w:keepLines w:val="0"/>
        <w:pageBreakBefore w:val="0"/>
        <w:widowControl/>
        <w:kinsoku/>
        <w:wordWrap/>
        <w:overflowPunct/>
        <w:topLinePunct w:val="0"/>
        <w:autoSpaceDE/>
        <w:autoSpaceDN/>
        <w:bidi w:val="0"/>
        <w:adjustRightInd/>
        <w:snapToGrid/>
        <w:spacing w:line="240" w:lineRule="auto"/>
        <w:ind w:firstLine="504" w:firstLineChars="200"/>
        <w:rPr>
          <w:rFonts w:hint="eastAsia" w:ascii="楷体" w:hAnsi="楷体" w:eastAsia="楷体" w:cs="楷体"/>
          <w:b/>
          <w:bCs/>
          <w:sz w:val="24"/>
          <w:szCs w:val="24"/>
        </w:rPr>
      </w:pPr>
      <w:r>
        <w:rPr>
          <w:rFonts w:hint="eastAsia" w:ascii="楷体" w:hAnsi="楷体" w:eastAsia="楷体" w:cs="楷体"/>
          <w:b/>
          <w:bCs/>
          <w:sz w:val="24"/>
          <w:szCs w:val="24"/>
        </w:rPr>
        <w:t>一、项目基本情况</w:t>
      </w:r>
    </w:p>
    <w:p w14:paraId="2BD5C2C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项目编号：SZCTC-F260717</w:t>
      </w:r>
    </w:p>
    <w:p w14:paraId="40F4979B">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项目名称：前置软件单位数字证书服务项目</w:t>
      </w:r>
    </w:p>
    <w:p w14:paraId="1BE7FABB">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采购方式：竞争性磋商</w:t>
      </w:r>
    </w:p>
    <w:p w14:paraId="6D764119">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预算金额：280,000.00元</w:t>
      </w:r>
    </w:p>
    <w:p w14:paraId="7D92404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采购需求：</w:t>
      </w:r>
    </w:p>
    <w:p w14:paraId="3485A6A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合同包1(前置软件单位数字证书服务项目):</w:t>
      </w:r>
    </w:p>
    <w:p w14:paraId="25951A1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合同包预算金额：280,000.00元</w:t>
      </w:r>
    </w:p>
    <w:p w14:paraId="0FD7AF9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合同包最高限价：280,000.00元</w:t>
      </w:r>
    </w:p>
    <w:tbl>
      <w:tblPr>
        <w:tblStyle w:val="28"/>
        <w:tblW w:w="99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021"/>
        <w:gridCol w:w="2109"/>
        <w:gridCol w:w="2282"/>
        <w:gridCol w:w="1322"/>
        <w:gridCol w:w="1739"/>
        <w:gridCol w:w="1504"/>
      </w:tblGrid>
      <w:tr w14:paraId="52ACA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13" w:hRule="atLeast"/>
          <w:tblHeader/>
        </w:trPr>
        <w:tc>
          <w:tcPr>
            <w:tcW w:w="10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D9D9D7">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品目号</w:t>
            </w:r>
          </w:p>
        </w:tc>
        <w:tc>
          <w:tcPr>
            <w:tcW w:w="21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7869FA">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品目名称</w:t>
            </w:r>
          </w:p>
        </w:tc>
        <w:tc>
          <w:tcPr>
            <w:tcW w:w="23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7973803">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采购标的</w:t>
            </w:r>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3C6102">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数量（单位）</w:t>
            </w:r>
          </w:p>
        </w:tc>
        <w:tc>
          <w:tcPr>
            <w:tcW w:w="17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1821BD">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技术规格、参数及要求</w:t>
            </w:r>
          </w:p>
        </w:tc>
        <w:tc>
          <w:tcPr>
            <w:tcW w:w="145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E22B8E">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b/>
                <w:bCs/>
                <w:sz w:val="24"/>
                <w:szCs w:val="24"/>
              </w:rPr>
            </w:pPr>
            <w:r>
              <w:rPr>
                <w:rFonts w:hint="eastAsia" w:ascii="楷体" w:hAnsi="楷体" w:eastAsia="楷体" w:cs="楷体"/>
                <w:b/>
                <w:bCs/>
                <w:kern w:val="0"/>
                <w:sz w:val="24"/>
                <w:szCs w:val="24"/>
                <w:lang w:val="en-US" w:eastAsia="zh-CN" w:bidi="ar"/>
              </w:rPr>
              <w:t>品目预算(元)</w:t>
            </w:r>
          </w:p>
        </w:tc>
      </w:tr>
      <w:tr w14:paraId="719BBD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348" w:hRule="atLeast"/>
        </w:trPr>
        <w:tc>
          <w:tcPr>
            <w:tcW w:w="103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8BBBC4">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1-1</w:t>
            </w:r>
          </w:p>
        </w:tc>
        <w:tc>
          <w:tcPr>
            <w:tcW w:w="213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347540">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其他信息技术服务</w:t>
            </w:r>
          </w:p>
        </w:tc>
        <w:tc>
          <w:tcPr>
            <w:tcW w:w="23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54050E">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sz w:val="24"/>
                <w:szCs w:val="24"/>
              </w:rPr>
            </w:pPr>
            <w:bookmarkStart w:id="190" w:name="_GoBack"/>
            <w:r>
              <w:rPr>
                <w:rFonts w:hint="eastAsia" w:ascii="楷体" w:hAnsi="楷体" w:eastAsia="楷体" w:cs="楷体"/>
                <w:kern w:val="0"/>
                <w:sz w:val="24"/>
                <w:szCs w:val="24"/>
                <w:lang w:val="en-US" w:eastAsia="zh-CN" w:bidi="ar"/>
              </w:rPr>
              <w:t>前置软件单位数字证书服务</w:t>
            </w:r>
            <w:bookmarkEnd w:id="190"/>
          </w:p>
        </w:tc>
        <w:tc>
          <w:tcPr>
            <w:tcW w:w="13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50E665F">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052AD4">
            <w:pPr>
              <w:keepNext w:val="0"/>
              <w:keepLines w:val="0"/>
              <w:widowControl/>
              <w:suppressLineNumbers w:val="0"/>
              <w:wordWrap w:val="0"/>
              <w:spacing w:before="0" w:beforeAutospacing="0" w:after="0" w:afterAutospacing="0" w:line="360" w:lineRule="atLeast"/>
              <w:ind w:left="0" w:right="0"/>
              <w:jc w:val="center"/>
              <w:textAlignment w:val="center"/>
              <w:rPr>
                <w:rFonts w:hint="eastAsia" w:ascii="楷体" w:hAnsi="楷体" w:eastAsia="楷体" w:cs="楷体"/>
                <w:sz w:val="24"/>
                <w:szCs w:val="24"/>
              </w:rPr>
            </w:pPr>
            <w:r>
              <w:rPr>
                <w:rFonts w:hint="eastAsia" w:ascii="楷体" w:hAnsi="楷体" w:eastAsia="楷体" w:cs="楷体"/>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861716">
            <w:pPr>
              <w:keepNext w:val="0"/>
              <w:keepLines w:val="0"/>
              <w:widowControl/>
              <w:suppressLineNumbers w:val="0"/>
              <w:wordWrap/>
              <w:spacing w:before="0" w:beforeAutospacing="0" w:after="0" w:afterAutospacing="0" w:line="360" w:lineRule="atLeast"/>
              <w:ind w:left="0" w:right="0"/>
              <w:jc w:val="right"/>
              <w:textAlignment w:val="center"/>
              <w:rPr>
                <w:rFonts w:hint="eastAsia" w:ascii="楷体" w:hAnsi="楷体" w:eastAsia="楷体" w:cs="楷体"/>
                <w:sz w:val="24"/>
                <w:szCs w:val="24"/>
              </w:rPr>
            </w:pPr>
            <w:r>
              <w:rPr>
                <w:rFonts w:hint="eastAsia" w:ascii="楷体" w:hAnsi="楷体" w:eastAsia="楷体" w:cs="楷体"/>
                <w:kern w:val="0"/>
                <w:sz w:val="24"/>
                <w:szCs w:val="24"/>
                <w:vertAlign w:val="baseline"/>
                <w:lang w:val="en-US" w:eastAsia="zh-CN" w:bidi="ar"/>
              </w:rPr>
              <w:t>280,000.00</w:t>
            </w:r>
          </w:p>
        </w:tc>
      </w:tr>
    </w:tbl>
    <w:p w14:paraId="394F291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本合同包不接受联合体投标</w:t>
      </w:r>
    </w:p>
    <w:p w14:paraId="54A4B4C1">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合同履行期限：5年（具体服务起止日期可随合同签订时间相应顺延）</w:t>
      </w:r>
    </w:p>
    <w:p w14:paraId="63F3EAA6">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b/>
          <w:bCs/>
          <w:sz w:val="24"/>
          <w:szCs w:val="24"/>
        </w:rPr>
      </w:pPr>
      <w:r>
        <w:rPr>
          <w:rFonts w:hint="eastAsia" w:ascii="楷体" w:hAnsi="楷体" w:eastAsia="楷体" w:cs="楷体"/>
          <w:b/>
          <w:bCs/>
          <w:sz w:val="24"/>
          <w:szCs w:val="24"/>
        </w:rPr>
        <w:t>二、申请人的资格要求：</w:t>
      </w:r>
    </w:p>
    <w:p w14:paraId="5C2669E9">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1.满足《中华人民共和国政府采购法》第二十二条规定;</w:t>
      </w:r>
    </w:p>
    <w:p w14:paraId="0689F0A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2.落实政府采购政策需满足的资格要求： 无。</w:t>
      </w:r>
    </w:p>
    <w:p w14:paraId="3290943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3.本项目的特定资格要求：</w:t>
      </w:r>
    </w:p>
    <w:p w14:paraId="3CF3691D">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合同包1(前置软件单位数字证书服务项目)特定资格要求如下:</w:t>
      </w:r>
    </w:p>
    <w:p w14:paraId="4B14AD6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供应商必须是具有独立承担民事责任能力的法人、其他组织或自然人，并出具合法有效的营业执照或事业单位法人证书等国家规定的相关证明，自然人参与的提供其身份证明； 2、法定代表人委托授权书（法定代表人参加不需提供，但需要提供法定代表人身份证）及被授权人身份证；3.供应商须提供产品制造商的《电子认证服务使用密码许可证》及《电子认证服务许可证》；4、供应商必须拥有良好的商业信誉（须提供经具有财务审计资质单位出具的完整的2024年或2025年度财务审计报告或投标文件截止时间前三个月内其基本存款账户开户银行出具的资信证明；成立时间至提交投标文件截止时间不足一年的可提供投标文件截止时间前三个月内其基本存款账户开户银行出具的资信证明或提供成立后任意时段的资产负债表；）5、提供投标截止日前一年内已缴纳的至少三个月的纳税证明或完税证明（任意税种），依法免税的单位应提供相关证明材料；6、提供投标截止日前一年内已缴存的至少三个月的社会保障资金缴存单据或社保机构开具的社会保险参保缴费情况证明，依法不需要缴纳社会保障资金的单位应提供相关证明材料；7、提供参加政府采购活动前三年内，在经营活动中没有重大违法记录书面声明； 8、提供具有履行合同所必需的设备和专业技术能力的承诺书；9、供应商在递交投标文件截止时间前被“信用中国”网站（www.creditchina.gov.cn）和中国政府采购网（www.ccgp.gov.cn）上未被列入失信被执行人、重大税收违法失信主体、政府采购严重违法失信行为记录名单。10、本项目不接受联合体投标。  </w:t>
      </w:r>
    </w:p>
    <w:p w14:paraId="59BA04E3">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b/>
          <w:bCs/>
          <w:sz w:val="24"/>
          <w:szCs w:val="24"/>
        </w:rPr>
      </w:pPr>
      <w:r>
        <w:rPr>
          <w:rFonts w:hint="eastAsia" w:ascii="楷体" w:hAnsi="楷体" w:eastAsia="楷体" w:cs="楷体"/>
          <w:b/>
          <w:bCs/>
          <w:sz w:val="24"/>
          <w:szCs w:val="24"/>
        </w:rPr>
        <w:t>三、获取采购文件</w:t>
      </w:r>
    </w:p>
    <w:p w14:paraId="74B0611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时间： 2026年07月21日 至 2026年07月27日 ，每天上午 09:00:00 至 12:00:00 ，下午 14:00:00 至 17:00:00 （北京时间）</w:t>
      </w:r>
    </w:p>
    <w:p w14:paraId="6E0FCD90">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途径：线下获取采购文件（地址：西安市雁塔区南二环西段154号易和蓝钻23楼西（高新路与二环十字东南角大香港酒楼东侧100米红色写字楼，楼西侧电梯直达））</w:t>
      </w:r>
    </w:p>
    <w:p w14:paraId="5BB328E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方式：现场获取</w:t>
      </w:r>
    </w:p>
    <w:p w14:paraId="017D58A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售价： 0元</w:t>
      </w:r>
    </w:p>
    <w:p w14:paraId="1C88A432">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b/>
          <w:bCs/>
          <w:sz w:val="24"/>
          <w:szCs w:val="24"/>
        </w:rPr>
      </w:pPr>
      <w:r>
        <w:rPr>
          <w:rFonts w:hint="eastAsia" w:ascii="楷体" w:hAnsi="楷体" w:eastAsia="楷体" w:cs="楷体"/>
          <w:b/>
          <w:bCs/>
          <w:sz w:val="24"/>
          <w:szCs w:val="24"/>
        </w:rPr>
        <w:t>四、响应文件提交</w:t>
      </w:r>
    </w:p>
    <w:p w14:paraId="2A107EA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截止时间： 2026年07月31日 14时00分00秒 （北京时间）</w:t>
      </w:r>
    </w:p>
    <w:p w14:paraId="51780156">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地点：安康市高新区花园大道公共卫生服务中心C座4楼会议室</w:t>
      </w:r>
    </w:p>
    <w:p w14:paraId="1437D5D0">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b/>
          <w:bCs/>
          <w:sz w:val="24"/>
          <w:szCs w:val="24"/>
        </w:rPr>
      </w:pPr>
      <w:r>
        <w:rPr>
          <w:rFonts w:hint="eastAsia" w:ascii="楷体" w:hAnsi="楷体" w:eastAsia="楷体" w:cs="楷体"/>
          <w:b/>
          <w:bCs/>
          <w:sz w:val="24"/>
          <w:szCs w:val="24"/>
        </w:rPr>
        <w:t>五、开启</w:t>
      </w:r>
    </w:p>
    <w:p w14:paraId="0DA1276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时间： 2026年07月31日 14时00分00秒 （北京时间）</w:t>
      </w:r>
    </w:p>
    <w:p w14:paraId="0EA1477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地点：安康市高新区花园大道公共卫生服务中心C座4楼会议室</w:t>
      </w:r>
    </w:p>
    <w:p w14:paraId="02D95853">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b/>
          <w:bCs/>
          <w:sz w:val="24"/>
          <w:szCs w:val="24"/>
        </w:rPr>
      </w:pPr>
      <w:r>
        <w:rPr>
          <w:rFonts w:hint="eastAsia" w:ascii="楷体" w:hAnsi="楷体" w:eastAsia="楷体" w:cs="楷体"/>
          <w:b/>
          <w:bCs/>
          <w:sz w:val="24"/>
          <w:szCs w:val="24"/>
        </w:rPr>
        <w:t>六、公告期限</w:t>
      </w:r>
    </w:p>
    <w:p w14:paraId="186832E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自本公告发布之日起3个工作日。</w:t>
      </w:r>
    </w:p>
    <w:p w14:paraId="2BFCAE58">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b/>
          <w:bCs/>
          <w:sz w:val="24"/>
          <w:szCs w:val="24"/>
        </w:rPr>
      </w:pPr>
      <w:r>
        <w:rPr>
          <w:rFonts w:hint="eastAsia" w:ascii="楷体" w:hAnsi="楷体" w:eastAsia="楷体" w:cs="楷体"/>
          <w:b/>
          <w:bCs/>
          <w:sz w:val="24"/>
          <w:szCs w:val="24"/>
        </w:rPr>
        <w:t>七、其他补充事宜</w:t>
      </w:r>
    </w:p>
    <w:p w14:paraId="06DCFFC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一、购买磋商文件时请携带单位介绍信、经办人身份证原件及复印件加盖公章；</w:t>
      </w:r>
    </w:p>
    <w:p w14:paraId="5DA2CDE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二、落实政府采购政策：（1）《关于进一步加大政府采购支持中小企业力度的通知》（财库〔2022〕19 号）、《政府采购促进中小企业发展管理办法》（财库〔2020〕46 号）、《关于政府采购支持监狱企业发展有关问题的通知》（财库〔2014〕68 号）、《关于促进残疾人就业政府采购政策的通知》（财库〔2017〕141 号）。（2）财政部、国家发展改革委《关于印发〈节能产品政府采购实施意见〉的通知》（财库〔2004〕185 号）、财政部、国家环保总局联合印发《关于环境标志产品政府采购实施的意见》（财库〔2006〕90 号）、国务院办公厅《关于建立政府强制采购节能产品制度的通知》（国办发〔2007〕51 号）、财政部、国家发改委、生态环境部、市场监督管理总局联合印发《关于调整优化节能产品、环境标志产品政府采购执行机制的通知》（财库〔2019〕9 号）、《关于印发环境标志产品政府采购品目清单的通知》（财库〔2019〕18 号）、《关于印发节能产品政府采购品目清单的通知》（财库〔2019〕19 号）。 （3）《财政部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号）。（4）《财政部 国家发改委 信息产业部 关于印发无线局域网产品政府采购实施意见的通知》（财库〔2005〕366 号）、《国家互联网信息办公室 工业和信息化部 公安部 财政部 国家认证认可监督管理委员会关于调整网络安全专用产品安全管理有关事项的公告》（2023 年第 1 号）。（5）《陕西省财政厅关于加快推进我省中小企业政府采购信用融资工作的通知》（陕财办采〔2020〕15 号）、陕西省财政厅关于印发《陕西省中小企业政府采购信用融资办法》（陕财办采〔2018〕23 号）。（6）其他需要落实的政府采购政策。</w:t>
      </w:r>
    </w:p>
    <w:p w14:paraId="0D74761E">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b/>
          <w:bCs/>
          <w:sz w:val="24"/>
          <w:szCs w:val="24"/>
        </w:rPr>
      </w:pPr>
      <w:r>
        <w:rPr>
          <w:rFonts w:hint="eastAsia" w:ascii="楷体" w:hAnsi="楷体" w:eastAsia="楷体" w:cs="楷体"/>
          <w:b/>
          <w:bCs/>
          <w:sz w:val="24"/>
          <w:szCs w:val="24"/>
        </w:rPr>
        <w:t>八、对本次招标提出询问，请按以下方式联系。</w:t>
      </w:r>
    </w:p>
    <w:p w14:paraId="24DBF809">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i w:val="0"/>
          <w:iCs w:val="0"/>
          <w:caps w:val="0"/>
          <w:color w:val="333333"/>
          <w:spacing w:val="0"/>
          <w:kern w:val="0"/>
          <w:sz w:val="24"/>
          <w:szCs w:val="24"/>
          <w:shd w:val="clear" w:fill="FFFFFF"/>
          <w:vertAlign w:val="baseline"/>
          <w:lang w:val="en-US" w:eastAsia="zh-CN" w:bidi="ar-SA"/>
        </w:rPr>
      </w:pPr>
      <w:r>
        <w:rPr>
          <w:rFonts w:hint="eastAsia" w:ascii="楷体" w:hAnsi="楷体" w:eastAsia="楷体" w:cs="楷体"/>
          <w:i w:val="0"/>
          <w:iCs w:val="0"/>
          <w:caps w:val="0"/>
          <w:color w:val="333333"/>
          <w:spacing w:val="0"/>
          <w:kern w:val="0"/>
          <w:sz w:val="24"/>
          <w:szCs w:val="24"/>
          <w:shd w:val="clear" w:fill="FFFFFF"/>
          <w:vertAlign w:val="baseline"/>
          <w:lang w:val="en-US" w:eastAsia="zh-CN" w:bidi="ar-SA"/>
        </w:rPr>
        <w:t>1.采购人信息</w:t>
      </w:r>
    </w:p>
    <w:p w14:paraId="20906404">
      <w:pPr>
        <w:keepNext w:val="0"/>
        <w:keepLines w:val="0"/>
        <w:pageBreakBefore w:val="0"/>
        <w:widowControl/>
        <w:kinsoku/>
        <w:wordWrap/>
        <w:overflowPunct/>
        <w:topLinePunct w:val="0"/>
        <w:autoSpaceDE/>
        <w:autoSpaceDN/>
        <w:bidi w:val="0"/>
        <w:adjustRightInd/>
        <w:snapToGrid/>
        <w:spacing w:line="240" w:lineRule="auto"/>
        <w:ind w:left="0" w:firstLine="504" w:firstLineChars="200"/>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名称：安康市疾病预防控制中心（市卫生监督所）</w:t>
      </w:r>
    </w:p>
    <w:p w14:paraId="3CE02CC2">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地址：花园大道市共卫中心</w:t>
      </w:r>
    </w:p>
    <w:p w14:paraId="098E9A5F">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联系方式：15929527360</w:t>
      </w:r>
    </w:p>
    <w:p w14:paraId="5F1F14B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left"/>
        <w:textAlignment w:val="baseline"/>
        <w:rPr>
          <w:rFonts w:hint="eastAsia" w:ascii="楷体" w:hAnsi="楷体" w:eastAsia="楷体" w:cs="楷体"/>
          <w:b w:val="0"/>
          <w:bCs w:val="0"/>
          <w:sz w:val="24"/>
          <w:szCs w:val="24"/>
        </w:rPr>
      </w:pPr>
      <w:r>
        <w:rPr>
          <w:rFonts w:hint="eastAsia" w:ascii="楷体" w:hAnsi="楷体" w:eastAsia="楷体" w:cs="楷体"/>
          <w:b w:val="0"/>
          <w:bCs w:val="0"/>
          <w:i w:val="0"/>
          <w:iCs w:val="0"/>
          <w:caps w:val="0"/>
          <w:color w:val="333333"/>
          <w:spacing w:val="0"/>
          <w:sz w:val="24"/>
          <w:szCs w:val="24"/>
          <w:shd w:val="clear" w:fill="FFFFFF"/>
          <w:vertAlign w:val="baseline"/>
        </w:rPr>
        <w:t>2.采购代理机构信息</w:t>
      </w:r>
    </w:p>
    <w:p w14:paraId="3CFBFFB8">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名称：陕西中海建招标有限责任公司</w:t>
      </w:r>
    </w:p>
    <w:p w14:paraId="2E3498EE">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地址：西安市雁塔区南二环西段154号易和蓝钻23楼西（高新路与二环十字东南角大香港酒楼东侧100米红色写字楼，楼西侧电梯直达）</w:t>
      </w:r>
    </w:p>
    <w:p w14:paraId="44E42B7D">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联系方式：029-88852536</w:t>
      </w:r>
    </w:p>
    <w:p w14:paraId="73283BE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left"/>
        <w:textAlignment w:val="baseline"/>
        <w:rPr>
          <w:rFonts w:hint="eastAsia" w:ascii="楷体" w:hAnsi="楷体" w:eastAsia="楷体" w:cs="楷体"/>
          <w:b w:val="0"/>
          <w:bCs w:val="0"/>
          <w:sz w:val="24"/>
          <w:szCs w:val="24"/>
        </w:rPr>
      </w:pPr>
      <w:r>
        <w:rPr>
          <w:rFonts w:hint="eastAsia" w:ascii="楷体" w:hAnsi="楷体" w:eastAsia="楷体" w:cs="楷体"/>
          <w:b w:val="0"/>
          <w:bCs w:val="0"/>
          <w:i w:val="0"/>
          <w:iCs w:val="0"/>
          <w:caps w:val="0"/>
          <w:color w:val="333333"/>
          <w:spacing w:val="0"/>
          <w:sz w:val="24"/>
          <w:szCs w:val="24"/>
          <w:shd w:val="clear" w:fill="FFFFFF"/>
          <w:vertAlign w:val="baseline"/>
        </w:rPr>
        <w:t>3.项目联系方式</w:t>
      </w:r>
    </w:p>
    <w:p w14:paraId="5BD55603">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项目联系人：董文剑、邓敏</w:t>
      </w:r>
    </w:p>
    <w:p w14:paraId="56B27E44">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i w:val="0"/>
          <w:iCs w:val="0"/>
          <w:caps w:val="0"/>
          <w:color w:val="333333"/>
          <w:spacing w:val="0"/>
          <w:sz w:val="24"/>
          <w:szCs w:val="24"/>
          <w:shd w:val="clear" w:fill="FFFFFF"/>
          <w:vertAlign w:val="baseline"/>
        </w:rPr>
        <w:t>电话：029-88852536转6009</w:t>
      </w:r>
    </w:p>
    <w:p w14:paraId="14C2B83B">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04" w:firstLineChars="200"/>
        <w:jc w:val="right"/>
        <w:textAlignment w:val="baseline"/>
        <w:rPr>
          <w:rFonts w:hint="eastAsia" w:ascii="楷体" w:hAnsi="楷体" w:eastAsia="楷体" w:cs="楷体"/>
          <w:i w:val="0"/>
          <w:iCs w:val="0"/>
          <w:caps w:val="0"/>
          <w:color w:val="333333"/>
          <w:spacing w:val="0"/>
          <w:sz w:val="24"/>
          <w:szCs w:val="24"/>
        </w:rPr>
      </w:pPr>
      <w:r>
        <w:rPr>
          <w:rFonts w:hint="eastAsia" w:ascii="楷体" w:hAnsi="楷体" w:eastAsia="楷体" w:cs="楷体"/>
          <w:i w:val="0"/>
          <w:iCs w:val="0"/>
          <w:caps w:val="0"/>
          <w:color w:val="333333"/>
          <w:spacing w:val="0"/>
          <w:sz w:val="24"/>
          <w:szCs w:val="24"/>
          <w:shd w:val="clear" w:fill="FFFFFF"/>
          <w:vertAlign w:val="baseline"/>
        </w:rPr>
        <w:t>陕西中海建招标有限责任公司</w:t>
      </w:r>
    </w:p>
    <w:p w14:paraId="36736B1C">
      <w:pPr>
        <w:pStyle w:val="2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04" w:firstLineChars="200"/>
        <w:jc w:val="center"/>
        <w:textAlignment w:val="baseline"/>
        <w:rPr>
          <w:rFonts w:hint="eastAsia" w:ascii="楷体" w:hAnsi="楷体" w:eastAsia="楷体" w:cs="楷体"/>
          <w:i w:val="0"/>
          <w:iCs w:val="0"/>
          <w:caps w:val="0"/>
          <w:color w:val="333333"/>
          <w:spacing w:val="0"/>
          <w:sz w:val="21"/>
          <w:szCs w:val="21"/>
        </w:rPr>
      </w:pPr>
      <w:r>
        <w:rPr>
          <w:rFonts w:hint="eastAsia" w:ascii="楷体" w:hAnsi="楷体" w:eastAsia="楷体" w:cs="楷体"/>
          <w:i w:val="0"/>
          <w:iCs w:val="0"/>
          <w:caps w:val="0"/>
          <w:color w:val="333333"/>
          <w:spacing w:val="0"/>
          <w:sz w:val="24"/>
          <w:szCs w:val="24"/>
          <w:shd w:val="clear" w:fill="FFFFFF"/>
          <w:vertAlign w:val="baseline"/>
          <w:lang w:val="en-US" w:eastAsia="zh-CN"/>
        </w:rPr>
        <w:t xml:space="preserve">                                            </w:t>
      </w:r>
      <w:r>
        <w:rPr>
          <w:rFonts w:hint="eastAsia" w:ascii="楷体" w:hAnsi="楷体" w:eastAsia="楷体" w:cs="楷体"/>
          <w:i w:val="0"/>
          <w:iCs w:val="0"/>
          <w:caps w:val="0"/>
          <w:color w:val="333333"/>
          <w:spacing w:val="0"/>
          <w:sz w:val="24"/>
          <w:szCs w:val="24"/>
          <w:shd w:val="clear" w:fill="FFFFFF"/>
          <w:vertAlign w:val="baseline"/>
        </w:rPr>
        <w:t>2</w:t>
      </w:r>
      <w:r>
        <w:rPr>
          <w:rFonts w:hint="eastAsia" w:ascii="楷体" w:hAnsi="楷体" w:eastAsia="楷体" w:cs="楷体"/>
          <w:i w:val="0"/>
          <w:iCs w:val="0"/>
          <w:caps w:val="0"/>
          <w:color w:val="333333"/>
          <w:spacing w:val="0"/>
          <w:sz w:val="21"/>
          <w:szCs w:val="21"/>
          <w:shd w:val="clear" w:fill="FFFFFF"/>
          <w:vertAlign w:val="baseline"/>
        </w:rPr>
        <w:t>026年07月20日</w:t>
      </w:r>
    </w:p>
    <w:p w14:paraId="48B52794">
      <w:pPr>
        <w:pStyle w:val="2"/>
        <w:pageBreakBefore/>
        <w:rPr>
          <w:rFonts w:hint="eastAsia" w:ascii="楷体" w:hAnsi="楷体" w:eastAsia="楷体" w:cs="楷体"/>
          <w:sz w:val="36"/>
          <w:szCs w:val="36"/>
          <w:highlight w:val="none"/>
        </w:rPr>
      </w:pPr>
      <w:r>
        <w:rPr>
          <w:rFonts w:hint="eastAsia" w:ascii="楷体" w:hAnsi="楷体" w:eastAsia="楷体" w:cs="楷体"/>
          <w:color w:val="auto"/>
          <w:sz w:val="36"/>
          <w:szCs w:val="36"/>
          <w:highlight w:val="none"/>
        </w:rPr>
        <w:t>第二章  供应商须知</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Start w:id="26" w:name="_Toc18466_WPSOffice_Level2"/>
      <w:bookmarkStart w:id="27" w:name="_Toc24451_WPSOffice_Level2"/>
      <w:bookmarkStart w:id="28" w:name="_Toc12337"/>
      <w:bookmarkStart w:id="29" w:name="_Toc3858_WPSOffice_Level2"/>
      <w:bookmarkStart w:id="30" w:name="_Toc16238"/>
    </w:p>
    <w:p w14:paraId="7D353DBF">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31" w:name="_Toc14870"/>
      <w:bookmarkStart w:id="32" w:name="_Toc17322"/>
      <w:r>
        <w:rPr>
          <w:rFonts w:hint="eastAsia" w:ascii="楷体" w:hAnsi="楷体" w:eastAsia="楷体" w:cs="楷体"/>
          <w:sz w:val="24"/>
          <w:szCs w:val="24"/>
          <w:highlight w:val="none"/>
        </w:rPr>
        <w:t>一、定义</w:t>
      </w:r>
      <w:bookmarkEnd w:id="26"/>
      <w:bookmarkEnd w:id="27"/>
      <w:bookmarkEnd w:id="28"/>
      <w:bookmarkEnd w:id="29"/>
      <w:bookmarkEnd w:id="30"/>
      <w:bookmarkEnd w:id="31"/>
      <w:bookmarkEnd w:id="32"/>
    </w:p>
    <w:p w14:paraId="611B0C55">
      <w:pPr>
        <w:pageBreakBefore w:val="0"/>
        <w:widowControl/>
        <w:kinsoku/>
        <w:overflowPunct/>
        <w:topLinePunct w:val="0"/>
        <w:autoSpaceDE/>
        <w:autoSpaceDN/>
        <w:bidi w:val="0"/>
        <w:adjustRightInd/>
        <w:snapToGrid/>
        <w:spacing w:line="440" w:lineRule="exact"/>
        <w:ind w:firstLine="504" w:firstLineChars="200"/>
        <w:textAlignment w:val="auto"/>
        <w:outlineLvl w:val="0"/>
        <w:rPr>
          <w:rFonts w:hint="eastAsia" w:ascii="楷体" w:hAnsi="楷体" w:eastAsia="楷体" w:cs="楷体"/>
          <w:sz w:val="24"/>
          <w:szCs w:val="24"/>
          <w:highlight w:val="none"/>
        </w:rPr>
      </w:pPr>
      <w:bookmarkStart w:id="33" w:name="_Toc11840_WPSOffice_Level3"/>
      <w:bookmarkStart w:id="34" w:name="_Toc86157941"/>
      <w:bookmarkStart w:id="35" w:name="_Toc12901"/>
      <w:bookmarkStart w:id="36" w:name="_Toc19576"/>
      <w:bookmarkStart w:id="37" w:name="_Toc10550"/>
      <w:bookmarkStart w:id="38" w:name="_Toc32013"/>
      <w:r>
        <w:rPr>
          <w:rFonts w:hint="eastAsia" w:ascii="楷体" w:hAnsi="楷体" w:eastAsia="楷体" w:cs="楷体"/>
          <w:sz w:val="24"/>
          <w:szCs w:val="24"/>
          <w:highlight w:val="none"/>
        </w:rPr>
        <w:t>（一）采 购 人：</w:t>
      </w:r>
      <w:bookmarkEnd w:id="33"/>
      <w:bookmarkEnd w:id="34"/>
      <w:bookmarkEnd w:id="35"/>
      <w:bookmarkEnd w:id="36"/>
      <w:bookmarkEnd w:id="37"/>
      <w:bookmarkEnd w:id="38"/>
      <w:bookmarkStart w:id="39" w:name="_Toc9917_WPSOffice_Level3"/>
      <w:r>
        <w:rPr>
          <w:rFonts w:hint="eastAsia" w:ascii="楷体" w:hAnsi="楷体" w:eastAsia="楷体" w:cs="楷体"/>
          <w:sz w:val="24"/>
          <w:szCs w:val="24"/>
          <w:highlight w:val="none"/>
        </w:rPr>
        <w:t>安康市疾病预防控制中心（市卫生监督所）</w:t>
      </w:r>
    </w:p>
    <w:bookmarkEnd w:id="39"/>
    <w:p w14:paraId="525F0963">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lang w:eastAsia="zh-CN"/>
        </w:rPr>
      </w:pPr>
      <w:bookmarkStart w:id="40" w:name="_Toc8219_WPSOffice_Level3"/>
      <w:r>
        <w:rPr>
          <w:rFonts w:hint="eastAsia" w:ascii="楷体" w:hAnsi="楷体" w:eastAsia="楷体" w:cs="楷体"/>
          <w:sz w:val="24"/>
          <w:szCs w:val="24"/>
          <w:highlight w:val="none"/>
        </w:rPr>
        <w:t>（二）采购代理机构：</w:t>
      </w:r>
      <w:bookmarkEnd w:id="40"/>
      <w:r>
        <w:rPr>
          <w:rFonts w:hint="eastAsia" w:ascii="楷体" w:hAnsi="楷体" w:eastAsia="楷体" w:cs="楷体"/>
          <w:sz w:val="24"/>
          <w:szCs w:val="24"/>
          <w:highlight w:val="none"/>
          <w:lang w:eastAsia="zh-CN"/>
        </w:rPr>
        <w:t>陕西中海建招标有限责任公司</w:t>
      </w:r>
    </w:p>
    <w:p w14:paraId="4F0309BB">
      <w:pPr>
        <w:pageBreakBefore w:val="0"/>
        <w:widowControl/>
        <w:kinsoku/>
        <w:overflowPunct/>
        <w:topLinePunct w:val="0"/>
        <w:autoSpaceDE/>
        <w:autoSpaceDN/>
        <w:bidi w:val="0"/>
        <w:adjustRightInd/>
        <w:snapToGrid/>
        <w:spacing w:line="440" w:lineRule="exact"/>
        <w:ind w:firstLine="480" w:firstLineChars="200"/>
        <w:textAlignment w:val="auto"/>
        <w:rPr>
          <w:rFonts w:hint="eastAsia" w:ascii="楷体" w:hAnsi="楷体" w:eastAsia="楷体" w:cs="楷体"/>
          <w:sz w:val="24"/>
          <w:szCs w:val="24"/>
          <w:highlight w:val="none"/>
        </w:rPr>
      </w:pPr>
      <w:bookmarkStart w:id="41" w:name="_Toc20141_WPSOffice_Level3"/>
      <w:r>
        <w:rPr>
          <w:rFonts w:hint="eastAsia" w:ascii="楷体" w:hAnsi="楷体" w:eastAsia="楷体" w:cs="楷体"/>
          <w:spacing w:val="-6"/>
          <w:sz w:val="24"/>
          <w:szCs w:val="24"/>
          <w:highlight w:val="none"/>
        </w:rPr>
        <w:t>（三）供</w:t>
      </w:r>
      <w:r>
        <w:rPr>
          <w:rFonts w:hint="eastAsia" w:ascii="楷体" w:hAnsi="楷体" w:eastAsia="楷体" w:cs="楷体"/>
          <w:sz w:val="24"/>
          <w:szCs w:val="24"/>
          <w:highlight w:val="none"/>
        </w:rPr>
        <w:t>应商：拟向采购人提供货物、工程或者服务的法人、其他组织或者自然人</w:t>
      </w:r>
      <w:bookmarkEnd w:id="41"/>
      <w:r>
        <w:rPr>
          <w:rFonts w:hint="eastAsia" w:ascii="楷体" w:hAnsi="楷体" w:eastAsia="楷体" w:cs="楷体"/>
          <w:sz w:val="24"/>
          <w:szCs w:val="24"/>
          <w:highlight w:val="none"/>
        </w:rPr>
        <w:t>。</w:t>
      </w:r>
    </w:p>
    <w:p w14:paraId="55764BBA">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42" w:name="_Toc32626"/>
      <w:bookmarkStart w:id="43" w:name="_Toc9291"/>
      <w:bookmarkStart w:id="44" w:name="_Toc24432"/>
      <w:bookmarkStart w:id="45" w:name="_Toc4606"/>
      <w:bookmarkStart w:id="46" w:name="_Toc20906_WPSOffice_Level2"/>
      <w:bookmarkStart w:id="47" w:name="_Toc27278_WPSOffice_Level2"/>
      <w:bookmarkStart w:id="48" w:name="_Toc11745_WPSOffice_Level2"/>
      <w:r>
        <w:rPr>
          <w:rFonts w:hint="eastAsia" w:ascii="楷体" w:hAnsi="楷体" w:eastAsia="楷体" w:cs="楷体"/>
          <w:sz w:val="24"/>
          <w:szCs w:val="24"/>
          <w:highlight w:val="none"/>
        </w:rPr>
        <w:t>二、供应商注意事项</w:t>
      </w:r>
      <w:bookmarkEnd w:id="42"/>
      <w:bookmarkEnd w:id="43"/>
      <w:bookmarkEnd w:id="44"/>
      <w:bookmarkEnd w:id="45"/>
      <w:bookmarkEnd w:id="46"/>
      <w:bookmarkEnd w:id="47"/>
      <w:bookmarkEnd w:id="48"/>
    </w:p>
    <w:p w14:paraId="43C37A4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rPr>
      </w:pPr>
      <w:bookmarkStart w:id="49" w:name="_Toc26982_WPSOffice_Level3"/>
      <w:bookmarkStart w:id="50" w:name="_Toc21291"/>
      <w:r>
        <w:rPr>
          <w:rFonts w:hint="eastAsia" w:ascii="楷体" w:hAnsi="楷体" w:eastAsia="楷体" w:cs="楷体"/>
          <w:b/>
          <w:bCs/>
          <w:sz w:val="24"/>
          <w:szCs w:val="24"/>
          <w:highlight w:val="none"/>
        </w:rPr>
        <w:t>（一）询问</w:t>
      </w:r>
      <w:bookmarkEnd w:id="49"/>
      <w:bookmarkEnd w:id="50"/>
    </w:p>
    <w:p w14:paraId="1E53D2AE">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供应商针对采购文件（包括采购需求、供应商资格条件、商务条款等）依法提出书面询问的，采购人应在三个工作日内书面答复；供应商向采购代理机构提出书面询问的，采购代理机构应告知采购人并协助采购人做出答复。</w:t>
      </w:r>
    </w:p>
    <w:p w14:paraId="639452B7">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供应商对采购过程、中标（成交）结果，向采购代理机构提出书面询问的，采购代理机构应在三个工作日内书面答复。</w:t>
      </w:r>
    </w:p>
    <w:p w14:paraId="0EAC915D">
      <w:pPr>
        <w:pStyle w:val="4"/>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bookmarkStart w:id="51" w:name="_Toc669_WPSOffice_Level3"/>
      <w:r>
        <w:rPr>
          <w:rFonts w:hint="eastAsia" w:ascii="楷体" w:hAnsi="楷体" w:eastAsia="楷体" w:cs="楷体"/>
          <w:b/>
          <w:sz w:val="24"/>
          <w:szCs w:val="24"/>
          <w:highlight w:val="none"/>
        </w:rPr>
        <w:t>（二）现场踏勘及标前答疑会</w:t>
      </w:r>
      <w:bookmarkEnd w:id="51"/>
      <w:bookmarkStart w:id="52" w:name="_Toc9412_WPSOffice_Level3"/>
      <w:r>
        <w:rPr>
          <w:rFonts w:hint="eastAsia" w:ascii="楷体" w:hAnsi="楷体" w:eastAsia="楷体" w:cs="楷体"/>
          <w:b/>
          <w:sz w:val="24"/>
          <w:szCs w:val="24"/>
          <w:highlight w:val="none"/>
        </w:rPr>
        <w:t>：本项目不组织集中踏勘和标前答疑。</w:t>
      </w:r>
    </w:p>
    <w:p w14:paraId="77B7EE3B">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（三）质疑和投诉</w:t>
      </w:r>
      <w:bookmarkEnd w:id="52"/>
    </w:p>
    <w:p w14:paraId="30014C81">
      <w:pPr>
        <w:keepNext w:val="0"/>
        <w:keepLines w:val="0"/>
        <w:pageBreakBefore w:val="0"/>
        <w:widowControl/>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供应商如果认为采购文件（包括采购需求、供应商资格条件、商务条款等）使自身的合法权益受到损害，可以在获取采购文件之日起7个工作日内，以书面形式向采购人提出质疑；供应商如果认为采购过程或成交结果使自身的合法权益受到损害，可以在知道或者应知其权益受到损害之日起7个工作日内，以书面形式向采购代理机构提出质疑。</w:t>
      </w:r>
    </w:p>
    <w:p w14:paraId="3B7C7033">
      <w:pPr>
        <w:pStyle w:val="12"/>
        <w:keepNext w:val="0"/>
        <w:keepLines w:val="0"/>
        <w:pageBreakBefore w:val="0"/>
        <w:widowControl/>
        <w:kinsoku/>
        <w:wordWrap/>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b w:val="0"/>
          <w:bCs w:val="0"/>
          <w:sz w:val="24"/>
          <w:szCs w:val="24"/>
          <w:highlight w:val="none"/>
          <w:lang w:eastAsia="zh-CN"/>
        </w:rPr>
      </w:pPr>
      <w:r>
        <w:rPr>
          <w:rFonts w:hint="eastAsia" w:ascii="楷体" w:hAnsi="楷体" w:eastAsia="楷体" w:cs="楷体"/>
          <w:b w:val="0"/>
          <w:bCs w:val="0"/>
          <w:sz w:val="24"/>
          <w:szCs w:val="24"/>
          <w:highlight w:val="none"/>
          <w:lang w:eastAsia="zh-CN"/>
        </w:rPr>
        <w:t>质疑接收地址及方式：</w:t>
      </w:r>
    </w:p>
    <w:p w14:paraId="4522DD8D">
      <w:pPr>
        <w:pStyle w:val="12"/>
        <w:keepNext w:val="0"/>
        <w:keepLines w:val="0"/>
        <w:pageBreakBefore w:val="0"/>
        <w:widowControl/>
        <w:kinsoku/>
        <w:wordWrap/>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b w:val="0"/>
          <w:bCs w:val="0"/>
          <w:sz w:val="24"/>
          <w:szCs w:val="24"/>
          <w:highlight w:val="none"/>
        </w:rPr>
      </w:pPr>
      <w:r>
        <w:rPr>
          <w:rFonts w:hint="eastAsia" w:ascii="楷体" w:hAnsi="楷体" w:eastAsia="楷体" w:cs="楷体"/>
          <w:b w:val="0"/>
          <w:bCs w:val="0"/>
          <w:sz w:val="24"/>
          <w:szCs w:val="24"/>
          <w:highlight w:val="none"/>
          <w:lang w:eastAsia="zh-CN"/>
        </w:rPr>
        <w:t>地址：</w:t>
      </w:r>
      <w:r>
        <w:rPr>
          <w:rFonts w:hint="eastAsia" w:ascii="楷体" w:hAnsi="楷体" w:eastAsia="楷体" w:cs="楷体"/>
          <w:b w:val="0"/>
          <w:bCs w:val="0"/>
          <w:sz w:val="24"/>
          <w:szCs w:val="24"/>
          <w:highlight w:val="none"/>
        </w:rPr>
        <w:t>西安市雁塔区南二环西段154号易和蓝钻23楼西</w:t>
      </w:r>
    </w:p>
    <w:p w14:paraId="569B89DB">
      <w:pPr>
        <w:pStyle w:val="12"/>
        <w:keepNext w:val="0"/>
        <w:keepLines w:val="0"/>
        <w:pageBreakBefore w:val="0"/>
        <w:widowControl/>
        <w:kinsoku/>
        <w:wordWrap/>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b w:val="0"/>
          <w:bCs w:val="0"/>
          <w:sz w:val="24"/>
          <w:szCs w:val="24"/>
          <w:highlight w:val="none"/>
          <w:lang w:eastAsia="zh-CN"/>
        </w:rPr>
      </w:pPr>
      <w:r>
        <w:rPr>
          <w:rFonts w:hint="eastAsia" w:ascii="楷体" w:hAnsi="楷体" w:eastAsia="楷体" w:cs="楷体"/>
          <w:b w:val="0"/>
          <w:bCs w:val="0"/>
          <w:sz w:val="24"/>
          <w:szCs w:val="24"/>
          <w:highlight w:val="none"/>
          <w:lang w:eastAsia="zh-CN"/>
        </w:rPr>
        <w:t>联系人：董文剑</w:t>
      </w:r>
    </w:p>
    <w:p w14:paraId="49F1090A">
      <w:pPr>
        <w:pStyle w:val="12"/>
        <w:keepNext w:val="0"/>
        <w:keepLines w:val="0"/>
        <w:pageBreakBefore w:val="0"/>
        <w:widowControl/>
        <w:kinsoku/>
        <w:wordWrap/>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b w:val="0"/>
          <w:bCs w:val="0"/>
          <w:sz w:val="24"/>
          <w:szCs w:val="24"/>
          <w:highlight w:val="none"/>
          <w:lang w:val="en-US" w:eastAsia="zh-CN"/>
        </w:rPr>
      </w:pPr>
      <w:r>
        <w:rPr>
          <w:rFonts w:hint="eastAsia" w:ascii="楷体" w:hAnsi="楷体" w:eastAsia="楷体" w:cs="楷体"/>
          <w:b w:val="0"/>
          <w:bCs w:val="0"/>
          <w:sz w:val="24"/>
          <w:szCs w:val="24"/>
          <w:highlight w:val="none"/>
          <w:lang w:eastAsia="zh-CN"/>
        </w:rPr>
        <w:t>电话：</w:t>
      </w:r>
      <w:r>
        <w:rPr>
          <w:rFonts w:hint="eastAsia" w:ascii="楷体" w:hAnsi="楷体" w:eastAsia="楷体" w:cs="楷体"/>
          <w:b w:val="0"/>
          <w:bCs w:val="0"/>
          <w:sz w:val="24"/>
          <w:szCs w:val="24"/>
          <w:highlight w:val="none"/>
          <w:lang w:val="en-US" w:eastAsia="zh-CN"/>
        </w:rPr>
        <w:t>029-88852536-6008</w:t>
      </w:r>
    </w:p>
    <w:p w14:paraId="3CAAC286">
      <w:pPr>
        <w:pStyle w:val="12"/>
        <w:keepNext w:val="0"/>
        <w:keepLines w:val="0"/>
        <w:pageBreakBefore w:val="0"/>
        <w:widowControl/>
        <w:kinsoku/>
        <w:wordWrap/>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供应商提出质疑应当提交质疑函和必要的证明材料，并按财政部《质疑函范本》给定的格式进行填写，范本下载详见【财政部国库司（gks.mof.gov.cn）】网站〖首页•〉政府采购管理〗栏目中的《政府采购供应商质疑函范本》。</w:t>
      </w:r>
    </w:p>
    <w:p w14:paraId="41B3E231">
      <w:pPr>
        <w:keepNext w:val="0"/>
        <w:keepLines w:val="0"/>
        <w:pageBreakBefore w:val="0"/>
        <w:widowControl/>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《政府采购供应商质疑函范本》链接地址：</w:t>
      </w:r>
    </w:p>
    <w:p w14:paraId="6D088C75">
      <w:pPr>
        <w:keepNext w:val="0"/>
        <w:keepLines w:val="0"/>
        <w:pageBreakBefore w:val="0"/>
        <w:widowControl/>
        <w:kinsoku/>
        <w:wordWrap/>
        <w:overflowPunct/>
        <w:topLinePunct w:val="0"/>
        <w:autoSpaceDE/>
        <w:autoSpaceDN/>
        <w:bidi w:val="0"/>
        <w:adjustRightInd/>
        <w:snapToGrid/>
        <w:spacing w:line="440" w:lineRule="exact"/>
        <w:ind w:firstLine="480" w:firstLineChars="200"/>
        <w:contextualSpacing/>
        <w:textAlignment w:val="auto"/>
        <w:rPr>
          <w:rFonts w:hint="eastAsia" w:ascii="楷体" w:hAnsi="楷体" w:eastAsia="楷体" w:cs="楷体"/>
          <w:spacing w:val="-6"/>
          <w:sz w:val="24"/>
          <w:szCs w:val="24"/>
          <w:highlight w:val="none"/>
        </w:rPr>
      </w:pPr>
      <w:r>
        <w:rPr>
          <w:rFonts w:hint="eastAsia" w:ascii="楷体" w:hAnsi="楷体" w:eastAsia="楷体" w:cs="楷体"/>
          <w:spacing w:val="-6"/>
          <w:sz w:val="24"/>
          <w:szCs w:val="24"/>
          <w:highlight w:val="none"/>
        </w:rPr>
        <w:t>http://gks.mof.gov.cn/zhengfucaigouguanli/201802/t20180201_2804589.html</w:t>
      </w:r>
    </w:p>
    <w:p w14:paraId="4F0D4206">
      <w:pPr>
        <w:keepNext w:val="0"/>
        <w:keepLines w:val="0"/>
        <w:pageBreakBefore w:val="0"/>
        <w:widowControl/>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4325351A">
      <w:pPr>
        <w:keepNext w:val="0"/>
        <w:keepLines w:val="0"/>
        <w:pageBreakBefore w:val="0"/>
        <w:widowControl/>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3、在法定质疑期内，针对同一采购程序环节的质疑应当一次性提出。采购代理机构或采购人将在收到书面质疑后7个工作日内做出答复，并以书面形式通知质疑人和其他有关供应商。</w:t>
      </w:r>
    </w:p>
    <w:p w14:paraId="02C59531">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4、有下列情形之一的，属于无效质疑，采购代理机构和采购人不予受理：</w:t>
      </w:r>
    </w:p>
    <w:p w14:paraId="4B26CA6D">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（1）质疑人不是参与本次政府采购项目的供应商或潜在供应商；</w:t>
      </w:r>
    </w:p>
    <w:p w14:paraId="50EA7838">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（2）质疑人与质疑事项不存在利害关系的；</w:t>
      </w:r>
    </w:p>
    <w:p w14:paraId="2F6E19C8">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（3）未在法定期限内提出质疑的；</w:t>
      </w:r>
    </w:p>
    <w:p w14:paraId="2FE3A15F">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（4）质疑未以书面形式提出，或质疑函主要内容构成不完整的，或缺乏必要的证明材料及证明材料不完整的；</w:t>
      </w:r>
    </w:p>
    <w:p w14:paraId="424E9436">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（5）质疑函没有合法有效的签字、盖章或授权的；</w:t>
      </w:r>
    </w:p>
    <w:p w14:paraId="0318435C">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（6）以非法手段取得证据、材料的；</w:t>
      </w:r>
    </w:p>
    <w:p w14:paraId="166B63F4">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（7）质疑答复后，同一质疑人就同一事项再次提出质疑的；</w:t>
      </w:r>
    </w:p>
    <w:p w14:paraId="4BAE915C">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（8）不符合法律、法规、规章和政府采购监管机构规定的其他条件的。</w:t>
      </w:r>
    </w:p>
    <w:p w14:paraId="5E258277">
      <w:pPr>
        <w:pageBreakBefore w:val="0"/>
        <w:widowControl/>
        <w:kinsoku/>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5、质疑人对采购代理机构或采购人的答复不满意，以及采购代理机构或采购人未在规定时间内做出答复的，可以在答复期满后15个工作日内向政府采购监管机构提出投诉。</w:t>
      </w:r>
    </w:p>
    <w:p w14:paraId="6AEDBAE4">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6、供应商投诉的事项不得超出已质疑事项的范围。</w:t>
      </w:r>
    </w:p>
    <w:p w14:paraId="3D7F53B8">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bookmarkStart w:id="53" w:name="_Toc14110_WPSOffice_Level3"/>
      <w:r>
        <w:rPr>
          <w:rFonts w:hint="eastAsia" w:ascii="楷体" w:hAnsi="楷体" w:eastAsia="楷体" w:cs="楷体"/>
          <w:b/>
          <w:sz w:val="24"/>
          <w:szCs w:val="24"/>
          <w:highlight w:val="none"/>
        </w:rPr>
        <w:t>（四）关于信用记录的查询和使用</w:t>
      </w:r>
    </w:p>
    <w:p w14:paraId="2BAFA0F0">
      <w:pPr>
        <w:pageBreakBefore w:val="0"/>
        <w:widowControl/>
        <w:kinsoku/>
        <w:wordWrap w:val="0"/>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w:t>
      </w:r>
      <w:r>
        <w:rPr>
          <w:rFonts w:hint="eastAsia" w:ascii="楷体" w:hAnsi="楷体" w:eastAsia="楷体" w:cs="楷体"/>
          <w:sz w:val="24"/>
          <w:szCs w:val="24"/>
          <w:highlight w:val="none"/>
          <w:lang w:eastAsia="zh-CN"/>
        </w:rPr>
        <w:t>资格审查小组</w:t>
      </w:r>
      <w:r>
        <w:rPr>
          <w:rFonts w:hint="eastAsia" w:ascii="楷体" w:hAnsi="楷体" w:eastAsia="楷体" w:cs="楷体"/>
          <w:sz w:val="24"/>
          <w:szCs w:val="24"/>
          <w:highlight w:val="none"/>
        </w:rPr>
        <w:t>将在资格审查阶段通过【</w:t>
      </w:r>
      <w:r>
        <w:rPr>
          <w:rFonts w:hint="eastAsia" w:ascii="楷体" w:hAnsi="楷体" w:eastAsia="楷体" w:cs="楷体"/>
          <w:sz w:val="24"/>
          <w:szCs w:val="24"/>
          <w:highlight w:val="none"/>
        </w:rPr>
        <w:fldChar w:fldCharType="begin"/>
      </w:r>
      <w:r>
        <w:rPr>
          <w:rFonts w:hint="eastAsia" w:ascii="楷体" w:hAnsi="楷体" w:eastAsia="楷体" w:cs="楷体"/>
          <w:sz w:val="24"/>
          <w:szCs w:val="24"/>
          <w:highlight w:val="none"/>
        </w:rPr>
        <w:instrText xml:space="preserve"> HYPERLINK "http://www.creditchina.gov.cn" </w:instrText>
      </w:r>
      <w:r>
        <w:rPr>
          <w:rFonts w:hint="eastAsia" w:ascii="楷体" w:hAnsi="楷体" w:eastAsia="楷体" w:cs="楷体"/>
          <w:sz w:val="24"/>
          <w:szCs w:val="24"/>
          <w:highlight w:val="none"/>
        </w:rPr>
        <w:fldChar w:fldCharType="separate"/>
      </w:r>
      <w:r>
        <w:rPr>
          <w:rStyle w:val="39"/>
          <w:rFonts w:hint="eastAsia" w:ascii="楷体" w:hAnsi="楷体" w:eastAsia="楷体" w:cs="楷体"/>
          <w:color w:val="auto"/>
          <w:sz w:val="24"/>
          <w:szCs w:val="24"/>
          <w:highlight w:val="none"/>
        </w:rPr>
        <w:t>信用中国</w:t>
      </w:r>
      <w:r>
        <w:rPr>
          <w:rStyle w:val="39"/>
          <w:rFonts w:hint="eastAsia" w:ascii="楷体" w:hAnsi="楷体" w:eastAsia="楷体" w:cs="楷体"/>
          <w:color w:val="auto"/>
          <w:sz w:val="24"/>
          <w:szCs w:val="24"/>
          <w:highlight w:val="none"/>
        </w:rPr>
        <w:fldChar w:fldCharType="end"/>
      </w:r>
      <w:r>
        <w:rPr>
          <w:rFonts w:hint="eastAsia" w:ascii="楷体" w:hAnsi="楷体" w:eastAsia="楷体" w:cs="楷体"/>
          <w:sz w:val="24"/>
          <w:szCs w:val="24"/>
          <w:highlight w:val="none"/>
        </w:rPr>
        <w:t>（www.creditchina.gov.cn）】、【</w:t>
      </w:r>
      <w:r>
        <w:rPr>
          <w:rFonts w:hint="eastAsia" w:ascii="楷体" w:hAnsi="楷体" w:eastAsia="楷体" w:cs="楷体"/>
          <w:sz w:val="24"/>
          <w:szCs w:val="24"/>
          <w:highlight w:val="none"/>
        </w:rPr>
        <w:fldChar w:fldCharType="begin"/>
      </w:r>
      <w:r>
        <w:rPr>
          <w:rFonts w:hint="eastAsia" w:ascii="楷体" w:hAnsi="楷体" w:eastAsia="楷体" w:cs="楷体"/>
          <w:sz w:val="24"/>
          <w:szCs w:val="24"/>
          <w:highlight w:val="none"/>
        </w:rPr>
        <w:instrText xml:space="preserve"> HYPERLINK "http://www.ccgp.gov.cn/cr/list" </w:instrText>
      </w:r>
      <w:r>
        <w:rPr>
          <w:rFonts w:hint="eastAsia" w:ascii="楷体" w:hAnsi="楷体" w:eastAsia="楷体" w:cs="楷体"/>
          <w:sz w:val="24"/>
          <w:szCs w:val="24"/>
          <w:highlight w:val="none"/>
        </w:rPr>
        <w:fldChar w:fldCharType="separate"/>
      </w:r>
      <w:r>
        <w:rPr>
          <w:rStyle w:val="39"/>
          <w:rFonts w:hint="eastAsia" w:ascii="楷体" w:hAnsi="楷体" w:eastAsia="楷体" w:cs="楷体"/>
          <w:color w:val="auto"/>
          <w:sz w:val="24"/>
          <w:szCs w:val="24"/>
          <w:highlight w:val="none"/>
        </w:rPr>
        <w:t>中国政府采购网</w:t>
      </w:r>
      <w:r>
        <w:rPr>
          <w:rStyle w:val="39"/>
          <w:rFonts w:hint="eastAsia" w:ascii="楷体" w:hAnsi="楷体" w:eastAsia="楷体" w:cs="楷体"/>
          <w:color w:val="auto"/>
          <w:sz w:val="24"/>
          <w:szCs w:val="24"/>
          <w:highlight w:val="none"/>
        </w:rPr>
        <w:fldChar w:fldCharType="end"/>
      </w:r>
      <w:r>
        <w:rPr>
          <w:rFonts w:hint="eastAsia" w:ascii="楷体" w:hAnsi="楷体" w:eastAsia="楷体" w:cs="楷体"/>
          <w:sz w:val="24"/>
          <w:szCs w:val="24"/>
          <w:highlight w:val="none"/>
        </w:rPr>
        <w:t>（www.ccgp.gov.cn）】网站</w:t>
      </w:r>
      <w:r>
        <w:rPr>
          <w:rFonts w:hint="eastAsia" w:ascii="楷体" w:hAnsi="楷体" w:eastAsia="楷体" w:cs="楷体"/>
          <w:sz w:val="24"/>
          <w:szCs w:val="24"/>
          <w:highlight w:val="none"/>
          <w:lang w:val="en-US" w:eastAsia="zh-CN"/>
        </w:rPr>
        <w:t>查询</w:t>
      </w:r>
      <w:r>
        <w:rPr>
          <w:rFonts w:hint="eastAsia" w:ascii="楷体" w:hAnsi="楷体" w:eastAsia="楷体" w:cs="楷体"/>
          <w:sz w:val="24"/>
          <w:szCs w:val="24"/>
          <w:highlight w:val="none"/>
        </w:rPr>
        <w:t>。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号）的第二条第（三）款规定，其磋商或成交资格将被取消。</w:t>
      </w:r>
    </w:p>
    <w:p w14:paraId="175130A9">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2、供应商在参加政府采购活动前3年内因违法经营被禁止在一定期限内参加政府采购活动，期限届满的，可以参加政府采购活动的，但供应商应提供相关证明材料。</w:t>
      </w:r>
    </w:p>
    <w:p w14:paraId="33A88EF8">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3</w:t>
      </w:r>
      <w:r>
        <w:rPr>
          <w:rFonts w:hint="eastAsia" w:ascii="楷体" w:hAnsi="楷体" w:eastAsia="楷体" w:cs="楷体"/>
          <w:sz w:val="24"/>
          <w:szCs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4691428">
      <w:pPr>
        <w:spacing w:before="162" w:line="222" w:lineRule="auto"/>
        <w:jc w:val="both"/>
        <w:rPr>
          <w:rFonts w:hint="eastAsia" w:ascii="楷体" w:hAnsi="楷体" w:eastAsia="楷体" w:cs="楷体"/>
          <w:b/>
          <w:sz w:val="24"/>
          <w:szCs w:val="24"/>
          <w:highlight w:val="none"/>
          <w:lang w:eastAsia="zh-CN"/>
        </w:rPr>
      </w:pPr>
      <w:r>
        <w:rPr>
          <w:rFonts w:hint="eastAsia" w:ascii="楷体" w:hAnsi="楷体" w:eastAsia="楷体" w:cs="楷体"/>
          <w:b/>
          <w:sz w:val="24"/>
          <w:szCs w:val="24"/>
          <w:highlight w:val="none"/>
          <w:lang w:eastAsia="zh-CN"/>
        </w:rPr>
        <w:t>（五）落实的政府采购政策</w:t>
      </w:r>
      <w:bookmarkEnd w:id="53"/>
      <w:r>
        <w:rPr>
          <w:rFonts w:hint="eastAsia" w:ascii="楷体" w:hAnsi="楷体" w:eastAsia="楷体" w:cs="楷体"/>
          <w:b/>
          <w:sz w:val="24"/>
          <w:szCs w:val="24"/>
          <w:highlight w:val="none"/>
          <w:lang w:eastAsia="zh-CN"/>
        </w:rPr>
        <w:t>（本项目所属行业：软件和信息技术服务业）</w:t>
      </w:r>
    </w:p>
    <w:p w14:paraId="6F6D0412">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val="0"/>
          <w:sz w:val="24"/>
          <w:szCs w:val="24"/>
          <w:highlight w:val="none"/>
        </w:rPr>
      </w:pPr>
      <w:r>
        <w:rPr>
          <w:rFonts w:hint="eastAsia" w:ascii="楷体" w:hAnsi="楷体" w:eastAsia="楷体" w:cs="楷体"/>
          <w:b/>
          <w:bCs w:val="0"/>
          <w:sz w:val="24"/>
          <w:szCs w:val="24"/>
          <w:highlight w:val="none"/>
          <w:lang w:val="en-US" w:eastAsia="zh-CN"/>
        </w:rPr>
        <w:t>本项目不专门面向中小企业采购；</w:t>
      </w:r>
    </w:p>
    <w:p w14:paraId="059C4F0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1、（1）根据《政府采购促进中小企业发展管理办法》（财库〔2020〕46号）的办法，对于非专门面向中小企业的项目，对小型、微型企业产品的价格给予10%的扣除，用扣除后的价格参与评审。</w:t>
      </w:r>
    </w:p>
    <w:p w14:paraId="67DE459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（2）联合体共同参加非专门面向中小企业的政府采购活动，联合协议中约定，小型和微型企业的协议合同金额占到联合体协议合同金额的30%以上的，可给予联合体4%的价格扣除，用扣除后的价格参与评审。</w:t>
      </w:r>
    </w:p>
    <w:p w14:paraId="23D48B1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3）参加本项目的小微企业须提供《中小企业声明函》（式样见投标文件格式），未提供的不视为小微企业。本项目提供的货物不包括使用大型企业注册商标的货物，小型、微型企业提供中型企业制造的货物的，视同为中型企业。投标人须做出承诺，保证真实性，如有虚假，将依法承担相应责任。</w:t>
      </w:r>
    </w:p>
    <w:p w14:paraId="4DDDA14E">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4）小微企业按《政府采购促进中小企业发展管理办法》（财库〔2020〕46号）和《工业和信息化部、国家统计局、国家发展和改革委员会、财政部关于印发&lt;中小企业划型标准规定&gt;的通知》（工信部联企业【2011】300号）文件规定标准确认。</w:t>
      </w:r>
    </w:p>
    <w:p w14:paraId="788D130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（5）供应商对其是否属于小型、微型企业真实性负责。</w:t>
      </w:r>
    </w:p>
    <w:p w14:paraId="7C5145A4">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2、</w:t>
      </w:r>
      <w:r>
        <w:rPr>
          <w:rFonts w:hint="eastAsia" w:ascii="楷体" w:hAnsi="楷体" w:eastAsia="楷体" w:cs="楷体"/>
          <w:bCs/>
          <w:sz w:val="24"/>
          <w:szCs w:val="24"/>
          <w:highlight w:val="none"/>
        </w:rPr>
        <w:t>监狱企业应符合《财政部司法部关于政府采购支持监狱企业发展有关问题的通知》(财库〔2014〕68 号) 文件规定，并提供由省级以上监 狱管理局、戒毒管理局(含新疆生产建设兵团)出具的属于监狱企业的证明文件复印件，监狱和戒毒企业视同小型、微型企业。</w:t>
      </w:r>
    </w:p>
    <w:p w14:paraId="705FABE3">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3</w:t>
      </w:r>
      <w:r>
        <w:rPr>
          <w:rFonts w:hint="eastAsia" w:ascii="楷体" w:hAnsi="楷体" w:eastAsia="楷体" w:cs="楷体"/>
          <w:bCs/>
          <w:sz w:val="24"/>
          <w:szCs w:val="24"/>
          <w:highlight w:val="none"/>
        </w:rPr>
        <w:t>、根据财政部、民政部、中国残疾人联合会下发的《关于促进残疾人 就业政府采购政策的通知》(财库〔2017〕141 号) 的规定，残疾人福利性单位提供本单位制造的货物、承担的工程或者服务 (以下简称产品) ， 或者提供其他残疾人福利性单位制造的货物 (不包括使用非残疾人福利性 单位注册商标的货物) 参与政府采购活动时，视同小型、微型企业，享受预留份额、评审中价格扣除等促进中小企业发展的政府采购政策。残疾人福利性单位属于小型、微型企业的，不重复享受政策。</w:t>
      </w:r>
    </w:p>
    <w:p w14:paraId="3ACCB152">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参加政府采购活动的残疾人单位应提供《残疾人福利性单位声明函》 原件。未提供上述声明函原件，则响应文件无效。</w:t>
      </w:r>
    </w:p>
    <w:p w14:paraId="757812D1">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4</w:t>
      </w:r>
      <w:r>
        <w:rPr>
          <w:rFonts w:hint="eastAsia" w:ascii="楷体" w:hAnsi="楷体" w:eastAsia="楷体" w:cs="楷体"/>
          <w:bCs/>
          <w:sz w:val="24"/>
          <w:szCs w:val="24"/>
          <w:highlight w:val="none"/>
        </w:rPr>
        <w:t>、根据财政部、国家发展改革委《关于印发〈节能产品政府采购实施 意见〉的通知》  (财库〔2004〕185 号) 规定“政府采购属于节能产品品目清单的，在技术、服务等指标同等条件下，应当优先采购节能品目清单的节能产品。 ”</w:t>
      </w:r>
    </w:p>
    <w:p w14:paraId="5BFAA1A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5</w:t>
      </w:r>
      <w:r>
        <w:rPr>
          <w:rFonts w:hint="eastAsia" w:ascii="楷体" w:hAnsi="楷体" w:eastAsia="楷体" w:cs="楷体"/>
          <w:bCs/>
          <w:sz w:val="24"/>
          <w:szCs w:val="24"/>
          <w:highlight w:val="none"/>
        </w:rPr>
        <w:t>、根据财政部、国家环保总局联合印发《关于环境标志产品政府采购实施的意见》(财库〔2006〕90 号) 规定“采购人采购的产品属于环境标志产品政府采购清单中品目的，在性能、技术、服务等指标同等条件下， 应当优先采购清单中的产品”。</w:t>
      </w:r>
    </w:p>
    <w:p w14:paraId="5E38207A">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6</w:t>
      </w:r>
      <w:r>
        <w:rPr>
          <w:rFonts w:hint="eastAsia" w:ascii="楷体" w:hAnsi="楷体" w:eastAsia="楷体" w:cs="楷体"/>
          <w:bCs/>
          <w:sz w:val="24"/>
          <w:szCs w:val="24"/>
          <w:highlight w:val="none"/>
        </w:rPr>
        <w:t>、根据财政部、国家发改委、生态环境部、市场监管总局联合印发《关 于调整优化节能产品、环境标志产品政府采购执行机制的通知》(财库〔2019〕 9 号) 有关要求，采购人拟采购的产品属于品目清单范围的，采购人及其委托的采购代理机构应当依据国家确定的认证机构出具的、处于有效期之内的节能产品、环境标志产品认证证书，对获得证书的产品实施政府优先 采购或强制采购。</w:t>
      </w:r>
    </w:p>
    <w:p w14:paraId="0FBFC247">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7</w:t>
      </w:r>
      <w:r>
        <w:rPr>
          <w:rFonts w:hint="eastAsia" w:ascii="楷体" w:hAnsi="楷体" w:eastAsia="楷体" w:cs="楷体"/>
          <w:bCs/>
          <w:sz w:val="24"/>
          <w:szCs w:val="24"/>
          <w:highlight w:val="none"/>
        </w:rPr>
        <w:t>、根据国务院办公厅《关于建立政府强制采购节能产品制度的通知》(国办发〔2007〕51 号) 有关要求，在技术、服务等指标满足采购需求的前提下，要优先采购节能产品，对部分节能效果、性能等达到要求的产品， 实行强制采购。</w:t>
      </w:r>
    </w:p>
    <w:p w14:paraId="70EB964A">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8</w:t>
      </w:r>
      <w:r>
        <w:rPr>
          <w:rFonts w:hint="eastAsia" w:ascii="楷体" w:hAnsi="楷体" w:eastAsia="楷体" w:cs="楷体"/>
          <w:bCs/>
          <w:sz w:val="24"/>
          <w:szCs w:val="24"/>
          <w:highlight w:val="none"/>
        </w:rPr>
        <w:t>、节能产品政府采购品目清单详见财政部、发展改革委《关于印发节能产品政府采购品目清单的通知》(财库〔2019〕19 号) 。</w:t>
      </w:r>
    </w:p>
    <w:p w14:paraId="63E40AA4">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9</w:t>
      </w:r>
      <w:r>
        <w:rPr>
          <w:rFonts w:hint="eastAsia" w:ascii="楷体" w:hAnsi="楷体" w:eastAsia="楷体" w:cs="楷体"/>
          <w:bCs/>
          <w:sz w:val="24"/>
          <w:szCs w:val="24"/>
          <w:highlight w:val="none"/>
        </w:rPr>
        <w:t>、环境标志产品政府采购品目清单详见财政部、生态环境部《关于印 发环境标志产品政府采购品目清单的通知》(财库〔2019〕18 号) 。</w:t>
      </w:r>
    </w:p>
    <w:p w14:paraId="676E826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lang w:val="en-US" w:eastAsia="zh-CN"/>
        </w:rPr>
        <w:t>10</w:t>
      </w:r>
      <w:r>
        <w:rPr>
          <w:rFonts w:hint="eastAsia" w:ascii="楷体" w:hAnsi="楷体" w:eastAsia="楷体" w:cs="楷体"/>
          <w:bCs/>
          <w:sz w:val="24"/>
          <w:szCs w:val="24"/>
          <w:highlight w:val="none"/>
        </w:rPr>
        <w:t>、国家确定的节能产品、环境标志产品认证机构详见市场监管总局 《关于发布参与实施政府采购节能产品、环境标志产品认证机构名录的公告》(2019 年第 16 号) 。</w:t>
      </w:r>
    </w:p>
    <w:p w14:paraId="70445150">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1</w:t>
      </w:r>
      <w:r>
        <w:rPr>
          <w:rFonts w:hint="eastAsia" w:ascii="楷体" w:hAnsi="楷体" w:eastAsia="楷体" w:cs="楷体"/>
          <w:bCs/>
          <w:sz w:val="24"/>
          <w:szCs w:val="24"/>
          <w:highlight w:val="none"/>
          <w:lang w:val="en-US" w:eastAsia="zh-CN"/>
        </w:rPr>
        <w:t>1</w:t>
      </w:r>
      <w:r>
        <w:rPr>
          <w:rFonts w:hint="eastAsia" w:ascii="楷体" w:hAnsi="楷体" w:eastAsia="楷体" w:cs="楷体"/>
          <w:bCs/>
          <w:sz w:val="24"/>
          <w:szCs w:val="24"/>
          <w:highlight w:val="none"/>
        </w:rPr>
        <w:t>、根据《陕西省财政厅关于加快推进我省中小企业政府采购信用融 资工作的通知》(陕财办采〔2020〕15 号) 规定“有融资需求的供应商可根据自身情况，在陕西省政府采购信用融资平台(含各市分平台) 自主选择金融机构及其融资产品，凭政府采购中标 (成交) 通知书或政府采购合 同向金融机构提出融资申请。”</w:t>
      </w:r>
    </w:p>
    <w:p w14:paraId="64AD0EC2">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1</w:t>
      </w:r>
      <w:r>
        <w:rPr>
          <w:rFonts w:hint="eastAsia" w:ascii="楷体" w:hAnsi="楷体" w:eastAsia="楷体" w:cs="楷体"/>
          <w:bCs/>
          <w:sz w:val="24"/>
          <w:szCs w:val="24"/>
          <w:highlight w:val="none"/>
          <w:lang w:val="en-US" w:eastAsia="zh-CN"/>
        </w:rPr>
        <w:t>2</w:t>
      </w:r>
      <w:r>
        <w:rPr>
          <w:rFonts w:hint="eastAsia" w:ascii="楷体" w:hAnsi="楷体" w:eastAsia="楷体" w:cs="楷体"/>
          <w:bCs/>
          <w:sz w:val="24"/>
          <w:szCs w:val="24"/>
          <w:highlight w:val="none"/>
        </w:rPr>
        <w:t>、根据陕西省财政厅关于印发《陕西省中小企业政府采购信用融资办法》(陕财办采〔2018〕23 号) 规定“银行为参与政府采购融资的中小企业提供的产品，应以信用贷款为主，贷款利率应当优于一般中小企业的 贷款利率水平，并将产品信息 (包括贷款发放条件、利率优惠、贷款金额) 等在陕西政府采购网予以展示。 ”</w:t>
      </w:r>
    </w:p>
    <w:p w14:paraId="4325C801">
      <w:pPr>
        <w:pStyle w:val="4"/>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13、政府采购信用担保及信用融资政策：</w:t>
      </w:r>
    </w:p>
    <w:p w14:paraId="2E97147F">
      <w:pPr>
        <w:pStyle w:val="4"/>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为支持和促进中小企业发展，进一步发挥政府采购政策功能作用，根据《财政部关于开展政府采购信用担保试点工作的通知》（财库（2011）124号），陕西省财政厅制订了《陕西省政府采购信用担保试点工作实施方案（试行）》及《陕西省中小企业政府采购信用融资办法》（陕财办采〔2018〕23号），为参与陕西省政府采购项目的供应商提供政府采购信用担保和融资服务，并按照程序确定了合作的担保机构和商业银行。</w:t>
      </w:r>
    </w:p>
    <w:p w14:paraId="09D3C642">
      <w:pPr>
        <w:pStyle w:val="4"/>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投标人在缴纳投标保证金及中标人缴纳履约保证金时可自愿选择通过担保机构保函的形式缴纳；中标人如果需要融资贷款服务的，可凭中标通知书、政府采购合同等相关资料，按照文件规定的程序申请办理，具体规定可登陆陕西省政府采购网(www.ccgp-shaanxi.gov.cn/)重要通知专栏中查询了解。</w:t>
      </w:r>
    </w:p>
    <w:p w14:paraId="7E5B0CC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bookmarkStart w:id="54" w:name="_Toc11745_WPSOffice_Level3"/>
      <w:r>
        <w:rPr>
          <w:rFonts w:hint="eastAsia" w:ascii="楷体" w:hAnsi="楷体" w:eastAsia="楷体" w:cs="楷体"/>
          <w:b/>
          <w:sz w:val="24"/>
          <w:szCs w:val="24"/>
          <w:highlight w:val="none"/>
        </w:rPr>
        <w:t>（六）知识产权与保密事项</w:t>
      </w:r>
      <w:bookmarkEnd w:id="54"/>
    </w:p>
    <w:p w14:paraId="2C57D64B">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1、所有涉及知识产权的产品及设计，供应商必须确保委托人、采购人拥有其合法的、不受限制的无偿使用权，并免受任何侵权诉讼或索偿，否则，由此产生的一切经济损失和法律责任由供应商承担。</w:t>
      </w:r>
    </w:p>
    <w:p w14:paraId="77B0F06D">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2、由采购人向供应商提供的用户需求书、图纸、样品、模型、模件和所有资料，供应商获得后，应对其保密。除非采购人同意，供应商不得向第三方透露或将其用于本次磋商以外的任何用途。响应文件开启后，若采购人有要求，供应商人须归还采购人认为需保密的文件和资料，并销毁所有相应的备份文件及资料。</w:t>
      </w:r>
    </w:p>
    <w:p w14:paraId="66E1E90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55" w:name="_Toc17240_WPSOffice_Level3"/>
      <w:r>
        <w:rPr>
          <w:rFonts w:hint="eastAsia" w:ascii="楷体" w:hAnsi="楷体" w:eastAsia="楷体" w:cs="楷体"/>
          <w:b/>
          <w:sz w:val="24"/>
          <w:szCs w:val="24"/>
          <w:highlight w:val="none"/>
        </w:rPr>
        <w:t>（七）供应商的磋商费用自理</w:t>
      </w:r>
      <w:bookmarkEnd w:id="55"/>
    </w:p>
    <w:p w14:paraId="762D701F">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56" w:name="_Toc10768_WPSOffice_Level2"/>
      <w:bookmarkStart w:id="57" w:name="_Toc9976"/>
      <w:bookmarkStart w:id="58" w:name="_Toc8798_WPSOffice_Level2"/>
      <w:bookmarkStart w:id="59" w:name="_Toc4054"/>
      <w:bookmarkStart w:id="60" w:name="_Toc30436"/>
      <w:bookmarkStart w:id="61" w:name="_Toc17868_WPSOffice_Level2"/>
      <w:bookmarkStart w:id="62" w:name="_Toc14935"/>
      <w:r>
        <w:rPr>
          <w:rFonts w:hint="eastAsia" w:ascii="楷体" w:hAnsi="楷体" w:eastAsia="楷体" w:cs="楷体"/>
          <w:sz w:val="24"/>
          <w:szCs w:val="24"/>
          <w:highlight w:val="none"/>
        </w:rPr>
        <w:t>三、磋商文件</w:t>
      </w:r>
      <w:bookmarkEnd w:id="56"/>
      <w:bookmarkEnd w:id="57"/>
      <w:bookmarkEnd w:id="58"/>
      <w:bookmarkEnd w:id="59"/>
      <w:bookmarkEnd w:id="60"/>
      <w:bookmarkEnd w:id="61"/>
      <w:bookmarkEnd w:id="62"/>
    </w:p>
    <w:p w14:paraId="4F9D5447">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bookmarkStart w:id="63" w:name="_Toc20873_WPSOffice_Level3"/>
      <w:r>
        <w:rPr>
          <w:rFonts w:hint="eastAsia" w:ascii="楷体" w:hAnsi="楷体" w:eastAsia="楷体" w:cs="楷体"/>
          <w:b/>
          <w:sz w:val="24"/>
          <w:szCs w:val="24"/>
          <w:highlight w:val="none"/>
        </w:rPr>
        <w:t>（一）磋商文件包括下列内容</w:t>
      </w:r>
      <w:bookmarkEnd w:id="63"/>
    </w:p>
    <w:p w14:paraId="716B8C34">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第一章　</w:t>
      </w:r>
      <w:r>
        <w:rPr>
          <w:rFonts w:hint="eastAsia" w:ascii="楷体" w:hAnsi="楷体" w:eastAsia="楷体" w:cs="楷体"/>
          <w:sz w:val="24"/>
          <w:szCs w:val="24"/>
          <w:highlight w:val="none"/>
          <w:lang w:val="en-US" w:eastAsia="zh-CN"/>
        </w:rPr>
        <w:t>竞争性磋商公告</w:t>
      </w:r>
    </w:p>
    <w:p w14:paraId="49EB7C7C">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第二章　供应商须知</w:t>
      </w:r>
    </w:p>
    <w:p w14:paraId="4C5137E2">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bookmarkStart w:id="64" w:name="_Toc20041_WPSOffice_Level3"/>
      <w:r>
        <w:rPr>
          <w:rFonts w:hint="eastAsia" w:ascii="楷体" w:hAnsi="楷体" w:eastAsia="楷体" w:cs="楷体"/>
          <w:bCs/>
          <w:sz w:val="24"/>
          <w:szCs w:val="24"/>
          <w:highlight w:val="none"/>
        </w:rPr>
        <w:t>第三章　磋商内容及采购要求</w:t>
      </w:r>
    </w:p>
    <w:p w14:paraId="1C402804">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第四章　合同草案条款</w:t>
      </w:r>
    </w:p>
    <w:p w14:paraId="21209921">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sz w:val="24"/>
          <w:szCs w:val="24"/>
          <w:highlight w:val="none"/>
        </w:rPr>
      </w:pPr>
      <w:r>
        <w:rPr>
          <w:rFonts w:hint="eastAsia" w:ascii="楷体" w:hAnsi="楷体" w:eastAsia="楷体" w:cs="楷体"/>
          <w:bCs/>
          <w:sz w:val="24"/>
          <w:szCs w:val="24"/>
          <w:highlight w:val="none"/>
        </w:rPr>
        <w:t>第五章　响应文件构成及格式</w:t>
      </w:r>
    </w:p>
    <w:p w14:paraId="0832958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（二）磋商文件的检查及阅读</w:t>
      </w:r>
      <w:bookmarkEnd w:id="64"/>
    </w:p>
    <w:p w14:paraId="053AEC47">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供应商下载磋商文件后应仔细阅读检查磋商文件中的所有内容，按照磋商文件中所列事项、条款、规范要求及格式，在响应文件中对磋商文件做出全面的响</w:t>
      </w:r>
      <w:r>
        <w:rPr>
          <w:rFonts w:hint="eastAsia" w:ascii="楷体" w:hAnsi="楷体" w:eastAsia="楷体" w:cs="楷体"/>
          <w:w w:val="1"/>
          <w:sz w:val="24"/>
          <w:szCs w:val="24"/>
          <w:highlight w:val="none"/>
        </w:rPr>
        <w:t xml:space="preserve"> </w:t>
      </w:r>
      <w:r>
        <w:rPr>
          <w:rFonts w:hint="eastAsia" w:ascii="楷体" w:hAnsi="楷体" w:eastAsia="楷体" w:cs="楷体"/>
          <w:sz w:val="24"/>
          <w:szCs w:val="24"/>
          <w:highlight w:val="none"/>
        </w:rPr>
        <w:t>应，并按磋商文件的要求提交全部资料。</w:t>
      </w:r>
    </w:p>
    <w:p w14:paraId="0C318170">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rPr>
      </w:pPr>
      <w:r>
        <w:rPr>
          <w:rFonts w:hint="eastAsia" w:ascii="楷体" w:hAnsi="楷体" w:eastAsia="楷体" w:cs="楷体"/>
          <w:sz w:val="24"/>
          <w:szCs w:val="24"/>
          <w:highlight w:val="none"/>
        </w:rPr>
        <w:t>项目废标后重新组织磋商的，采购代理机构将重新编制、发布新版磋商文件，供应商应按新版磋商文件重新编制响应文件。原磋商文件及响应文件失效。</w:t>
      </w:r>
    </w:p>
    <w:p w14:paraId="5916DC29">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bookmarkStart w:id="65" w:name="_Toc12798_WPSOffice_Level3"/>
      <w:r>
        <w:rPr>
          <w:rFonts w:hint="eastAsia" w:ascii="楷体" w:hAnsi="楷体" w:eastAsia="楷体" w:cs="楷体"/>
          <w:b/>
          <w:sz w:val="24"/>
          <w:szCs w:val="24"/>
          <w:highlight w:val="none"/>
        </w:rPr>
        <w:t>（三）磋商文件的修改、澄清</w:t>
      </w:r>
      <w:bookmarkEnd w:id="65"/>
    </w:p>
    <w:p w14:paraId="0A5EFBB1">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在提交响应文件截止之日前，采购代理机构可对已发出的磋商文件进行必要的澄清或者修改，澄清或者修改的内容作为磋商文件的组成部分。澄清或者修改的内容可能影响响应文件编制的，采购代理机构将在提交响应文件截止之日至少5日前，在财政部门指定的政府采购信息发布媒体上</w:t>
      </w:r>
      <w:r>
        <w:rPr>
          <w:rFonts w:hint="eastAsia" w:ascii="楷体" w:hAnsi="楷体" w:eastAsia="楷体" w:cs="楷体"/>
          <w:b/>
          <w:bCs/>
          <w:sz w:val="24"/>
          <w:szCs w:val="24"/>
          <w:highlight w:val="none"/>
        </w:rPr>
        <w:t>发布更正公告</w:t>
      </w:r>
      <w:r>
        <w:rPr>
          <w:rFonts w:hint="eastAsia" w:ascii="楷体" w:hAnsi="楷体" w:eastAsia="楷体" w:cs="楷体"/>
          <w:sz w:val="24"/>
          <w:szCs w:val="24"/>
          <w:highlight w:val="none"/>
        </w:rPr>
        <w:t>；不足5日，采购代理机构将顺延提交响应文件的截止时间。</w:t>
      </w:r>
    </w:p>
    <w:p w14:paraId="019D5197">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2、供应商对磋商文件提出质疑的，应在获取磋商文件之日起7个工作日内以书面形式提出，采购人</w:t>
      </w:r>
      <w:r>
        <w:rPr>
          <w:rFonts w:hint="eastAsia" w:ascii="楷体" w:hAnsi="楷体" w:eastAsia="楷体" w:cs="楷体"/>
          <w:sz w:val="24"/>
          <w:szCs w:val="24"/>
          <w:highlight w:val="none"/>
          <w:lang w:eastAsia="zh-CN"/>
        </w:rPr>
        <w:t>或采购代理机构</w:t>
      </w:r>
      <w:r>
        <w:rPr>
          <w:rFonts w:hint="eastAsia" w:ascii="楷体" w:hAnsi="楷体" w:eastAsia="楷体" w:cs="楷体"/>
          <w:sz w:val="24"/>
          <w:szCs w:val="24"/>
          <w:highlight w:val="none"/>
        </w:rPr>
        <w:t>以书面形式予以答复；在此之后提出的针对磋商文件的质疑为无效质疑。答复的内容可能影响响应文件编制的，采购代理机构将在财政部门指定的政府采购信息发布媒体上</w:t>
      </w:r>
      <w:r>
        <w:rPr>
          <w:rFonts w:hint="eastAsia" w:ascii="楷体" w:hAnsi="楷体" w:eastAsia="楷体" w:cs="楷体"/>
          <w:b/>
          <w:bCs/>
          <w:sz w:val="24"/>
          <w:szCs w:val="24"/>
          <w:highlight w:val="none"/>
        </w:rPr>
        <w:t>发布更正公告</w:t>
      </w:r>
      <w:r>
        <w:rPr>
          <w:rFonts w:hint="eastAsia" w:ascii="楷体" w:hAnsi="楷体" w:eastAsia="楷体" w:cs="楷体"/>
          <w:sz w:val="24"/>
          <w:szCs w:val="24"/>
          <w:highlight w:val="none"/>
        </w:rPr>
        <w:t>。</w:t>
      </w:r>
    </w:p>
    <w:p w14:paraId="7BE96029">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val="0"/>
          <w:kern w:val="2"/>
          <w:sz w:val="24"/>
          <w:szCs w:val="24"/>
          <w:highlight w:val="none"/>
        </w:rPr>
      </w:pPr>
      <w:bookmarkStart w:id="66" w:name="_Toc21288_WPSOffice_Level2"/>
      <w:bookmarkStart w:id="67" w:name="_Toc3222"/>
      <w:bookmarkStart w:id="68" w:name="_Toc16980_WPSOffice_Level2"/>
      <w:bookmarkStart w:id="69" w:name="_Toc13240"/>
      <w:bookmarkStart w:id="70" w:name="_Toc17240_WPSOffice_Level2"/>
      <w:bookmarkStart w:id="71" w:name="_Toc11859"/>
      <w:bookmarkStart w:id="72" w:name="_Toc6046"/>
      <w:r>
        <w:rPr>
          <w:rFonts w:hint="eastAsia" w:ascii="楷体" w:hAnsi="楷体" w:eastAsia="楷体" w:cs="楷体"/>
          <w:bCs w:val="0"/>
          <w:kern w:val="2"/>
          <w:sz w:val="24"/>
          <w:szCs w:val="24"/>
          <w:highlight w:val="none"/>
        </w:rPr>
        <w:t>四、磋商保证金</w:t>
      </w:r>
      <w:bookmarkEnd w:id="66"/>
      <w:bookmarkEnd w:id="67"/>
      <w:bookmarkEnd w:id="68"/>
      <w:bookmarkEnd w:id="69"/>
      <w:bookmarkEnd w:id="70"/>
      <w:r>
        <w:rPr>
          <w:rFonts w:hint="eastAsia" w:ascii="楷体" w:hAnsi="楷体" w:eastAsia="楷体" w:cs="楷体"/>
          <w:bCs w:val="0"/>
          <w:kern w:val="2"/>
          <w:sz w:val="24"/>
          <w:szCs w:val="24"/>
          <w:highlight w:val="none"/>
          <w:lang w:eastAsia="zh-CN"/>
        </w:rPr>
        <w:t>：</w:t>
      </w:r>
      <w:r>
        <w:rPr>
          <w:rFonts w:hint="eastAsia" w:ascii="楷体" w:hAnsi="楷体" w:eastAsia="楷体" w:cs="楷体"/>
          <w:bCs w:val="0"/>
          <w:kern w:val="2"/>
          <w:sz w:val="24"/>
          <w:szCs w:val="24"/>
          <w:highlight w:val="none"/>
        </w:rPr>
        <w:t>无</w:t>
      </w:r>
      <w:bookmarkEnd w:id="71"/>
      <w:bookmarkEnd w:id="72"/>
    </w:p>
    <w:p w14:paraId="58DBA55A">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Cs w:val="0"/>
          <w:kern w:val="2"/>
          <w:sz w:val="24"/>
          <w:szCs w:val="24"/>
          <w:highlight w:val="none"/>
        </w:rPr>
      </w:pPr>
      <w:bookmarkStart w:id="73" w:name="_Toc19768_WPSOffice_Level2"/>
      <w:bookmarkStart w:id="74" w:name="_Toc31129"/>
      <w:bookmarkStart w:id="75" w:name="_Toc22501_WPSOffice_Level2"/>
      <w:bookmarkStart w:id="76" w:name="_Toc30415"/>
      <w:bookmarkStart w:id="77" w:name="_Toc2301"/>
      <w:bookmarkStart w:id="78" w:name="_Toc20873_WPSOffice_Level2"/>
      <w:bookmarkStart w:id="79" w:name="_Toc13064"/>
      <w:r>
        <w:rPr>
          <w:rFonts w:hint="eastAsia" w:ascii="楷体" w:hAnsi="楷体" w:eastAsia="楷体" w:cs="楷体"/>
          <w:bCs w:val="0"/>
          <w:kern w:val="2"/>
          <w:sz w:val="24"/>
          <w:szCs w:val="24"/>
          <w:highlight w:val="none"/>
        </w:rPr>
        <w:t>五、磋商报价</w:t>
      </w:r>
      <w:bookmarkEnd w:id="73"/>
      <w:bookmarkEnd w:id="74"/>
      <w:bookmarkEnd w:id="75"/>
      <w:bookmarkEnd w:id="76"/>
      <w:bookmarkEnd w:id="77"/>
      <w:bookmarkEnd w:id="78"/>
      <w:bookmarkEnd w:id="79"/>
    </w:p>
    <w:p w14:paraId="7ED7C411">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磋商报价是供应商响应磋商项目要求的全部工作内容的价格体现，包括完成采购内容所需的直接费、间接费、利润、税金及其它相关的一切费用。供应商在报价时应充分考虑所有可能发生的费用，</w:t>
      </w:r>
      <w:r>
        <w:rPr>
          <w:rFonts w:hint="eastAsia" w:ascii="楷体" w:hAnsi="楷体" w:eastAsia="楷体" w:cs="楷体"/>
          <w:color w:val="auto"/>
          <w:sz w:val="24"/>
          <w:szCs w:val="24"/>
          <w:lang w:val="zh-CN"/>
        </w:rPr>
        <w:t>磋商</w:t>
      </w:r>
      <w:r>
        <w:rPr>
          <w:rFonts w:hint="eastAsia" w:ascii="楷体" w:hAnsi="楷体" w:eastAsia="楷体" w:cs="楷体"/>
          <w:color w:val="auto"/>
          <w:sz w:val="24"/>
          <w:szCs w:val="24"/>
        </w:rPr>
        <w:t>文件未列明，而供应商认为应当计取的费用均应列入报价中。报价时不论是否计取，采购人均按已计取对待。</w:t>
      </w:r>
    </w:p>
    <w:p w14:paraId="4DB5788D">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（一）供应商应按照《响应文件构成及格式》中《第一次磋商报价表》中的相关要求填写需要响应的内容。</w:t>
      </w:r>
    </w:p>
    <w:p w14:paraId="3E5AF52D">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b/>
          <w:bCs/>
          <w:color w:val="auto"/>
          <w:sz w:val="24"/>
          <w:szCs w:val="24"/>
        </w:rPr>
        <w:t>（二）磋商报价采取</w:t>
      </w:r>
      <w:r>
        <w:rPr>
          <w:rFonts w:hint="eastAsia" w:ascii="楷体" w:hAnsi="楷体" w:eastAsia="楷体" w:cs="楷体"/>
          <w:b/>
          <w:bCs/>
          <w:color w:val="auto"/>
          <w:sz w:val="24"/>
          <w:szCs w:val="24"/>
          <w:lang w:eastAsia="zh-CN"/>
        </w:rPr>
        <w:t>二</w:t>
      </w:r>
      <w:r>
        <w:rPr>
          <w:rFonts w:hint="eastAsia" w:ascii="楷体" w:hAnsi="楷体" w:eastAsia="楷体" w:cs="楷体"/>
          <w:b/>
          <w:bCs/>
          <w:color w:val="auto"/>
          <w:sz w:val="24"/>
          <w:szCs w:val="24"/>
        </w:rPr>
        <w:t>轮报价的办法，最后报价作为计算价格分值的依据。供应商应在磋商当天，磋商小组规定的报价时间内，填写最后报价表。</w:t>
      </w:r>
    </w:p>
    <w:p w14:paraId="6135B4C5">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color w:val="auto"/>
          <w:sz w:val="24"/>
          <w:szCs w:val="24"/>
        </w:rPr>
      </w:pPr>
      <w:r>
        <w:rPr>
          <w:rFonts w:hint="eastAsia" w:ascii="楷体" w:hAnsi="楷体" w:eastAsia="楷体" w:cs="楷体"/>
          <w:b/>
          <w:bCs/>
          <w:color w:val="auto"/>
          <w:sz w:val="24"/>
          <w:szCs w:val="24"/>
        </w:rPr>
        <w:t>（三）如采购内容无实质性变更，各供应商的报价应逐次降低，本次报价超过采购预算或磋商文件规定的最高限价的，按无效响应处理；本次报价超过上次报价但未超过采购预算或磋商文件规定的最高限价的，或在规定时间内最后报价未提交、提交不成功的均为无效报价，按无效响应处理。</w:t>
      </w:r>
    </w:p>
    <w:p w14:paraId="5D3460B5">
      <w:pPr>
        <w:pStyle w:val="4"/>
        <w:pageBreakBefore w:val="0"/>
        <w:kinsoku/>
        <w:overflowPunct/>
        <w:topLinePunct w:val="0"/>
        <w:autoSpaceDE/>
        <w:autoSpaceDN/>
        <w:bidi w:val="0"/>
        <w:adjustRightInd/>
        <w:snapToGrid/>
        <w:spacing w:line="440" w:lineRule="exact"/>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“规定时间”由现场工作人员具体确定。</w:t>
      </w:r>
    </w:p>
    <w:p w14:paraId="10D4DACF">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供应商最终报价较首次报价降价的，成交后，签订合同时应按照成交价较首次报价的下浮比率修改分项报价表中的相应报价。</w:t>
      </w:r>
    </w:p>
    <w:p w14:paraId="2C6E2DFA">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（四）</w:t>
      </w:r>
      <w:r>
        <w:rPr>
          <w:rFonts w:hint="eastAsia" w:ascii="楷体" w:hAnsi="楷体" w:eastAsia="楷体" w:cs="楷体"/>
          <w:color w:val="auto"/>
          <w:sz w:val="24"/>
          <w:szCs w:val="24"/>
          <w:lang w:val="zh-CN"/>
        </w:rPr>
        <w:t>磋商</w:t>
      </w:r>
      <w:r>
        <w:rPr>
          <w:rFonts w:hint="eastAsia" w:ascii="楷体" w:hAnsi="楷体" w:eastAsia="楷体" w:cs="楷体"/>
          <w:color w:val="auto"/>
          <w:sz w:val="24"/>
          <w:szCs w:val="24"/>
        </w:rPr>
        <w:t>报价货币：</w:t>
      </w:r>
      <w:r>
        <w:rPr>
          <w:rFonts w:hint="eastAsia" w:ascii="楷体" w:hAnsi="楷体" w:eastAsia="楷体" w:cs="楷体"/>
          <w:b/>
          <w:color w:val="auto"/>
          <w:sz w:val="24"/>
          <w:szCs w:val="24"/>
        </w:rPr>
        <w:t>人民币</w:t>
      </w:r>
      <w:r>
        <w:rPr>
          <w:rFonts w:hint="eastAsia" w:ascii="楷体" w:hAnsi="楷体" w:eastAsia="楷体" w:cs="楷体"/>
          <w:color w:val="auto"/>
          <w:sz w:val="24"/>
          <w:szCs w:val="24"/>
        </w:rPr>
        <w:t>；</w:t>
      </w:r>
      <w:r>
        <w:rPr>
          <w:rFonts w:hint="eastAsia" w:ascii="楷体" w:hAnsi="楷体" w:eastAsia="楷体" w:cs="楷体"/>
          <w:b/>
          <w:bCs/>
          <w:color w:val="auto"/>
          <w:sz w:val="24"/>
          <w:szCs w:val="24"/>
        </w:rPr>
        <w:t>单位：元</w:t>
      </w:r>
      <w:r>
        <w:rPr>
          <w:rFonts w:hint="eastAsia" w:ascii="楷体" w:hAnsi="楷体" w:eastAsia="楷体" w:cs="楷体"/>
          <w:bCs/>
          <w:color w:val="auto"/>
          <w:sz w:val="24"/>
          <w:szCs w:val="24"/>
        </w:rPr>
        <w:t>，</w:t>
      </w:r>
      <w:r>
        <w:rPr>
          <w:rFonts w:hint="eastAsia" w:ascii="楷体" w:hAnsi="楷体" w:eastAsia="楷体" w:cs="楷体"/>
          <w:b/>
          <w:color w:val="auto"/>
          <w:sz w:val="24"/>
          <w:szCs w:val="24"/>
        </w:rPr>
        <w:t>保留到分</w:t>
      </w:r>
      <w:r>
        <w:rPr>
          <w:rFonts w:hint="eastAsia" w:ascii="楷体" w:hAnsi="楷体" w:eastAsia="楷体" w:cs="楷体"/>
          <w:bCs/>
          <w:color w:val="auto"/>
          <w:sz w:val="24"/>
          <w:szCs w:val="24"/>
        </w:rPr>
        <w:t>。</w:t>
      </w:r>
    </w:p>
    <w:p w14:paraId="33A99D8B">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（五）磋商报价大小写不一致的以大写为准。</w:t>
      </w:r>
    </w:p>
    <w:p w14:paraId="71B01169">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rPr>
      </w:pPr>
      <w:r>
        <w:rPr>
          <w:rFonts w:hint="eastAsia" w:ascii="楷体" w:hAnsi="楷体" w:eastAsia="楷体" w:cs="楷体"/>
          <w:color w:val="auto"/>
          <w:sz w:val="24"/>
          <w:szCs w:val="24"/>
        </w:rPr>
        <w:t>（六）因供应商对磋商文件理解不透、误解、疏漏或对市场行情了解不清造成的后果和风险，均由供应商自己负责。</w:t>
      </w:r>
    </w:p>
    <w:p w14:paraId="53E8146D">
      <w:pPr>
        <w:pStyle w:val="3"/>
        <w:pageBreakBefore w:val="0"/>
        <w:kinsoku/>
        <w:overflowPunct/>
        <w:topLinePunct w:val="0"/>
        <w:autoSpaceDE/>
        <w:autoSpaceDN/>
        <w:bidi w:val="0"/>
        <w:adjustRightInd/>
        <w:snapToGrid/>
        <w:spacing w:line="440" w:lineRule="exact"/>
        <w:ind w:firstLine="584" w:firstLineChars="200"/>
        <w:textAlignment w:val="auto"/>
        <w:rPr>
          <w:rFonts w:hint="eastAsia" w:ascii="楷体" w:hAnsi="楷体" w:eastAsia="楷体" w:cs="楷体"/>
          <w:color w:val="auto"/>
          <w:sz w:val="28"/>
          <w:szCs w:val="28"/>
          <w:lang w:eastAsia="zh-CN"/>
        </w:rPr>
      </w:pPr>
      <w:bookmarkStart w:id="80" w:name="_Toc29669_WPSOffice_Level2"/>
      <w:bookmarkStart w:id="81" w:name="_Toc14979"/>
      <w:bookmarkStart w:id="82" w:name="_Toc14959_WPSOffice_Level2"/>
      <w:bookmarkStart w:id="83" w:name="_Toc20041_WPSOffice_Level2"/>
      <w:bookmarkStart w:id="84" w:name="_Toc86157946"/>
      <w:bookmarkStart w:id="85" w:name="_Toc11009"/>
      <w:r>
        <w:rPr>
          <w:rFonts w:hint="eastAsia" w:ascii="楷体" w:hAnsi="楷体" w:eastAsia="楷体" w:cs="楷体"/>
          <w:color w:val="auto"/>
          <w:sz w:val="28"/>
          <w:szCs w:val="28"/>
        </w:rPr>
        <w:t>六、响应文件</w:t>
      </w:r>
      <w:bookmarkEnd w:id="80"/>
      <w:bookmarkEnd w:id="81"/>
      <w:bookmarkEnd w:id="82"/>
      <w:bookmarkEnd w:id="83"/>
      <w:bookmarkEnd w:id="84"/>
      <w:bookmarkEnd w:id="85"/>
      <w:r>
        <w:rPr>
          <w:rFonts w:hint="eastAsia" w:ascii="楷体" w:hAnsi="楷体" w:eastAsia="楷体" w:cs="楷体"/>
          <w:color w:val="auto"/>
          <w:sz w:val="28"/>
          <w:szCs w:val="28"/>
          <w:lang w:eastAsia="zh-CN"/>
        </w:rPr>
        <w:t>（一正两副及电子版文档</w:t>
      </w:r>
      <w:r>
        <w:rPr>
          <w:rFonts w:hint="eastAsia" w:ascii="楷体" w:hAnsi="楷体" w:eastAsia="楷体" w:cs="楷体"/>
          <w:color w:val="auto"/>
          <w:sz w:val="28"/>
          <w:szCs w:val="28"/>
          <w:lang w:val="en-US" w:eastAsia="zh-CN"/>
        </w:rPr>
        <w:t>1份</w:t>
      </w:r>
      <w:r>
        <w:rPr>
          <w:rFonts w:hint="eastAsia" w:ascii="楷体" w:hAnsi="楷体" w:eastAsia="楷体" w:cs="楷体"/>
          <w:color w:val="auto"/>
          <w:sz w:val="28"/>
          <w:szCs w:val="28"/>
          <w:lang w:eastAsia="zh-CN"/>
        </w:rPr>
        <w:t>）</w:t>
      </w:r>
    </w:p>
    <w:p w14:paraId="4B5E9238">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color w:val="auto"/>
          <w:sz w:val="24"/>
          <w:szCs w:val="24"/>
        </w:rPr>
      </w:pPr>
      <w:bookmarkStart w:id="86" w:name="_Toc30535_WPSOffice_Level2"/>
      <w:bookmarkStart w:id="87" w:name="_Toc7898_WPSOffice_Level2"/>
      <w:bookmarkStart w:id="88" w:name="_Toc18733_WPSOffice_Level2"/>
      <w:r>
        <w:rPr>
          <w:rFonts w:hint="eastAsia" w:ascii="楷体" w:hAnsi="楷体" w:eastAsia="楷体" w:cs="楷体"/>
          <w:b/>
          <w:bCs/>
          <w:color w:val="auto"/>
          <w:sz w:val="24"/>
          <w:szCs w:val="24"/>
        </w:rPr>
        <w:t>（一）响应文件形式</w:t>
      </w:r>
    </w:p>
    <w:p w14:paraId="4541D3A6">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本项目采用纸质响应文件的形式。</w:t>
      </w:r>
    </w:p>
    <w:p w14:paraId="28E9F46C">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1、供应商应将磋商报价表、电子U盘（投标文件正本扫描件）一起密封提交，并在信封上标明所含内容字样（见附件）。</w:t>
      </w:r>
    </w:p>
    <w:p w14:paraId="02EEDE84">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2供应商应将磋商响应性文件的正本单独密封、所有的副本单独密封，且在信封上标明“正本”“副本”等字样。</w:t>
      </w:r>
    </w:p>
    <w:p w14:paraId="29743033">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2.1、封套均应：</w:t>
      </w:r>
    </w:p>
    <w:p w14:paraId="7D174F29">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（1）清楚标明递交至“竞争性磋商公告”中指明的地址。</w:t>
      </w:r>
    </w:p>
    <w:p w14:paraId="6C8B986C">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（2）标上合同名称、采购文件编号/包号及“在  月  日（提交响应文件日期）     时（开标时间）以前不得开封”的字样。</w:t>
      </w:r>
    </w:p>
    <w:p w14:paraId="2B1EA6DB">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3、如果封套未按照要求密封和加写标记，采购代理机构将不予接收。</w:t>
      </w:r>
    </w:p>
    <w:p w14:paraId="21F86A29">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4、投标文件必须工整、规范、统一、清晰，采用A4幅面纸胶装成册、单面打印、完整目录、标注页码。</w:t>
      </w:r>
    </w:p>
    <w:p w14:paraId="400FA6E2">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5、投标人名称应当填写全称，同时加盖公章。</w:t>
      </w:r>
    </w:p>
    <w:p w14:paraId="1ABA384C">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6、投标文件必须打印或用黑色、蓝黑色墨水填写。</w:t>
      </w:r>
    </w:p>
    <w:p w14:paraId="49B396C9">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7、按照规定的格式填写，不得自行增减内容。</w:t>
      </w:r>
    </w:p>
    <w:p w14:paraId="29561B64">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8、磋商响应文件要求签字的地方必须签署。正本每页必须加盖单位公章。</w:t>
      </w:r>
    </w:p>
    <w:p w14:paraId="1E6B81C3">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9、磋商响应文件不得随意涂改和增删。如有修改错漏之处，必须由法定代表人或授权代表签字、盖章。</w:t>
      </w:r>
    </w:p>
    <w:p w14:paraId="2EE50DD2">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10、投标文件因字迹潦草或表述不清以及复印件不清所引起的后果由投标人自行负责。</w:t>
      </w:r>
    </w:p>
    <w:p w14:paraId="77781451">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11、投标文件必须胶装，否则投标无效。</w:t>
      </w:r>
    </w:p>
    <w:p w14:paraId="3EFC2B88">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b/>
          <w:color w:val="auto"/>
          <w:sz w:val="24"/>
          <w:szCs w:val="24"/>
        </w:rPr>
        <w:t>（二）</w:t>
      </w:r>
      <w:r>
        <w:rPr>
          <w:rFonts w:hint="eastAsia" w:ascii="楷体" w:hAnsi="楷体" w:eastAsia="楷体" w:cs="楷体"/>
          <w:b/>
          <w:bCs/>
          <w:color w:val="auto"/>
          <w:sz w:val="24"/>
          <w:szCs w:val="24"/>
        </w:rPr>
        <w:t>响应文件语言及有效期</w:t>
      </w:r>
    </w:p>
    <w:p w14:paraId="57F612AB">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1、响应活动的所有文件、资料、函电文均使用简体中文，确需提交用其他语言形成的资料，必须翻译成简体中文，如有差异，以简体中文为准。</w:t>
      </w:r>
    </w:p>
    <w:p w14:paraId="0891370C">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2、响应文件有效期为</w:t>
      </w:r>
      <w:r>
        <w:rPr>
          <w:rFonts w:hint="eastAsia" w:ascii="楷体" w:hAnsi="楷体" w:eastAsia="楷体" w:cs="楷体"/>
          <w:b/>
          <w:bCs/>
          <w:color w:val="auto"/>
          <w:sz w:val="24"/>
          <w:szCs w:val="24"/>
        </w:rPr>
        <w:t>自响应文件开启之日起</w:t>
      </w:r>
      <w:r>
        <w:rPr>
          <w:rFonts w:hint="eastAsia" w:ascii="楷体" w:hAnsi="楷体" w:eastAsia="楷体" w:cs="楷体"/>
          <w:b/>
          <w:bCs/>
          <w:color w:val="auto"/>
          <w:sz w:val="24"/>
          <w:szCs w:val="24"/>
          <w:lang w:val="en-US" w:eastAsia="zh-CN"/>
        </w:rPr>
        <w:t>60</w:t>
      </w:r>
      <w:r>
        <w:rPr>
          <w:rFonts w:hint="eastAsia" w:ascii="楷体" w:hAnsi="楷体" w:eastAsia="楷体" w:cs="楷体"/>
          <w:b/>
          <w:bCs/>
          <w:color w:val="auto"/>
          <w:sz w:val="24"/>
          <w:szCs w:val="24"/>
        </w:rPr>
        <w:t>个日历日</w:t>
      </w:r>
      <w:r>
        <w:rPr>
          <w:rFonts w:hint="eastAsia" w:ascii="楷体" w:hAnsi="楷体" w:eastAsia="楷体" w:cs="楷体"/>
          <w:color w:val="auto"/>
          <w:sz w:val="24"/>
          <w:szCs w:val="24"/>
        </w:rPr>
        <w:t>。如成交，延长至合同执行完毕时止。</w:t>
      </w:r>
    </w:p>
    <w:p w14:paraId="723F3B45">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color w:val="auto"/>
          <w:sz w:val="24"/>
          <w:szCs w:val="24"/>
        </w:rPr>
      </w:pPr>
      <w:r>
        <w:rPr>
          <w:rFonts w:hint="eastAsia" w:ascii="楷体" w:hAnsi="楷体" w:eastAsia="楷体" w:cs="楷体"/>
          <w:b/>
          <w:color w:val="auto"/>
          <w:sz w:val="24"/>
          <w:szCs w:val="24"/>
        </w:rPr>
        <w:t>（三）响应文件的提交</w:t>
      </w:r>
    </w:p>
    <w:p w14:paraId="571594EA">
      <w:pPr>
        <w:pStyle w:val="12"/>
        <w:pageBreakBefore w:val="0"/>
        <w:kinsoku/>
        <w:overflowPunct/>
        <w:topLinePunct w:val="0"/>
        <w:autoSpaceDE/>
        <w:autoSpaceDN/>
        <w:bidi w:val="0"/>
        <w:adjustRightInd/>
        <w:snapToGrid/>
        <w:spacing w:after="0"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供应商应在磋商文件规定的响应文件递交时间，将响应文件按磋商文件的规定密封后送达磋商地点。截止时间以后送达的响应文件将不予接收。</w:t>
      </w:r>
    </w:p>
    <w:p w14:paraId="2F963581">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color w:val="auto"/>
          <w:sz w:val="24"/>
          <w:szCs w:val="24"/>
        </w:rPr>
      </w:pPr>
      <w:bookmarkStart w:id="89" w:name="_Toc6095"/>
      <w:bookmarkStart w:id="90" w:name="_Toc15608"/>
      <w:bookmarkStart w:id="91" w:name="_Toc24468"/>
      <w:r>
        <w:rPr>
          <w:rFonts w:hint="eastAsia" w:ascii="楷体" w:hAnsi="楷体" w:eastAsia="楷体" w:cs="楷体"/>
          <w:b/>
          <w:color w:val="auto"/>
          <w:sz w:val="24"/>
          <w:szCs w:val="24"/>
        </w:rPr>
        <w:t>（四）响应文件的补充、修改和撤回</w:t>
      </w:r>
      <w:bookmarkEnd w:id="89"/>
      <w:bookmarkEnd w:id="90"/>
      <w:bookmarkEnd w:id="91"/>
    </w:p>
    <w:p w14:paraId="1D6987A1">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1、供应商在递交磋商响应文件后，可以修改和撤回其磋商响应文件，但招标代理机构必须在规定的提交磋商响应文件截止期之前收到该修改或撤回的书面通知。</w:t>
      </w:r>
    </w:p>
    <w:p w14:paraId="751138AD">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2、对响应文件进行补充、修改的，应按规定密封、标注和递送,并应在封套上加注“修改”或“撤回”字样。</w:t>
      </w:r>
    </w:p>
    <w:p w14:paraId="693CD758">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3、响应文件提交截止时间后，供应商不得对其响应文件做任何修改。</w:t>
      </w:r>
    </w:p>
    <w:p w14:paraId="02E54F61">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4、供应商在提交响应文件截止时间后撤回响应文件的，磋商保证金不予退还。</w:t>
      </w:r>
    </w:p>
    <w:p w14:paraId="3762596D">
      <w:pPr>
        <w:pageBreakBefore w:val="0"/>
        <w:widowControl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b/>
          <w:color w:val="auto"/>
          <w:sz w:val="24"/>
          <w:szCs w:val="24"/>
        </w:rPr>
        <w:t>（五）供应商提交响应文件时，出现下列情况之一的，其响应文件将被拒绝接收：</w:t>
      </w:r>
    </w:p>
    <w:p w14:paraId="016ED245">
      <w:pPr>
        <w:pageBreakBefore w:val="0"/>
        <w:widowControl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1、逾期提交响应文件的；</w:t>
      </w:r>
    </w:p>
    <w:p w14:paraId="46B29EB6">
      <w:pPr>
        <w:pageBreakBefore w:val="0"/>
        <w:widowControl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2、提交的响应文件与本项目不相符的。</w:t>
      </w:r>
    </w:p>
    <w:p w14:paraId="5EA5FB3A">
      <w:pPr>
        <w:pStyle w:val="3"/>
        <w:pageBreakBefore w:val="0"/>
        <w:kinsoku/>
        <w:overflowPunct/>
        <w:topLinePunct w:val="0"/>
        <w:autoSpaceDE/>
        <w:autoSpaceDN/>
        <w:bidi w:val="0"/>
        <w:adjustRightInd/>
        <w:snapToGrid/>
        <w:spacing w:line="440" w:lineRule="exact"/>
        <w:ind w:firstLine="584" w:firstLineChars="200"/>
        <w:textAlignment w:val="auto"/>
        <w:rPr>
          <w:rFonts w:hint="eastAsia" w:ascii="楷体" w:hAnsi="楷体" w:eastAsia="楷体" w:cs="楷体"/>
          <w:color w:val="auto"/>
          <w:sz w:val="28"/>
          <w:szCs w:val="28"/>
        </w:rPr>
      </w:pPr>
      <w:bookmarkStart w:id="92" w:name="_Toc7022"/>
      <w:bookmarkStart w:id="93" w:name="_Toc6837"/>
      <w:bookmarkStart w:id="94" w:name="_Toc28054"/>
      <w:bookmarkStart w:id="95" w:name="_Toc595"/>
      <w:bookmarkStart w:id="96" w:name="_Toc10744"/>
      <w:bookmarkStart w:id="97" w:name="_Toc86157947"/>
      <w:r>
        <w:rPr>
          <w:rFonts w:hint="eastAsia" w:ascii="楷体" w:hAnsi="楷体" w:eastAsia="楷体" w:cs="楷体"/>
          <w:color w:val="auto"/>
          <w:sz w:val="28"/>
          <w:szCs w:val="28"/>
        </w:rPr>
        <w:t>七、</w:t>
      </w:r>
      <w:bookmarkEnd w:id="92"/>
      <w:bookmarkEnd w:id="93"/>
      <w:bookmarkEnd w:id="94"/>
      <w:bookmarkEnd w:id="95"/>
      <w:bookmarkEnd w:id="96"/>
      <w:r>
        <w:rPr>
          <w:rFonts w:hint="eastAsia" w:ascii="楷体" w:hAnsi="楷体" w:eastAsia="楷体" w:cs="楷体"/>
          <w:color w:val="auto"/>
          <w:sz w:val="28"/>
          <w:szCs w:val="28"/>
        </w:rPr>
        <w:t>开启响应文件</w:t>
      </w:r>
      <w:bookmarkEnd w:id="97"/>
    </w:p>
    <w:p w14:paraId="422978E3">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（一）采购代理机构组织开标、评审工作，整个过程受政府采购监管机构的监督、管理。</w:t>
      </w:r>
    </w:p>
    <w:p w14:paraId="135D2FF0">
      <w:pPr>
        <w:pageBreakBefore w:val="0"/>
        <w:kinsoku/>
        <w:wordWrap w:val="0"/>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color w:val="auto"/>
          <w:sz w:val="24"/>
          <w:szCs w:val="24"/>
        </w:rPr>
      </w:pPr>
      <w:r>
        <w:rPr>
          <w:rFonts w:hint="eastAsia" w:ascii="楷体" w:hAnsi="楷体" w:eastAsia="楷体" w:cs="楷体"/>
          <w:color w:val="auto"/>
          <w:sz w:val="24"/>
          <w:szCs w:val="24"/>
        </w:rPr>
        <w:t>（二）采购代理机构</w:t>
      </w:r>
      <w:r>
        <w:rPr>
          <w:rFonts w:hint="eastAsia" w:ascii="楷体" w:hAnsi="楷体" w:eastAsia="楷体" w:cs="楷体"/>
          <w:b/>
          <w:bCs/>
          <w:color w:val="auto"/>
          <w:sz w:val="24"/>
          <w:szCs w:val="24"/>
        </w:rPr>
        <w:t>在招标文件规定的时间和地点组织开标。</w:t>
      </w:r>
    </w:p>
    <w:p w14:paraId="0C0E585F">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参加投标的供应商不足3家的，不得开启。</w:t>
      </w:r>
    </w:p>
    <w:p w14:paraId="3EC8D3AC">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（三）投标供应商未参加开标的，视同认可开标结果。</w:t>
      </w:r>
    </w:p>
    <w:p w14:paraId="502BF57F">
      <w:pPr>
        <w:pageBreakBefore w:val="0"/>
        <w:kinsoku/>
        <w:overflowPunct/>
        <w:topLinePunct w:val="0"/>
        <w:autoSpaceDE/>
        <w:autoSpaceDN/>
        <w:bidi w:val="0"/>
        <w:adjustRightInd/>
        <w:snapToGrid/>
        <w:spacing w:line="440" w:lineRule="exact"/>
        <w:ind w:firstLine="560"/>
        <w:textAlignment w:val="auto"/>
        <w:rPr>
          <w:rFonts w:hint="eastAsia" w:ascii="楷体" w:hAnsi="楷体" w:eastAsia="楷体" w:cs="楷体"/>
          <w:b/>
          <w:bCs/>
          <w:color w:val="auto"/>
          <w:kern w:val="0"/>
          <w:shd w:val="clear" w:color="auto" w:fill="FFFFFF"/>
        </w:rPr>
      </w:pPr>
      <w:bookmarkStart w:id="98" w:name="_Toc31720"/>
      <w:bookmarkStart w:id="99" w:name="_Toc8460"/>
      <w:r>
        <w:rPr>
          <w:rFonts w:hint="eastAsia" w:ascii="楷体" w:hAnsi="楷体" w:eastAsia="楷体" w:cs="楷体"/>
          <w:b/>
          <w:bCs/>
          <w:color w:val="auto"/>
        </w:rPr>
        <w:t>八、</w:t>
      </w:r>
      <w:r>
        <w:rPr>
          <w:rFonts w:hint="eastAsia" w:ascii="楷体" w:hAnsi="楷体" w:eastAsia="楷体" w:cs="楷体"/>
          <w:b/>
          <w:bCs/>
          <w:color w:val="auto"/>
          <w:kern w:val="0"/>
          <w:shd w:val="clear" w:color="auto" w:fill="FFFFFF"/>
        </w:rPr>
        <w:t>组织评审</w:t>
      </w:r>
      <w:bookmarkEnd w:id="86"/>
      <w:bookmarkEnd w:id="87"/>
      <w:bookmarkEnd w:id="88"/>
      <w:bookmarkEnd w:id="98"/>
      <w:bookmarkEnd w:id="99"/>
    </w:p>
    <w:p w14:paraId="19EA9AAF">
      <w:pPr>
        <w:pStyle w:val="24"/>
        <w:pageBreakBefore w:val="0"/>
        <w:kinsoku/>
        <w:overflowPunct/>
        <w:topLinePunct w:val="0"/>
        <w:autoSpaceDE/>
        <w:autoSpaceDN/>
        <w:bidi w:val="0"/>
        <w:adjustRightInd/>
        <w:snapToGrid/>
        <w:spacing w:beforeAutospacing="0" w:afterAutospacing="0" w:line="440" w:lineRule="exact"/>
        <w:ind w:firstLine="420"/>
        <w:textAlignment w:val="auto"/>
        <w:rPr>
          <w:rFonts w:hint="eastAsia" w:ascii="楷体" w:hAnsi="楷体" w:eastAsia="楷体" w:cs="楷体"/>
          <w:b/>
          <w:bCs/>
          <w:color w:val="auto"/>
          <w:szCs w:val="24"/>
        </w:rPr>
      </w:pPr>
      <w:bookmarkStart w:id="100" w:name="_Toc3816_WPSOffice_Level3"/>
      <w:r>
        <w:rPr>
          <w:rFonts w:hint="eastAsia" w:ascii="楷体" w:hAnsi="楷体" w:eastAsia="楷体" w:cs="楷体"/>
          <w:b/>
          <w:bCs/>
          <w:color w:val="auto"/>
          <w:szCs w:val="24"/>
          <w:shd w:val="clear" w:color="auto" w:fill="FFFFFF"/>
        </w:rPr>
        <w:t>（一）采购代理机构负责组织评审工作，并履行下列职责：</w:t>
      </w:r>
      <w:bookmarkEnd w:id="100"/>
    </w:p>
    <w:p w14:paraId="3D24992B">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1、核对评审专家身份和采购人代表授权函，对评审专家在政府采购活动中的职责履行情况予以记录，并及时将有关违法违规行为向财政部门报告;</w:t>
      </w:r>
    </w:p>
    <w:p w14:paraId="0E307D26">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2、宣布评审纪律;</w:t>
      </w:r>
    </w:p>
    <w:p w14:paraId="21A561AE">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3、公布供应商名单，告知评审专家应当回避的情形;</w:t>
      </w:r>
    </w:p>
    <w:p w14:paraId="3C444836">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4、组织磋商小组推选评审组长，采购人代表不得担任组长;</w:t>
      </w:r>
    </w:p>
    <w:p w14:paraId="647BE2F7">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5、在评审期间采取必要的通讯管理措施，保证评审活动不受外界干扰;</w:t>
      </w:r>
    </w:p>
    <w:p w14:paraId="0478ED18">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6、根据磋商小组的要求介绍政府采购相关政策法规、磋商文件;</w:t>
      </w:r>
    </w:p>
    <w:p w14:paraId="407CFB32">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7、维护评审秩序，监督磋商小组依照磋商文件规定的评审程序、方法和标准进行独立评审，及时制止和纠正采购人代表、评审专家的倾向性言论或者违法违规行为;</w:t>
      </w:r>
    </w:p>
    <w:p w14:paraId="41109733">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8、核对评审结果;</w:t>
      </w:r>
    </w:p>
    <w:p w14:paraId="79F3DF08">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9、评审工作完成后，按照规定向评审专家支付劳务报酬和异地评审差旅费，不得向评审专家以外的其他人员支付评审劳务报酬;</w:t>
      </w:r>
    </w:p>
    <w:p w14:paraId="7186E689">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10、处理与评审有关的其他事项。</w:t>
      </w:r>
    </w:p>
    <w:p w14:paraId="6D891ECE">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rPr>
      </w:pPr>
      <w:r>
        <w:rPr>
          <w:rFonts w:hint="eastAsia" w:ascii="楷体" w:hAnsi="楷体" w:eastAsia="楷体" w:cs="楷体"/>
          <w:color w:val="auto"/>
          <w:szCs w:val="24"/>
          <w:shd w:val="clear" w:color="auto" w:fill="FFFFFF"/>
        </w:rPr>
        <w:t>采购人可以在评审前说明项目背景和采购需求，说明内容不得含有歧视性、倾向性意见，不得超出磋商文件所述范围。说明应当提交书面材料，并随采购文件一并存档。</w:t>
      </w:r>
    </w:p>
    <w:p w14:paraId="7C2FCCDE">
      <w:pPr>
        <w:pStyle w:val="24"/>
        <w:pageBreakBefore w:val="0"/>
        <w:kinsoku/>
        <w:overflowPunct/>
        <w:topLinePunct w:val="0"/>
        <w:autoSpaceDE/>
        <w:autoSpaceDN/>
        <w:bidi w:val="0"/>
        <w:adjustRightInd/>
        <w:snapToGrid/>
        <w:spacing w:beforeAutospacing="0" w:afterAutospacing="0" w:line="440" w:lineRule="exact"/>
        <w:ind w:firstLine="420"/>
        <w:textAlignment w:val="auto"/>
        <w:rPr>
          <w:rFonts w:hint="eastAsia" w:ascii="楷体" w:hAnsi="楷体" w:eastAsia="楷体" w:cs="楷体"/>
          <w:b/>
          <w:bCs/>
          <w:color w:val="auto"/>
          <w:szCs w:val="24"/>
        </w:rPr>
      </w:pPr>
      <w:bookmarkStart w:id="101" w:name="_Toc3147_WPSOffice_Level3"/>
      <w:r>
        <w:rPr>
          <w:rFonts w:hint="eastAsia" w:ascii="楷体" w:hAnsi="楷体" w:eastAsia="楷体" w:cs="楷体"/>
          <w:b/>
          <w:bCs/>
          <w:color w:val="auto"/>
          <w:szCs w:val="24"/>
          <w:shd w:val="clear" w:color="auto" w:fill="FFFFFF"/>
        </w:rPr>
        <w:t>（二）磋商小组负责具体评审事务，并独立履行下列职责：</w:t>
      </w:r>
      <w:bookmarkEnd w:id="101"/>
    </w:p>
    <w:p w14:paraId="5E4EFE6F">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1、遵守评审工作纪律，不得泄露评审情况和评审中获悉的商业秘密；</w:t>
      </w:r>
    </w:p>
    <w:p w14:paraId="1E947252">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2、按照客观、公正、审慎的原则，根据磋商文件规定的评审程序、评审方法和评审标准进行独立评审；</w:t>
      </w:r>
    </w:p>
    <w:p w14:paraId="26D07B92">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3、要求供应商对响应文件有关事项做出澄清或者说明；</w:t>
      </w:r>
    </w:p>
    <w:p w14:paraId="2410DB3D">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4、与供应商分别进行磋商；</w:t>
      </w:r>
    </w:p>
    <w:p w14:paraId="58119614">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5、对响应文件进行比较和评价；</w:t>
      </w:r>
    </w:p>
    <w:p w14:paraId="6521CD51">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6、确定成交候选人名单，以及根据采购人委托直接确定成交供应商；</w:t>
      </w:r>
    </w:p>
    <w:p w14:paraId="70B35C80">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7、配合答复供应商的询问、质疑和投诉等事项，不得泄露评审文件、评审情况和在评审过程中获悉的商业秘密；</w:t>
      </w:r>
    </w:p>
    <w:p w14:paraId="51FF13D1">
      <w:pPr>
        <w:pStyle w:val="24"/>
        <w:pageBreakBefore w:val="0"/>
        <w:kinsoku/>
        <w:overflowPunct/>
        <w:topLinePunct w:val="0"/>
        <w:autoSpaceDE/>
        <w:autoSpaceDN/>
        <w:bidi w:val="0"/>
        <w:adjustRightInd/>
        <w:snapToGrid/>
        <w:spacing w:beforeAutospacing="0" w:afterAutospacing="0" w:line="440" w:lineRule="exact"/>
        <w:ind w:firstLine="504" w:firstLineChars="200"/>
        <w:textAlignment w:val="auto"/>
        <w:rPr>
          <w:rFonts w:hint="eastAsia" w:ascii="楷体" w:hAnsi="楷体" w:eastAsia="楷体" w:cs="楷体"/>
          <w:color w:val="auto"/>
          <w:szCs w:val="24"/>
          <w:shd w:val="clear" w:color="auto" w:fill="FFFFFF"/>
        </w:rPr>
      </w:pPr>
      <w:r>
        <w:rPr>
          <w:rFonts w:hint="eastAsia" w:ascii="楷体" w:hAnsi="楷体" w:eastAsia="楷体" w:cs="楷体"/>
          <w:color w:val="auto"/>
          <w:szCs w:val="24"/>
          <w:shd w:val="clear" w:color="auto" w:fill="FFFFFF"/>
        </w:rPr>
        <w:t>8、向采购人、</w:t>
      </w:r>
      <w:r>
        <w:rPr>
          <w:rFonts w:hint="eastAsia" w:ascii="楷体" w:hAnsi="楷体" w:eastAsia="楷体" w:cs="楷体"/>
          <w:color w:val="auto"/>
          <w:szCs w:val="24"/>
          <w:shd w:val="clear" w:color="auto" w:fill="FFFFFF"/>
          <w:lang w:val="zh-CN"/>
        </w:rPr>
        <w:t>采购代理机构</w:t>
      </w:r>
      <w:r>
        <w:rPr>
          <w:rFonts w:hint="eastAsia" w:ascii="楷体" w:hAnsi="楷体" w:eastAsia="楷体" w:cs="楷体"/>
          <w:color w:val="auto"/>
          <w:szCs w:val="24"/>
          <w:shd w:val="clear" w:color="auto" w:fill="FFFFFF"/>
        </w:rPr>
        <w:t>或者有关部门报告评审中发现的违法行为。</w:t>
      </w:r>
    </w:p>
    <w:p w14:paraId="3D69A7B3">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color w:val="auto"/>
          <w:sz w:val="24"/>
          <w:szCs w:val="24"/>
        </w:rPr>
      </w:pPr>
      <w:bookmarkStart w:id="102" w:name="_Toc8872_WPSOffice_Level3"/>
      <w:r>
        <w:rPr>
          <w:rFonts w:hint="eastAsia" w:ascii="楷体" w:hAnsi="楷体" w:eastAsia="楷体" w:cs="楷体"/>
          <w:b/>
          <w:bCs/>
          <w:color w:val="auto"/>
          <w:sz w:val="24"/>
          <w:szCs w:val="24"/>
        </w:rPr>
        <w:t>（三）成立磋商小组</w:t>
      </w:r>
      <w:bookmarkEnd w:id="102"/>
    </w:p>
    <w:p w14:paraId="22BE1973">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1、为了确保磋商工作的公平、公正，依据政府采购法和政府采购相关法规、规章，成立磋商小组，磋商小组由采购人代表和评审专家共3人以上单数组成，其中评审专家人数不少于磋商小组成员总数的三分之二。</w:t>
      </w:r>
    </w:p>
    <w:p w14:paraId="6E1992F8">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评审专家对本单位的采购项目只能作为采购人代表参与评审。采购代理机构工作人员不得参加由本机构代理的政府采购项目的评审。</w:t>
      </w:r>
    </w:p>
    <w:p w14:paraId="114D36F5">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磋商小组成员名单在评审结果公告前应当保密。</w:t>
      </w:r>
    </w:p>
    <w:p w14:paraId="04E5A883">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2、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0CE7B40F">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3、评审中因磋商小组成员缺席、回避或者健康等特殊原因导致磋商小组组成不符合规定的，采购代理机构应当依法补足后继续评审。被更换的磋商小组成员所做出的评审意见无效。无法及时补足磋商小组成员的，采购代理机构应当停止评审活动，封存所有响应文件和开标、评审资料，依法重新组建磋商小组进行评审。原磋商小组所做出的评审意见无效。</w:t>
      </w:r>
    </w:p>
    <w:p w14:paraId="03CA4FCE">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采购代理机构应当将变更、重新组建磋商小组的情况予以记录，并随采购文件一并存档。</w:t>
      </w:r>
    </w:p>
    <w:p w14:paraId="0A0093C2">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color w:val="auto"/>
          <w:sz w:val="24"/>
          <w:szCs w:val="24"/>
        </w:rPr>
      </w:pPr>
      <w:bookmarkStart w:id="103" w:name="_Toc4079_WPSOffice_Level3"/>
      <w:r>
        <w:rPr>
          <w:rFonts w:hint="eastAsia" w:ascii="楷体" w:hAnsi="楷体" w:eastAsia="楷体" w:cs="楷体"/>
          <w:b/>
          <w:color w:val="auto"/>
          <w:sz w:val="24"/>
          <w:szCs w:val="24"/>
        </w:rPr>
        <w:t>（四）评审方法：综合评分法</w:t>
      </w:r>
      <w:bookmarkEnd w:id="103"/>
    </w:p>
    <w:p w14:paraId="6A199CB7">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综合评分法，是指响应文件满足磋商文件全部实质性要求且按评审因素的量化指标评审得分最高的供应商为成交候选供应商的评审方法。</w:t>
      </w:r>
    </w:p>
    <w:p w14:paraId="074C4756">
      <w:pPr>
        <w:pageBreakBefore w:val="0"/>
        <w:kinsoku/>
        <w:overflowPunct/>
        <w:topLinePunct w:val="0"/>
        <w:autoSpaceDE/>
        <w:autoSpaceDN/>
        <w:bidi w:val="0"/>
        <w:adjustRightInd/>
        <w:snapToGrid/>
        <w:spacing w:line="440" w:lineRule="exact"/>
        <w:ind w:left="567"/>
        <w:textAlignment w:val="auto"/>
        <w:rPr>
          <w:rFonts w:hint="eastAsia" w:ascii="楷体" w:hAnsi="楷体" w:eastAsia="楷体" w:cs="楷体"/>
          <w:color w:val="auto"/>
          <w:sz w:val="24"/>
          <w:szCs w:val="24"/>
        </w:rPr>
      </w:pPr>
      <w:bookmarkStart w:id="104" w:name="_Toc25396_WPSOffice_Level3"/>
      <w:r>
        <w:rPr>
          <w:rFonts w:hint="eastAsia" w:ascii="楷体" w:hAnsi="楷体" w:eastAsia="楷体" w:cs="楷体"/>
          <w:b/>
          <w:color w:val="auto"/>
          <w:sz w:val="24"/>
          <w:szCs w:val="24"/>
        </w:rPr>
        <w:t>（五）评审程序</w:t>
      </w:r>
      <w:bookmarkEnd w:id="104"/>
    </w:p>
    <w:p w14:paraId="7AB00CFA">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color w:val="auto"/>
          <w:sz w:val="24"/>
          <w:szCs w:val="24"/>
        </w:rPr>
      </w:pPr>
      <w:r>
        <w:rPr>
          <w:rFonts w:hint="eastAsia" w:ascii="楷体" w:hAnsi="楷体" w:eastAsia="楷体" w:cs="楷体"/>
          <w:color w:val="auto"/>
          <w:sz w:val="24"/>
          <w:szCs w:val="24"/>
        </w:rPr>
        <w:t>分步评审，每一步评审不符合磋商文件要求者，不得进入下一步评审，全部评审合格的供应商，进入最后的打分，最后按得分由高到低排序，推荐成交候选供应商。</w:t>
      </w:r>
    </w:p>
    <w:p w14:paraId="3C0A67AF">
      <w:pPr>
        <w:pageBreakBefore w:val="0"/>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color w:val="auto"/>
          <w:sz w:val="24"/>
          <w:szCs w:val="24"/>
        </w:rPr>
      </w:pPr>
      <w:r>
        <w:rPr>
          <w:rFonts w:hint="eastAsia" w:ascii="楷体" w:hAnsi="楷体" w:eastAsia="楷体" w:cs="楷体"/>
          <w:b/>
          <w:bCs/>
          <w:color w:val="auto"/>
          <w:sz w:val="24"/>
          <w:szCs w:val="24"/>
        </w:rPr>
        <w:t>1、资格性审查</w:t>
      </w:r>
    </w:p>
    <w:p w14:paraId="22C8E757">
      <w:pPr>
        <w:pageBreakBefore w:val="0"/>
        <w:kinsoku/>
        <w:overflowPunct/>
        <w:topLinePunct w:val="0"/>
        <w:autoSpaceDE/>
        <w:autoSpaceDN/>
        <w:bidi w:val="0"/>
        <w:adjustRightInd/>
        <w:snapToGrid/>
        <w:spacing w:afterLines="50" w:line="440" w:lineRule="exact"/>
        <w:ind w:firstLine="504" w:firstLineChars="200"/>
        <w:jc w:val="left"/>
        <w:textAlignment w:val="auto"/>
        <w:rPr>
          <w:rFonts w:hint="eastAsia" w:ascii="楷体" w:hAnsi="楷体" w:eastAsia="楷体" w:cs="楷体"/>
        </w:rPr>
      </w:pPr>
      <w:r>
        <w:rPr>
          <w:rFonts w:hint="eastAsia" w:ascii="楷体" w:hAnsi="楷体" w:eastAsia="楷体" w:cs="楷体"/>
          <w:color w:val="auto"/>
          <w:sz w:val="24"/>
          <w:szCs w:val="24"/>
        </w:rPr>
        <w:t>开标结束后，</w:t>
      </w:r>
      <w:r>
        <w:rPr>
          <w:rFonts w:hint="eastAsia" w:ascii="楷体" w:hAnsi="楷体" w:eastAsia="楷体" w:cs="楷体"/>
          <w:color w:val="auto"/>
          <w:sz w:val="24"/>
          <w:szCs w:val="24"/>
          <w:lang w:eastAsia="zh-CN"/>
        </w:rPr>
        <w:t>采购人或采购代理机构</w:t>
      </w:r>
      <w:r>
        <w:rPr>
          <w:rFonts w:hint="eastAsia" w:ascii="楷体" w:hAnsi="楷体" w:eastAsia="楷体" w:cs="楷体"/>
          <w:color w:val="auto"/>
          <w:sz w:val="24"/>
          <w:szCs w:val="24"/>
        </w:rPr>
        <w:t>依据法律法规和磋商文件的规定，对响应文件中的供应商资格证明文件进行审查，以确定供应商是否具备磋商资格。</w:t>
      </w:r>
    </w:p>
    <w:p w14:paraId="0DB10AB9">
      <w:pPr>
        <w:jc w:val="center"/>
        <w:rPr>
          <w:rFonts w:hint="eastAsia" w:ascii="楷体" w:hAnsi="楷体" w:eastAsia="楷体" w:cs="楷体"/>
          <w:b/>
          <w:bCs/>
          <w:sz w:val="24"/>
          <w:szCs w:val="28"/>
          <w:highlight w:val="none"/>
        </w:rPr>
      </w:pPr>
      <w:r>
        <w:rPr>
          <w:rFonts w:hint="eastAsia" w:ascii="楷体" w:hAnsi="楷体" w:eastAsia="楷体" w:cs="楷体"/>
          <w:b/>
          <w:bCs/>
          <w:sz w:val="24"/>
          <w:szCs w:val="28"/>
          <w:highlight w:val="none"/>
        </w:rPr>
        <w:t>资格审查表</w:t>
      </w:r>
    </w:p>
    <w:tbl>
      <w:tblPr>
        <w:tblStyle w:val="28"/>
        <w:tblW w:w="9087" w:type="dxa"/>
        <w:tblInd w:w="1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6"/>
        <w:gridCol w:w="1848"/>
        <w:gridCol w:w="6473"/>
      </w:tblGrid>
      <w:tr w14:paraId="24E216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tblHeader/>
        </w:trPr>
        <w:tc>
          <w:tcPr>
            <w:tcW w:w="766" w:type="dxa"/>
            <w:noWrap w:val="0"/>
            <w:vAlign w:val="center"/>
          </w:tcPr>
          <w:p w14:paraId="020B1740">
            <w:pPr>
              <w:spacing w:beforeAutospacing="0" w:afterAutospacing="0" w:line="240" w:lineRule="auto"/>
              <w:jc w:val="center"/>
              <w:rPr>
                <w:rFonts w:hint="eastAsia" w:ascii="楷体" w:hAnsi="楷体" w:eastAsia="楷体" w:cs="楷体"/>
                <w:b/>
                <w:color w:val="auto"/>
                <w:sz w:val="24"/>
                <w:szCs w:val="24"/>
                <w:highlight w:val="none"/>
                <w:shd w:val="clear" w:color="auto" w:fill="auto"/>
              </w:rPr>
            </w:pPr>
            <w:r>
              <w:rPr>
                <w:rFonts w:hint="eastAsia" w:ascii="楷体" w:hAnsi="楷体" w:eastAsia="楷体" w:cs="楷体"/>
                <w:b/>
                <w:color w:val="auto"/>
                <w:sz w:val="24"/>
                <w:szCs w:val="24"/>
                <w:highlight w:val="none"/>
                <w:shd w:val="clear" w:color="auto" w:fill="auto"/>
              </w:rPr>
              <w:t>序号</w:t>
            </w:r>
          </w:p>
        </w:tc>
        <w:tc>
          <w:tcPr>
            <w:tcW w:w="1848" w:type="dxa"/>
            <w:noWrap w:val="0"/>
            <w:vAlign w:val="center"/>
          </w:tcPr>
          <w:p w14:paraId="49BAF811">
            <w:pPr>
              <w:spacing w:beforeAutospacing="0" w:afterAutospacing="0" w:line="240" w:lineRule="auto"/>
              <w:jc w:val="center"/>
              <w:rPr>
                <w:rFonts w:hint="eastAsia" w:ascii="楷体" w:hAnsi="楷体" w:eastAsia="楷体" w:cs="楷体"/>
                <w:b/>
                <w:color w:val="auto"/>
                <w:kern w:val="28"/>
                <w:sz w:val="24"/>
                <w:szCs w:val="24"/>
                <w:highlight w:val="none"/>
                <w:shd w:val="clear" w:color="auto" w:fill="auto"/>
              </w:rPr>
            </w:pPr>
            <w:r>
              <w:rPr>
                <w:rFonts w:hint="eastAsia" w:ascii="楷体" w:hAnsi="楷体" w:eastAsia="楷体" w:cs="楷体"/>
                <w:b/>
                <w:color w:val="auto"/>
                <w:kern w:val="28"/>
                <w:sz w:val="24"/>
                <w:szCs w:val="24"/>
                <w:highlight w:val="none"/>
                <w:shd w:val="clear" w:color="auto" w:fill="auto"/>
              </w:rPr>
              <w:t>资格审查项</w:t>
            </w:r>
          </w:p>
        </w:tc>
        <w:tc>
          <w:tcPr>
            <w:tcW w:w="6473" w:type="dxa"/>
            <w:noWrap w:val="0"/>
            <w:vAlign w:val="center"/>
          </w:tcPr>
          <w:p w14:paraId="70243E3B">
            <w:pPr>
              <w:spacing w:beforeAutospacing="0" w:afterAutospacing="0" w:line="240" w:lineRule="auto"/>
              <w:jc w:val="center"/>
              <w:rPr>
                <w:rFonts w:hint="eastAsia" w:ascii="楷体" w:hAnsi="楷体" w:eastAsia="楷体" w:cs="楷体"/>
                <w:b/>
                <w:color w:val="auto"/>
                <w:kern w:val="28"/>
                <w:sz w:val="24"/>
                <w:szCs w:val="24"/>
                <w:highlight w:val="none"/>
                <w:shd w:val="clear" w:color="auto" w:fill="auto"/>
              </w:rPr>
            </w:pPr>
            <w:r>
              <w:rPr>
                <w:rFonts w:hint="eastAsia" w:ascii="楷体" w:hAnsi="楷体" w:eastAsia="楷体" w:cs="楷体"/>
                <w:b/>
                <w:color w:val="auto"/>
                <w:kern w:val="28"/>
                <w:sz w:val="24"/>
                <w:szCs w:val="24"/>
                <w:highlight w:val="none"/>
                <w:shd w:val="clear" w:color="auto" w:fill="auto"/>
              </w:rPr>
              <w:t>通过条件</w:t>
            </w:r>
          </w:p>
        </w:tc>
      </w:tr>
      <w:tr w14:paraId="6DEADA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59" w:hRule="atLeast"/>
        </w:trPr>
        <w:tc>
          <w:tcPr>
            <w:tcW w:w="766" w:type="dxa"/>
            <w:noWrap w:val="0"/>
            <w:vAlign w:val="center"/>
          </w:tcPr>
          <w:p w14:paraId="6CB78FB4">
            <w:pPr>
              <w:spacing w:beforeAutospacing="0" w:afterAutospacing="0" w:line="240" w:lineRule="auto"/>
              <w:jc w:val="center"/>
              <w:rPr>
                <w:rFonts w:hint="eastAsia" w:ascii="楷体" w:hAnsi="楷体" w:eastAsia="楷体" w:cs="楷体"/>
                <w:bCs/>
                <w:sz w:val="24"/>
                <w:szCs w:val="24"/>
                <w:highlight w:val="none"/>
              </w:rPr>
            </w:pPr>
            <w:r>
              <w:rPr>
                <w:rFonts w:hint="eastAsia" w:ascii="楷体" w:hAnsi="楷体" w:eastAsia="楷体" w:cs="楷体"/>
                <w:bCs/>
                <w:sz w:val="24"/>
                <w:szCs w:val="24"/>
                <w:highlight w:val="none"/>
              </w:rPr>
              <w:t>1</w:t>
            </w:r>
          </w:p>
        </w:tc>
        <w:tc>
          <w:tcPr>
            <w:tcW w:w="1848" w:type="dxa"/>
            <w:noWrap w:val="0"/>
            <w:vAlign w:val="center"/>
          </w:tcPr>
          <w:p w14:paraId="6B8F14B6">
            <w:pPr>
              <w:spacing w:beforeAutospacing="0" w:afterAutospacing="0" w:line="240" w:lineRule="auto"/>
              <w:jc w:val="center"/>
              <w:rPr>
                <w:rFonts w:hint="eastAsia" w:ascii="楷体" w:hAnsi="楷体" w:eastAsia="楷体" w:cs="楷体"/>
                <w:kern w:val="28"/>
                <w:sz w:val="24"/>
                <w:szCs w:val="24"/>
                <w:highlight w:val="none"/>
              </w:rPr>
            </w:pPr>
            <w:r>
              <w:rPr>
                <w:rFonts w:hint="eastAsia" w:ascii="楷体" w:hAnsi="楷体" w:eastAsia="楷体" w:cs="楷体"/>
                <w:kern w:val="28"/>
                <w:sz w:val="24"/>
                <w:szCs w:val="24"/>
                <w:highlight w:val="none"/>
              </w:rPr>
              <w:t>营业执照等主体资格证明文件</w:t>
            </w:r>
          </w:p>
        </w:tc>
        <w:tc>
          <w:tcPr>
            <w:tcW w:w="6473" w:type="dxa"/>
            <w:noWrap w:val="0"/>
            <w:vAlign w:val="center"/>
          </w:tcPr>
          <w:p w14:paraId="71E31C33">
            <w:pPr>
              <w:spacing w:beforeAutospacing="0" w:afterAutospacing="0" w:line="240" w:lineRule="auto"/>
              <w:rPr>
                <w:rFonts w:hint="eastAsia" w:ascii="楷体" w:hAnsi="楷体" w:eastAsia="楷体" w:cs="楷体"/>
                <w:b w:val="0"/>
                <w:bCs/>
                <w:i w:val="0"/>
                <w:iCs w:val="0"/>
                <w:color w:val="333333"/>
                <w:spacing w:val="0"/>
                <w:sz w:val="24"/>
                <w:szCs w:val="24"/>
                <w:highlight w:val="none"/>
                <w:shd w:val="clear" w:color="auto" w:fill="FFFFFF"/>
                <w:vertAlign w:val="baseline"/>
              </w:rPr>
            </w:pPr>
            <w:r>
              <w:rPr>
                <w:rFonts w:hint="eastAsia" w:ascii="楷体" w:hAnsi="楷体" w:eastAsia="楷体" w:cs="楷体"/>
                <w:sz w:val="24"/>
                <w:szCs w:val="24"/>
                <w:highlight w:val="none"/>
              </w:rPr>
              <w:t>供应商必须是具有独立承担民事责任能力的法人、其他组织或自然人，并出具合法有效的营业执照或事业单位法人证书等国家规定的相关证明，自然人参与的提供其身份证明；  </w:t>
            </w:r>
          </w:p>
        </w:tc>
      </w:tr>
      <w:tr w14:paraId="59A09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8" w:hRule="atLeast"/>
        </w:trPr>
        <w:tc>
          <w:tcPr>
            <w:tcW w:w="766" w:type="dxa"/>
            <w:noWrap w:val="0"/>
            <w:vAlign w:val="center"/>
          </w:tcPr>
          <w:p w14:paraId="689BA84D">
            <w:pPr>
              <w:spacing w:beforeAutospacing="0" w:afterAutospacing="0" w:line="240" w:lineRule="auto"/>
              <w:jc w:val="center"/>
              <w:rPr>
                <w:rFonts w:hint="eastAsia" w:ascii="楷体" w:hAnsi="楷体" w:eastAsia="楷体" w:cs="楷体"/>
                <w:bCs/>
                <w:sz w:val="24"/>
                <w:szCs w:val="24"/>
                <w:highlight w:val="none"/>
              </w:rPr>
            </w:pPr>
            <w:r>
              <w:rPr>
                <w:rFonts w:hint="eastAsia" w:ascii="楷体" w:hAnsi="楷体" w:eastAsia="楷体" w:cs="楷体"/>
                <w:bCs/>
                <w:sz w:val="24"/>
                <w:szCs w:val="24"/>
                <w:highlight w:val="none"/>
              </w:rPr>
              <w:t>2</w:t>
            </w:r>
          </w:p>
        </w:tc>
        <w:tc>
          <w:tcPr>
            <w:tcW w:w="1848" w:type="dxa"/>
            <w:noWrap w:val="0"/>
            <w:vAlign w:val="center"/>
          </w:tcPr>
          <w:p w14:paraId="27E8FB2F">
            <w:pPr>
              <w:spacing w:beforeAutospacing="0" w:afterAutospacing="0" w:line="240" w:lineRule="auto"/>
              <w:jc w:val="center"/>
              <w:rPr>
                <w:rFonts w:hint="eastAsia" w:ascii="楷体" w:hAnsi="楷体" w:eastAsia="楷体" w:cs="楷体"/>
                <w:kern w:val="28"/>
                <w:sz w:val="24"/>
                <w:szCs w:val="24"/>
                <w:highlight w:val="none"/>
              </w:rPr>
            </w:pPr>
            <w:r>
              <w:rPr>
                <w:rFonts w:hint="eastAsia" w:ascii="楷体" w:hAnsi="楷体" w:eastAsia="楷体" w:cs="楷体"/>
                <w:kern w:val="28"/>
                <w:sz w:val="24"/>
                <w:szCs w:val="24"/>
                <w:highlight w:val="none"/>
              </w:rPr>
              <w:t>法定代表人授权委托书</w:t>
            </w:r>
          </w:p>
        </w:tc>
        <w:tc>
          <w:tcPr>
            <w:tcW w:w="6473" w:type="dxa"/>
            <w:noWrap w:val="0"/>
            <w:vAlign w:val="center"/>
          </w:tcPr>
          <w:p w14:paraId="5B8C13D7">
            <w:pPr>
              <w:spacing w:beforeAutospacing="0" w:afterAutospacing="0" w:line="240" w:lineRule="auto"/>
              <w:rPr>
                <w:rFonts w:hint="eastAsia" w:ascii="楷体" w:hAnsi="楷体" w:eastAsia="楷体" w:cs="楷体"/>
                <w:b w:val="0"/>
                <w:bCs/>
                <w:i w:val="0"/>
                <w:iCs w:val="0"/>
                <w:color w:val="333333"/>
                <w:spacing w:val="0"/>
                <w:sz w:val="24"/>
                <w:szCs w:val="24"/>
                <w:highlight w:val="none"/>
                <w:shd w:val="clear" w:color="auto" w:fill="FFFFFF"/>
                <w:vertAlign w:val="baseline"/>
              </w:rPr>
            </w:pPr>
            <w:r>
              <w:rPr>
                <w:rFonts w:hint="eastAsia" w:ascii="楷体" w:hAnsi="楷体" w:eastAsia="楷体" w:cs="楷体"/>
                <w:sz w:val="24"/>
                <w:szCs w:val="24"/>
                <w:highlight w:val="none"/>
              </w:rPr>
              <w:t>法定代表人委托授权书（法定代表人参加不需提供，但需要提供法定代表人身份证）及被授权人身份证；</w:t>
            </w:r>
          </w:p>
        </w:tc>
      </w:tr>
      <w:tr w14:paraId="1DF61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766" w:type="dxa"/>
            <w:noWrap w:val="0"/>
            <w:vAlign w:val="center"/>
          </w:tcPr>
          <w:p w14:paraId="45A7DA93">
            <w:pPr>
              <w:spacing w:beforeAutospacing="0" w:afterAutospacing="0" w:line="240" w:lineRule="auto"/>
              <w:jc w:val="center"/>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3</w:t>
            </w:r>
          </w:p>
        </w:tc>
        <w:tc>
          <w:tcPr>
            <w:tcW w:w="1848" w:type="dxa"/>
            <w:noWrap w:val="0"/>
            <w:vAlign w:val="center"/>
          </w:tcPr>
          <w:p w14:paraId="3A68D785">
            <w:pPr>
              <w:numPr>
                <w:ilvl w:val="0"/>
                <w:numId w:val="0"/>
              </w:numPr>
              <w:spacing w:beforeAutospacing="0" w:afterAutospacing="0" w:line="240" w:lineRule="auto"/>
              <w:ind w:left="0" w:leftChars="0" w:firstLine="0" w:firstLineChars="0"/>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资质证明</w:t>
            </w:r>
          </w:p>
        </w:tc>
        <w:tc>
          <w:tcPr>
            <w:tcW w:w="6473" w:type="dxa"/>
            <w:noWrap w:val="0"/>
            <w:vAlign w:val="center"/>
          </w:tcPr>
          <w:p w14:paraId="214B9896">
            <w:pPr>
              <w:numPr>
                <w:ilvl w:val="0"/>
                <w:numId w:val="0"/>
              </w:numPr>
              <w:spacing w:beforeAutospacing="0" w:afterAutospacing="0" w:line="240" w:lineRule="auto"/>
              <w:ind w:left="0" w:leftChars="0" w:firstLine="0" w:firstLineChars="0"/>
              <w:jc w:val="left"/>
              <w:rPr>
                <w:rFonts w:hint="eastAsia" w:ascii="楷体" w:hAnsi="楷体" w:eastAsia="楷体" w:cs="楷体"/>
                <w:b w:val="0"/>
                <w:bCs/>
                <w:i w:val="0"/>
                <w:iCs w:val="0"/>
                <w:color w:val="auto"/>
                <w:spacing w:val="0"/>
                <w:kern w:val="2"/>
                <w:sz w:val="24"/>
                <w:szCs w:val="24"/>
                <w:highlight w:val="none"/>
                <w:shd w:val="clear" w:color="auto" w:fill="FFFFFF"/>
                <w:vertAlign w:val="baseline"/>
                <w:lang w:val="en-US" w:eastAsia="zh-CN" w:bidi="ar-SA"/>
              </w:rPr>
            </w:pPr>
            <w:r>
              <w:rPr>
                <w:rFonts w:hint="eastAsia" w:ascii="楷体" w:hAnsi="楷体" w:eastAsia="楷体" w:cs="楷体"/>
                <w:b w:val="0"/>
                <w:bCs/>
                <w:i w:val="0"/>
                <w:iCs w:val="0"/>
                <w:color w:val="auto"/>
                <w:spacing w:val="0"/>
                <w:kern w:val="2"/>
                <w:sz w:val="24"/>
                <w:szCs w:val="24"/>
                <w:highlight w:val="none"/>
                <w:shd w:val="clear" w:color="auto" w:fill="FFFFFF"/>
                <w:vertAlign w:val="baseline"/>
                <w:lang w:val="en-US" w:eastAsia="zh-CN" w:bidi="ar-SA"/>
              </w:rPr>
              <w:t>供应商须提供产品制造商的《电子认证服务使用密码许可证》及《电子认证服务许可证》</w:t>
            </w:r>
          </w:p>
        </w:tc>
      </w:tr>
      <w:tr w14:paraId="0BC0D8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766" w:type="dxa"/>
            <w:noWrap w:val="0"/>
            <w:vAlign w:val="center"/>
          </w:tcPr>
          <w:p w14:paraId="7F94A05E">
            <w:pPr>
              <w:spacing w:beforeAutospacing="0" w:afterAutospacing="0" w:line="240" w:lineRule="auto"/>
              <w:jc w:val="center"/>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4</w:t>
            </w:r>
          </w:p>
        </w:tc>
        <w:tc>
          <w:tcPr>
            <w:tcW w:w="1848" w:type="dxa"/>
            <w:noWrap w:val="0"/>
            <w:vAlign w:val="center"/>
          </w:tcPr>
          <w:p w14:paraId="2BDE2C32">
            <w:pPr>
              <w:numPr>
                <w:ilvl w:val="0"/>
                <w:numId w:val="0"/>
              </w:numPr>
              <w:spacing w:beforeAutospacing="0" w:afterAutospacing="0" w:line="240" w:lineRule="auto"/>
              <w:ind w:left="0" w:leftChars="0" w:firstLine="0" w:firstLineChars="0"/>
              <w:jc w:val="center"/>
              <w:rPr>
                <w:rFonts w:hint="eastAsia" w:ascii="楷体" w:hAnsi="楷体" w:eastAsia="楷体" w:cs="楷体"/>
                <w:i w:val="0"/>
                <w:iCs w:val="0"/>
                <w:color w:val="auto"/>
                <w:spacing w:val="0"/>
                <w:kern w:val="2"/>
                <w:sz w:val="24"/>
                <w:szCs w:val="24"/>
                <w:highlight w:val="none"/>
                <w:shd w:val="clear" w:color="auto" w:fill="FFFFFF"/>
                <w:vertAlign w:val="baseline"/>
                <w:lang w:val="en-US" w:eastAsia="zh-CN" w:bidi="ar-SA"/>
              </w:rPr>
            </w:pPr>
            <w:r>
              <w:rPr>
                <w:rFonts w:hint="eastAsia" w:ascii="楷体" w:hAnsi="楷体" w:eastAsia="楷体" w:cs="楷体"/>
                <w:sz w:val="24"/>
                <w:szCs w:val="24"/>
                <w:highlight w:val="none"/>
              </w:rPr>
              <w:t>供应商必须拥有良好的商业信誉</w:t>
            </w:r>
          </w:p>
        </w:tc>
        <w:tc>
          <w:tcPr>
            <w:tcW w:w="6473" w:type="dxa"/>
            <w:noWrap w:val="0"/>
            <w:vAlign w:val="center"/>
          </w:tcPr>
          <w:p w14:paraId="280D363F">
            <w:pPr>
              <w:numPr>
                <w:ilvl w:val="0"/>
                <w:numId w:val="0"/>
              </w:numPr>
              <w:spacing w:beforeAutospacing="0" w:afterAutospacing="0" w:line="240" w:lineRule="auto"/>
              <w:ind w:left="0" w:leftChars="0" w:firstLine="0" w:firstLineChars="0"/>
              <w:jc w:val="left"/>
              <w:rPr>
                <w:rFonts w:hint="eastAsia" w:ascii="楷体" w:hAnsi="楷体" w:eastAsia="楷体" w:cs="楷体"/>
                <w:b w:val="0"/>
                <w:bCs/>
                <w:i w:val="0"/>
                <w:iCs w:val="0"/>
                <w:color w:val="auto"/>
                <w:spacing w:val="0"/>
                <w:kern w:val="2"/>
                <w:sz w:val="24"/>
                <w:szCs w:val="24"/>
                <w:highlight w:val="none"/>
                <w:shd w:val="clear" w:color="auto" w:fill="FFFFFF"/>
                <w:vertAlign w:val="baseline"/>
                <w:lang w:val="en-US" w:eastAsia="zh-CN" w:bidi="ar-SA"/>
              </w:rPr>
            </w:pPr>
            <w:r>
              <w:rPr>
                <w:rFonts w:hint="eastAsia" w:ascii="楷体" w:hAnsi="楷体" w:eastAsia="楷体" w:cs="楷体"/>
                <w:b w:val="0"/>
                <w:bCs/>
                <w:i w:val="0"/>
                <w:iCs w:val="0"/>
                <w:color w:val="auto"/>
                <w:spacing w:val="0"/>
                <w:kern w:val="2"/>
                <w:sz w:val="24"/>
                <w:szCs w:val="24"/>
                <w:highlight w:val="none"/>
                <w:shd w:val="clear" w:color="auto" w:fill="FFFFFF"/>
                <w:vertAlign w:val="baseline"/>
                <w:lang w:val="en-US" w:eastAsia="zh-CN" w:bidi="ar-SA"/>
              </w:rPr>
              <w:t>供应商必须拥有良好的商业信誉（须提供经具有财务审计资质单位出具的完整的2024年或2025年度财务审计报告或投标文件截止时间前三个月内其基本存款账户开户银行出具的资信证明；成立时间至提交投标文件截止时间不足一年的可提供投标文件截止时间前三个月内其基本存款账户开户银行出具的资信证明或提供成立后任意时段的资产负债表；）</w:t>
            </w:r>
          </w:p>
        </w:tc>
      </w:tr>
      <w:tr w14:paraId="45F6B7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766" w:type="dxa"/>
            <w:noWrap w:val="0"/>
            <w:vAlign w:val="center"/>
          </w:tcPr>
          <w:p w14:paraId="5F796487">
            <w:pPr>
              <w:spacing w:beforeAutospacing="0" w:afterAutospacing="0" w:line="240" w:lineRule="auto"/>
              <w:jc w:val="center"/>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5</w:t>
            </w:r>
          </w:p>
        </w:tc>
        <w:tc>
          <w:tcPr>
            <w:tcW w:w="1848" w:type="dxa"/>
            <w:noWrap w:val="0"/>
            <w:vAlign w:val="center"/>
          </w:tcPr>
          <w:p w14:paraId="66FEA524">
            <w:pPr>
              <w:numPr>
                <w:ilvl w:val="0"/>
                <w:numId w:val="0"/>
              </w:numPr>
              <w:spacing w:beforeAutospacing="0" w:afterAutospacing="0" w:line="240" w:lineRule="auto"/>
              <w:ind w:left="0" w:leftChars="0" w:firstLine="0" w:firstLine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纳税缴纳证明</w:t>
            </w:r>
          </w:p>
        </w:tc>
        <w:tc>
          <w:tcPr>
            <w:tcW w:w="6473" w:type="dxa"/>
            <w:noWrap w:val="0"/>
            <w:vAlign w:val="center"/>
          </w:tcPr>
          <w:p w14:paraId="24D06658">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提供投标截止日前一年内已缴纳的至少</w:t>
            </w:r>
            <w:r>
              <w:rPr>
                <w:rFonts w:hint="eastAsia" w:ascii="楷体" w:hAnsi="楷体" w:eastAsia="楷体" w:cs="楷体"/>
                <w:sz w:val="24"/>
                <w:szCs w:val="24"/>
                <w:highlight w:val="none"/>
                <w:lang w:eastAsia="zh-CN"/>
              </w:rPr>
              <w:t>一</w:t>
            </w:r>
            <w:r>
              <w:rPr>
                <w:rFonts w:hint="eastAsia" w:ascii="楷体" w:hAnsi="楷体" w:eastAsia="楷体" w:cs="楷体"/>
                <w:sz w:val="24"/>
                <w:szCs w:val="24"/>
                <w:highlight w:val="none"/>
              </w:rPr>
              <w:t>个月的纳税证明或完税证明（任意税种），依法免税的单位应提供相关证明材料；</w:t>
            </w:r>
          </w:p>
        </w:tc>
      </w:tr>
      <w:tr w14:paraId="7DC9AC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766" w:type="dxa"/>
            <w:noWrap w:val="0"/>
            <w:vAlign w:val="center"/>
          </w:tcPr>
          <w:p w14:paraId="01EA5E41">
            <w:pPr>
              <w:spacing w:beforeAutospacing="0" w:afterAutospacing="0" w:line="240" w:lineRule="auto"/>
              <w:jc w:val="center"/>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6</w:t>
            </w:r>
          </w:p>
        </w:tc>
        <w:tc>
          <w:tcPr>
            <w:tcW w:w="1848" w:type="dxa"/>
            <w:noWrap w:val="0"/>
            <w:vAlign w:val="center"/>
          </w:tcPr>
          <w:p w14:paraId="0D0993AD">
            <w:pPr>
              <w:numPr>
                <w:ilvl w:val="0"/>
                <w:numId w:val="0"/>
              </w:numPr>
              <w:spacing w:beforeAutospacing="0" w:afterAutospacing="0" w:line="240" w:lineRule="auto"/>
              <w:ind w:left="0" w:leftChars="0" w:firstLine="0" w:firstLine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社保缴纳证明</w:t>
            </w:r>
          </w:p>
        </w:tc>
        <w:tc>
          <w:tcPr>
            <w:tcW w:w="6473" w:type="dxa"/>
            <w:noWrap w:val="0"/>
            <w:vAlign w:val="center"/>
          </w:tcPr>
          <w:p w14:paraId="1A7B01FF">
            <w:pPr>
              <w:numPr>
                <w:ilvl w:val="0"/>
                <w:numId w:val="0"/>
              </w:numPr>
              <w:spacing w:beforeAutospacing="0" w:afterAutospacing="0" w:line="240" w:lineRule="auto"/>
              <w:ind w:left="0" w:leftChars="0" w:firstLine="0" w:firstLineChars="0"/>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提供投标截止日前一年内已缴存的至少三个月的社会保障资金缴存单据或社保机构开具的社会保险参保缴费情况证明，依法不需要缴纳社会保障资金的单位应提供相关证明材料；</w:t>
            </w:r>
          </w:p>
        </w:tc>
      </w:tr>
      <w:tr w14:paraId="7D1D9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766" w:type="dxa"/>
            <w:noWrap w:val="0"/>
            <w:vAlign w:val="center"/>
          </w:tcPr>
          <w:p w14:paraId="3D336FD8">
            <w:pPr>
              <w:spacing w:beforeAutospacing="0" w:afterAutospacing="0" w:line="240" w:lineRule="auto"/>
              <w:jc w:val="center"/>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7</w:t>
            </w:r>
          </w:p>
        </w:tc>
        <w:tc>
          <w:tcPr>
            <w:tcW w:w="1848" w:type="dxa"/>
            <w:noWrap w:val="0"/>
            <w:vAlign w:val="center"/>
          </w:tcPr>
          <w:p w14:paraId="0554F3ED">
            <w:pPr>
              <w:numPr>
                <w:ilvl w:val="0"/>
                <w:numId w:val="0"/>
              </w:numPr>
              <w:spacing w:beforeAutospacing="0" w:afterAutospacing="0" w:line="240" w:lineRule="auto"/>
              <w:ind w:left="0" w:leftChars="0" w:firstLine="0" w:firstLine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承诺书</w:t>
            </w:r>
          </w:p>
        </w:tc>
        <w:tc>
          <w:tcPr>
            <w:tcW w:w="6473" w:type="dxa"/>
            <w:noWrap w:val="0"/>
            <w:vAlign w:val="center"/>
          </w:tcPr>
          <w:p w14:paraId="4F7C4AEC">
            <w:pPr>
              <w:numPr>
                <w:ilvl w:val="0"/>
                <w:numId w:val="0"/>
              </w:numPr>
              <w:spacing w:beforeAutospacing="0" w:afterAutospacing="0" w:line="240" w:lineRule="auto"/>
              <w:ind w:leftChars="0"/>
              <w:jc w:val="left"/>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1）</w:t>
            </w:r>
            <w:r>
              <w:rPr>
                <w:rFonts w:hint="eastAsia" w:ascii="楷体" w:hAnsi="楷体" w:eastAsia="楷体" w:cs="楷体"/>
                <w:sz w:val="24"/>
                <w:szCs w:val="24"/>
                <w:highlight w:val="none"/>
              </w:rPr>
              <w:t xml:space="preserve">提供参加政府采购活动前三年内，在经营活动中没有重大违法记录书面声明； </w:t>
            </w:r>
          </w:p>
          <w:p w14:paraId="2EB2389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楷体" w:hAnsi="楷体" w:eastAsia="楷体" w:cs="楷体"/>
                <w:highlight w:val="none"/>
              </w:rPr>
            </w:pPr>
            <w:r>
              <w:rPr>
                <w:rFonts w:hint="eastAsia" w:ascii="楷体" w:hAnsi="楷体" w:eastAsia="楷体" w:cs="楷体"/>
                <w:sz w:val="24"/>
                <w:szCs w:val="24"/>
                <w:highlight w:val="none"/>
                <w:lang w:val="en-US" w:eastAsia="zh-CN"/>
              </w:rPr>
              <w:t>2）</w:t>
            </w:r>
            <w:r>
              <w:rPr>
                <w:rFonts w:hint="eastAsia" w:ascii="楷体" w:hAnsi="楷体" w:eastAsia="楷体" w:cs="楷体"/>
                <w:sz w:val="24"/>
                <w:szCs w:val="24"/>
                <w:highlight w:val="none"/>
              </w:rPr>
              <w:t>提供具有履行合同所必需的设备和专业技术能力的承诺书；</w:t>
            </w:r>
          </w:p>
        </w:tc>
      </w:tr>
      <w:tr w14:paraId="2AE930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766" w:type="dxa"/>
            <w:noWrap w:val="0"/>
            <w:vAlign w:val="center"/>
          </w:tcPr>
          <w:p w14:paraId="5EF89B5B">
            <w:pPr>
              <w:spacing w:beforeAutospacing="0" w:afterAutospacing="0" w:line="240" w:lineRule="auto"/>
              <w:jc w:val="center"/>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8</w:t>
            </w:r>
          </w:p>
        </w:tc>
        <w:tc>
          <w:tcPr>
            <w:tcW w:w="1848" w:type="dxa"/>
            <w:noWrap w:val="0"/>
            <w:vAlign w:val="center"/>
          </w:tcPr>
          <w:p w14:paraId="6F678AFF">
            <w:pPr>
              <w:spacing w:beforeAutospacing="0" w:afterAutospacing="0" w:line="240" w:lineRule="auto"/>
              <w:jc w:val="center"/>
              <w:rPr>
                <w:rFonts w:hint="eastAsia" w:ascii="楷体" w:hAnsi="楷体" w:eastAsia="楷体" w:cs="楷体"/>
                <w:kern w:val="28"/>
                <w:sz w:val="24"/>
                <w:szCs w:val="24"/>
                <w:highlight w:val="none"/>
                <w:lang w:eastAsia="zh-CN"/>
              </w:rPr>
            </w:pPr>
            <w:r>
              <w:rPr>
                <w:rFonts w:hint="eastAsia" w:ascii="楷体" w:hAnsi="楷体" w:eastAsia="楷体" w:cs="楷体"/>
                <w:kern w:val="28"/>
                <w:sz w:val="24"/>
                <w:szCs w:val="24"/>
                <w:highlight w:val="none"/>
                <w:lang w:eastAsia="zh-CN"/>
              </w:rPr>
              <w:t>信用记录</w:t>
            </w:r>
          </w:p>
        </w:tc>
        <w:tc>
          <w:tcPr>
            <w:tcW w:w="6473" w:type="dxa"/>
            <w:noWrap w:val="0"/>
            <w:vAlign w:val="center"/>
          </w:tcPr>
          <w:p w14:paraId="4E8D6BE2">
            <w:pPr>
              <w:numPr>
                <w:ilvl w:val="0"/>
                <w:numId w:val="0"/>
              </w:numPr>
              <w:spacing w:beforeAutospacing="0" w:afterAutospacing="0" w:line="240" w:lineRule="auto"/>
              <w:ind w:left="0" w:leftChars="0" w:firstLine="0" w:firstLineChars="0"/>
              <w:jc w:val="left"/>
              <w:rPr>
                <w:rFonts w:hint="eastAsia" w:ascii="楷体" w:hAnsi="楷体" w:eastAsia="楷体" w:cs="楷体"/>
                <w:kern w:val="28"/>
                <w:sz w:val="24"/>
                <w:szCs w:val="24"/>
                <w:highlight w:val="none"/>
                <w:lang w:val="en-US" w:eastAsia="zh-CN"/>
              </w:rPr>
            </w:pPr>
            <w:r>
              <w:rPr>
                <w:rFonts w:hint="eastAsia" w:ascii="楷体" w:hAnsi="楷体" w:eastAsia="楷体" w:cs="楷体"/>
                <w:sz w:val="24"/>
                <w:szCs w:val="24"/>
                <w:highlight w:val="none"/>
              </w:rPr>
              <w:t>递交投标文件截止时间前被“信用中国”网站（www.creditchina.gov.cn）和中国政府采购网（www.ccgp.gov.cn）上</w:t>
            </w:r>
            <w:r>
              <w:rPr>
                <w:rFonts w:hint="eastAsia" w:ascii="楷体" w:hAnsi="楷体" w:eastAsia="楷体" w:cs="楷体"/>
                <w:sz w:val="24"/>
                <w:szCs w:val="24"/>
                <w:highlight w:val="none"/>
                <w:lang w:eastAsia="zh-CN"/>
              </w:rPr>
              <w:t>未</w:t>
            </w:r>
            <w:r>
              <w:rPr>
                <w:rFonts w:hint="eastAsia" w:ascii="楷体" w:hAnsi="楷体" w:eastAsia="楷体" w:cs="楷体"/>
                <w:sz w:val="24"/>
                <w:szCs w:val="24"/>
                <w:highlight w:val="none"/>
              </w:rPr>
              <w:t>被列入失信被执行人、重大税收违法失信主体、政府采购严重违法失信行为记录名单</w:t>
            </w:r>
          </w:p>
        </w:tc>
      </w:tr>
      <w:tr w14:paraId="382FC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4" w:hRule="atLeast"/>
        </w:trPr>
        <w:tc>
          <w:tcPr>
            <w:tcW w:w="766" w:type="dxa"/>
            <w:noWrap w:val="0"/>
            <w:vAlign w:val="center"/>
          </w:tcPr>
          <w:p w14:paraId="3AAB4C9B">
            <w:pPr>
              <w:spacing w:beforeAutospacing="0" w:afterAutospacing="0" w:line="240" w:lineRule="auto"/>
              <w:jc w:val="center"/>
              <w:rPr>
                <w:rFonts w:hint="eastAsia" w:ascii="楷体" w:hAnsi="楷体" w:eastAsia="楷体" w:cs="楷体"/>
                <w:bCs/>
                <w:sz w:val="24"/>
                <w:szCs w:val="24"/>
                <w:highlight w:val="none"/>
                <w:lang w:val="en-US" w:eastAsia="zh-CN"/>
              </w:rPr>
            </w:pPr>
            <w:r>
              <w:rPr>
                <w:rFonts w:hint="eastAsia" w:ascii="楷体" w:hAnsi="楷体" w:eastAsia="楷体" w:cs="楷体"/>
                <w:bCs/>
                <w:sz w:val="24"/>
                <w:szCs w:val="24"/>
                <w:highlight w:val="none"/>
                <w:lang w:val="en-US" w:eastAsia="zh-CN"/>
              </w:rPr>
              <w:t>9</w:t>
            </w:r>
          </w:p>
        </w:tc>
        <w:tc>
          <w:tcPr>
            <w:tcW w:w="1848" w:type="dxa"/>
            <w:shd w:val="clear" w:color="auto" w:fill="auto"/>
            <w:noWrap w:val="0"/>
            <w:vAlign w:val="center"/>
          </w:tcPr>
          <w:p w14:paraId="2B3316AC">
            <w:pPr>
              <w:spacing w:beforeAutospacing="0" w:afterAutospacing="0" w:line="240" w:lineRule="auto"/>
              <w:jc w:val="center"/>
              <w:rPr>
                <w:rFonts w:hint="eastAsia" w:ascii="楷体" w:hAnsi="楷体" w:eastAsia="楷体" w:cs="楷体"/>
                <w:kern w:val="28"/>
                <w:sz w:val="24"/>
                <w:szCs w:val="24"/>
                <w:highlight w:val="none"/>
                <w:lang w:val="en-US" w:eastAsia="zh-CN" w:bidi="ar-SA"/>
              </w:rPr>
            </w:pPr>
            <w:r>
              <w:rPr>
                <w:rFonts w:hint="eastAsia" w:ascii="楷体" w:hAnsi="楷体" w:eastAsia="楷体" w:cs="楷体"/>
                <w:kern w:val="28"/>
                <w:sz w:val="24"/>
                <w:szCs w:val="24"/>
                <w:highlight w:val="none"/>
              </w:rPr>
              <w:t>本项目不接受联合体投标</w:t>
            </w:r>
          </w:p>
        </w:tc>
        <w:tc>
          <w:tcPr>
            <w:tcW w:w="6473" w:type="dxa"/>
            <w:shd w:val="clear" w:color="auto" w:fill="auto"/>
            <w:noWrap w:val="0"/>
            <w:vAlign w:val="center"/>
          </w:tcPr>
          <w:p w14:paraId="74708199">
            <w:pPr>
              <w:numPr>
                <w:ilvl w:val="0"/>
                <w:numId w:val="0"/>
              </w:numPr>
              <w:spacing w:beforeAutospacing="0" w:afterAutospacing="0" w:line="240" w:lineRule="auto"/>
              <w:ind w:left="0" w:leftChars="0" w:firstLine="0" w:firstLineChars="0"/>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8"/>
                <w:sz w:val="24"/>
                <w:szCs w:val="24"/>
                <w:highlight w:val="none"/>
                <w:lang w:val="en-US" w:eastAsia="zh-CN"/>
              </w:rPr>
              <w:t>提供非联合体声明函；</w:t>
            </w:r>
          </w:p>
        </w:tc>
      </w:tr>
    </w:tbl>
    <w:p w14:paraId="6A430B1B">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rPr>
      </w:pPr>
      <w:r>
        <w:rPr>
          <w:rFonts w:hint="eastAsia" w:ascii="楷体" w:hAnsi="楷体" w:eastAsia="楷体" w:cs="楷体"/>
          <w:b/>
          <w:bCs/>
          <w:sz w:val="24"/>
          <w:szCs w:val="24"/>
          <w:highlight w:val="none"/>
          <w:lang w:val="en-US" w:eastAsia="zh-CN"/>
        </w:rPr>
        <w:t>1、</w:t>
      </w:r>
      <w:r>
        <w:rPr>
          <w:rFonts w:hint="eastAsia" w:ascii="楷体" w:hAnsi="楷体" w:eastAsia="楷体" w:cs="楷体"/>
          <w:b/>
          <w:bCs/>
          <w:sz w:val="24"/>
          <w:szCs w:val="24"/>
          <w:highlight w:val="none"/>
        </w:rPr>
        <w:t>出现下列情形的，响应文件将被视为无效：</w:t>
      </w:r>
    </w:p>
    <w:p w14:paraId="4C23F04F">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（1）不具备磋商文件中规定的资格要求的；</w:t>
      </w:r>
    </w:p>
    <w:p w14:paraId="1D2816D3">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（2）未按磋商文件要求提供资格证明文件，或未按磋商文件要求加盖公章的；</w:t>
      </w:r>
    </w:p>
    <w:p w14:paraId="3F754D38">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（3）磋商小组认为供应商的资格证明文件存在疑点，要求供应商提供更清晰有效的证明文件，供应商不能在规定时限内提供符合磋商文件要求的证明文件的。</w:t>
      </w:r>
    </w:p>
    <w:p w14:paraId="632B175B">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资格审查结束后，磋商小组成员应当对审查结果进行签字确认，并告知有关供应商未通过审查的原因。</w:t>
      </w:r>
    </w:p>
    <w:p w14:paraId="2591F7C1">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通过资格审查的供应商不足3家的，不得进行符合性审查，应予以废标。</w:t>
      </w:r>
    </w:p>
    <w:p w14:paraId="612935D1">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2、响应文件的符合性审查</w:t>
      </w:r>
    </w:p>
    <w:p w14:paraId="4056E3C0">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磋商小组依据磋商文件的规定，对响应文件的有效性、完整性和对磋商文件的响应程度进行审查，以确定是否对磋商文件的全部实质性要求做出响应。</w:t>
      </w:r>
    </w:p>
    <w:p w14:paraId="396E55A4">
      <w:pPr>
        <w:keepNext w:val="0"/>
        <w:keepLines w:val="0"/>
        <w:pageBreakBefore w:val="0"/>
        <w:widowControl/>
        <w:tabs>
          <w:tab w:val="center" w:pos="4153"/>
          <w:tab w:val="right" w:pos="8306"/>
        </w:tabs>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磋商小组要审查每份响应文件是否实质上响应了磋商文件的要求。实质上没有响应磋商文件要求的响应文件作</w:t>
      </w:r>
      <w:r>
        <w:rPr>
          <w:rFonts w:hint="eastAsia" w:ascii="楷体" w:hAnsi="楷体" w:eastAsia="楷体" w:cs="楷体"/>
          <w:b/>
          <w:bCs/>
          <w:sz w:val="24"/>
          <w:szCs w:val="24"/>
          <w:highlight w:val="none"/>
        </w:rPr>
        <w:t>无效响应处理</w:t>
      </w:r>
      <w:r>
        <w:rPr>
          <w:rFonts w:hint="eastAsia" w:ascii="楷体" w:hAnsi="楷体" w:eastAsia="楷体" w:cs="楷体"/>
          <w:sz w:val="24"/>
          <w:szCs w:val="24"/>
          <w:highlight w:val="none"/>
        </w:rPr>
        <w:t>，磋商小组应告知有关供应商未通过审查的原因。供应商不得通过修正或撤销不符之处而使其成为实质上响应。</w:t>
      </w:r>
    </w:p>
    <w:p w14:paraId="5320B4C8">
      <w:pPr>
        <w:jc w:val="center"/>
        <w:rPr>
          <w:rFonts w:hint="eastAsia" w:ascii="楷体" w:hAnsi="楷体" w:eastAsia="楷体" w:cs="楷体"/>
          <w:b/>
          <w:bCs/>
          <w:sz w:val="24"/>
          <w:szCs w:val="28"/>
          <w:highlight w:val="none"/>
        </w:rPr>
      </w:pPr>
      <w:r>
        <w:rPr>
          <w:rFonts w:hint="eastAsia" w:ascii="楷体" w:hAnsi="楷体" w:eastAsia="楷体" w:cs="楷体"/>
          <w:b/>
          <w:bCs/>
          <w:sz w:val="24"/>
          <w:szCs w:val="28"/>
          <w:highlight w:val="none"/>
        </w:rPr>
        <w:t>符合性审查</w:t>
      </w:r>
    </w:p>
    <w:tbl>
      <w:tblPr>
        <w:tblStyle w:val="28"/>
        <w:tblW w:w="91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1697"/>
        <w:gridCol w:w="4172"/>
        <w:gridCol w:w="910"/>
        <w:gridCol w:w="1440"/>
      </w:tblGrid>
      <w:tr w14:paraId="23519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883" w:type="dxa"/>
            <w:noWrap w:val="0"/>
            <w:vAlign w:val="center"/>
          </w:tcPr>
          <w:p w14:paraId="1494991B">
            <w:pPr>
              <w:spacing w:line="240" w:lineRule="auto"/>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序号</w:t>
            </w:r>
          </w:p>
        </w:tc>
        <w:tc>
          <w:tcPr>
            <w:tcW w:w="1697" w:type="dxa"/>
            <w:noWrap w:val="0"/>
            <w:vAlign w:val="center"/>
          </w:tcPr>
          <w:p w14:paraId="08F36712">
            <w:pPr>
              <w:spacing w:line="240" w:lineRule="auto"/>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符合性审查项</w:t>
            </w:r>
          </w:p>
        </w:tc>
        <w:tc>
          <w:tcPr>
            <w:tcW w:w="4172" w:type="dxa"/>
            <w:noWrap w:val="0"/>
            <w:vAlign w:val="center"/>
          </w:tcPr>
          <w:p w14:paraId="41AC514F">
            <w:pPr>
              <w:spacing w:line="240" w:lineRule="auto"/>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通过条件</w:t>
            </w:r>
          </w:p>
        </w:tc>
        <w:tc>
          <w:tcPr>
            <w:tcW w:w="910" w:type="dxa"/>
            <w:noWrap w:val="0"/>
            <w:vAlign w:val="center"/>
          </w:tcPr>
          <w:p w14:paraId="00CE2B04">
            <w:pPr>
              <w:spacing w:line="240" w:lineRule="auto"/>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结论</w:t>
            </w:r>
          </w:p>
        </w:tc>
        <w:tc>
          <w:tcPr>
            <w:tcW w:w="1440" w:type="dxa"/>
            <w:noWrap w:val="0"/>
            <w:vAlign w:val="center"/>
          </w:tcPr>
          <w:p w14:paraId="474E6689">
            <w:pPr>
              <w:spacing w:line="240" w:lineRule="auto"/>
              <w:jc w:val="center"/>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lang w:eastAsia="zh-CN"/>
              </w:rPr>
              <w:t>未通过原因</w:t>
            </w:r>
          </w:p>
        </w:tc>
      </w:tr>
      <w:tr w14:paraId="2BA7C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jc w:val="center"/>
        </w:trPr>
        <w:tc>
          <w:tcPr>
            <w:tcW w:w="883" w:type="dxa"/>
            <w:noWrap w:val="0"/>
            <w:vAlign w:val="center"/>
          </w:tcPr>
          <w:p w14:paraId="471495A9">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1</w:t>
            </w:r>
          </w:p>
        </w:tc>
        <w:tc>
          <w:tcPr>
            <w:tcW w:w="1697" w:type="dxa"/>
            <w:noWrap w:val="0"/>
            <w:vAlign w:val="center"/>
          </w:tcPr>
          <w:p w14:paraId="6B60E444">
            <w:pPr>
              <w:spacing w:line="240" w:lineRule="auto"/>
              <w:jc w:val="left"/>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响应文件语言及有效期</w:t>
            </w:r>
          </w:p>
        </w:tc>
        <w:tc>
          <w:tcPr>
            <w:tcW w:w="4172" w:type="dxa"/>
            <w:noWrap w:val="0"/>
            <w:vAlign w:val="center"/>
          </w:tcPr>
          <w:p w14:paraId="67F6F2B1">
            <w:pPr>
              <w:spacing w:line="240" w:lineRule="auto"/>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响应文件语言</w:t>
            </w:r>
            <w:r>
              <w:rPr>
                <w:rFonts w:hint="eastAsia" w:ascii="楷体" w:hAnsi="楷体" w:eastAsia="楷体" w:cs="楷体"/>
                <w:bCs/>
                <w:kern w:val="0"/>
                <w:sz w:val="24"/>
                <w:szCs w:val="24"/>
                <w:highlight w:val="none"/>
              </w:rPr>
              <w:t>及有效期</w:t>
            </w:r>
            <w:r>
              <w:rPr>
                <w:rFonts w:hint="eastAsia" w:ascii="楷体" w:hAnsi="楷体" w:eastAsia="楷体" w:cs="楷体"/>
                <w:sz w:val="24"/>
                <w:szCs w:val="24"/>
                <w:highlight w:val="none"/>
              </w:rPr>
              <w:t>符合磋商文件要求。</w:t>
            </w:r>
          </w:p>
        </w:tc>
        <w:tc>
          <w:tcPr>
            <w:tcW w:w="910" w:type="dxa"/>
            <w:noWrap w:val="0"/>
            <w:vAlign w:val="center"/>
          </w:tcPr>
          <w:p w14:paraId="28B4126E">
            <w:pPr>
              <w:spacing w:line="240" w:lineRule="auto"/>
              <w:jc w:val="center"/>
              <w:rPr>
                <w:rFonts w:hint="eastAsia" w:ascii="楷体" w:hAnsi="楷体" w:eastAsia="楷体" w:cs="楷体"/>
                <w:b/>
                <w:bCs/>
                <w:kern w:val="0"/>
                <w:sz w:val="24"/>
                <w:szCs w:val="24"/>
                <w:highlight w:val="none"/>
              </w:rPr>
            </w:pPr>
          </w:p>
        </w:tc>
        <w:tc>
          <w:tcPr>
            <w:tcW w:w="1440" w:type="dxa"/>
            <w:noWrap w:val="0"/>
            <w:vAlign w:val="center"/>
          </w:tcPr>
          <w:p w14:paraId="7C3E5154">
            <w:pPr>
              <w:spacing w:line="240" w:lineRule="auto"/>
              <w:jc w:val="center"/>
              <w:rPr>
                <w:rFonts w:hint="eastAsia" w:ascii="楷体" w:hAnsi="楷体" w:eastAsia="楷体" w:cs="楷体"/>
                <w:b/>
                <w:bCs/>
                <w:kern w:val="0"/>
                <w:sz w:val="24"/>
                <w:szCs w:val="24"/>
                <w:highlight w:val="none"/>
              </w:rPr>
            </w:pPr>
          </w:p>
        </w:tc>
      </w:tr>
      <w:tr w14:paraId="129C7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883" w:type="dxa"/>
            <w:noWrap w:val="0"/>
            <w:vAlign w:val="center"/>
          </w:tcPr>
          <w:p w14:paraId="50A61E97">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2</w:t>
            </w:r>
          </w:p>
        </w:tc>
        <w:tc>
          <w:tcPr>
            <w:tcW w:w="1697" w:type="dxa"/>
            <w:noWrap w:val="0"/>
            <w:vAlign w:val="center"/>
          </w:tcPr>
          <w:p w14:paraId="4A778CEA">
            <w:pPr>
              <w:spacing w:line="240" w:lineRule="auto"/>
              <w:jc w:val="left"/>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响应文件封面、响应函、法定代表人授权委托书三处的项目名称、项目编号、标段（如有）</w:t>
            </w:r>
          </w:p>
        </w:tc>
        <w:tc>
          <w:tcPr>
            <w:tcW w:w="4172" w:type="dxa"/>
            <w:noWrap w:val="0"/>
            <w:vAlign w:val="center"/>
          </w:tcPr>
          <w:p w14:paraId="181FD924">
            <w:pPr>
              <w:spacing w:line="240" w:lineRule="auto"/>
              <w:jc w:val="left"/>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三处均无遗漏，且与所投项目名称、项目编号、标段（如有）一致。</w:t>
            </w:r>
          </w:p>
        </w:tc>
        <w:tc>
          <w:tcPr>
            <w:tcW w:w="910" w:type="dxa"/>
            <w:noWrap w:val="0"/>
            <w:vAlign w:val="center"/>
          </w:tcPr>
          <w:p w14:paraId="7B224799">
            <w:pPr>
              <w:spacing w:line="240" w:lineRule="auto"/>
              <w:jc w:val="center"/>
              <w:rPr>
                <w:rFonts w:hint="eastAsia" w:ascii="楷体" w:hAnsi="楷体" w:eastAsia="楷体" w:cs="楷体"/>
                <w:b/>
                <w:bCs/>
                <w:kern w:val="0"/>
                <w:sz w:val="24"/>
                <w:szCs w:val="24"/>
                <w:highlight w:val="none"/>
              </w:rPr>
            </w:pPr>
          </w:p>
        </w:tc>
        <w:tc>
          <w:tcPr>
            <w:tcW w:w="1440" w:type="dxa"/>
            <w:noWrap w:val="0"/>
            <w:vAlign w:val="center"/>
          </w:tcPr>
          <w:p w14:paraId="023DD4B2">
            <w:pPr>
              <w:spacing w:line="240" w:lineRule="auto"/>
              <w:jc w:val="center"/>
              <w:rPr>
                <w:rFonts w:hint="eastAsia" w:ascii="楷体" w:hAnsi="楷体" w:eastAsia="楷体" w:cs="楷体"/>
                <w:b/>
                <w:bCs/>
                <w:kern w:val="0"/>
                <w:sz w:val="24"/>
                <w:szCs w:val="24"/>
                <w:highlight w:val="none"/>
              </w:rPr>
            </w:pPr>
          </w:p>
        </w:tc>
      </w:tr>
      <w:tr w14:paraId="62295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3" w:type="dxa"/>
            <w:noWrap w:val="0"/>
            <w:vAlign w:val="center"/>
          </w:tcPr>
          <w:p w14:paraId="0C36B3D4">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3</w:t>
            </w:r>
          </w:p>
        </w:tc>
        <w:tc>
          <w:tcPr>
            <w:tcW w:w="1697" w:type="dxa"/>
            <w:noWrap w:val="0"/>
            <w:vAlign w:val="center"/>
          </w:tcPr>
          <w:p w14:paraId="5F49BC2E">
            <w:pPr>
              <w:spacing w:line="240" w:lineRule="auto"/>
              <w:jc w:val="left"/>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响应文件签署、盖章</w:t>
            </w:r>
          </w:p>
        </w:tc>
        <w:tc>
          <w:tcPr>
            <w:tcW w:w="4172" w:type="dxa"/>
            <w:noWrap w:val="0"/>
            <w:vAlign w:val="center"/>
          </w:tcPr>
          <w:p w14:paraId="63398428">
            <w:pPr>
              <w:spacing w:line="240" w:lineRule="auto"/>
              <w:jc w:val="left"/>
              <w:rPr>
                <w:rFonts w:hint="eastAsia" w:ascii="楷体" w:hAnsi="楷体" w:eastAsia="楷体" w:cs="楷体"/>
                <w:bCs/>
                <w:kern w:val="0"/>
                <w:sz w:val="24"/>
                <w:szCs w:val="24"/>
                <w:highlight w:val="none"/>
              </w:rPr>
            </w:pPr>
            <w:r>
              <w:rPr>
                <w:rFonts w:hint="eastAsia" w:ascii="楷体" w:hAnsi="楷体" w:eastAsia="楷体" w:cs="楷体"/>
                <w:sz w:val="24"/>
                <w:szCs w:val="24"/>
                <w:highlight w:val="none"/>
              </w:rPr>
              <w:t>均按磋商文件要求签字、盖章。</w:t>
            </w:r>
          </w:p>
        </w:tc>
        <w:tc>
          <w:tcPr>
            <w:tcW w:w="910" w:type="dxa"/>
            <w:noWrap w:val="0"/>
            <w:vAlign w:val="center"/>
          </w:tcPr>
          <w:p w14:paraId="361FC46C">
            <w:pPr>
              <w:spacing w:line="240" w:lineRule="auto"/>
              <w:jc w:val="center"/>
              <w:rPr>
                <w:rFonts w:hint="eastAsia" w:ascii="楷体" w:hAnsi="楷体" w:eastAsia="楷体" w:cs="楷体"/>
                <w:b/>
                <w:bCs/>
                <w:kern w:val="0"/>
                <w:sz w:val="24"/>
                <w:szCs w:val="24"/>
                <w:highlight w:val="none"/>
              </w:rPr>
            </w:pPr>
          </w:p>
        </w:tc>
        <w:tc>
          <w:tcPr>
            <w:tcW w:w="1440" w:type="dxa"/>
            <w:noWrap w:val="0"/>
            <w:vAlign w:val="center"/>
          </w:tcPr>
          <w:p w14:paraId="30673FB7">
            <w:pPr>
              <w:spacing w:line="240" w:lineRule="auto"/>
              <w:jc w:val="center"/>
              <w:rPr>
                <w:rFonts w:hint="eastAsia" w:ascii="楷体" w:hAnsi="楷体" w:eastAsia="楷体" w:cs="楷体"/>
                <w:b/>
                <w:bCs/>
                <w:kern w:val="0"/>
                <w:sz w:val="24"/>
                <w:szCs w:val="24"/>
                <w:highlight w:val="none"/>
              </w:rPr>
            </w:pPr>
          </w:p>
        </w:tc>
      </w:tr>
      <w:tr w14:paraId="5783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3" w:type="dxa"/>
            <w:noWrap w:val="0"/>
            <w:vAlign w:val="center"/>
          </w:tcPr>
          <w:p w14:paraId="43895518">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4</w:t>
            </w:r>
          </w:p>
        </w:tc>
        <w:tc>
          <w:tcPr>
            <w:tcW w:w="1697" w:type="dxa"/>
            <w:noWrap w:val="0"/>
            <w:vAlign w:val="center"/>
          </w:tcPr>
          <w:p w14:paraId="461EDBB2">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第一次磋商报价表</w:t>
            </w:r>
          </w:p>
        </w:tc>
        <w:tc>
          <w:tcPr>
            <w:tcW w:w="4172" w:type="dxa"/>
            <w:noWrap w:val="0"/>
            <w:vAlign w:val="top"/>
          </w:tcPr>
          <w:p w14:paraId="396072E2">
            <w:pPr>
              <w:spacing w:line="24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（1）第一次磋商报价表填写符合要求；</w:t>
            </w:r>
          </w:p>
          <w:p w14:paraId="4E149560">
            <w:pPr>
              <w:spacing w:line="24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（2）计量单位、报价货币均符合磋商文件要求；</w:t>
            </w:r>
          </w:p>
          <w:p w14:paraId="210072F0">
            <w:pPr>
              <w:spacing w:line="24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（3）第一次磋商报价未超出采购预算或磋商文件规定的最高限价。</w:t>
            </w:r>
          </w:p>
        </w:tc>
        <w:tc>
          <w:tcPr>
            <w:tcW w:w="910" w:type="dxa"/>
            <w:noWrap w:val="0"/>
            <w:vAlign w:val="center"/>
          </w:tcPr>
          <w:p w14:paraId="131AC2D8">
            <w:pPr>
              <w:spacing w:line="240" w:lineRule="auto"/>
              <w:jc w:val="center"/>
              <w:rPr>
                <w:rFonts w:hint="eastAsia" w:ascii="楷体" w:hAnsi="楷体" w:eastAsia="楷体" w:cs="楷体"/>
                <w:b/>
                <w:bCs/>
                <w:kern w:val="0"/>
                <w:sz w:val="24"/>
                <w:szCs w:val="24"/>
                <w:highlight w:val="none"/>
              </w:rPr>
            </w:pPr>
          </w:p>
        </w:tc>
        <w:tc>
          <w:tcPr>
            <w:tcW w:w="1440" w:type="dxa"/>
            <w:noWrap w:val="0"/>
            <w:vAlign w:val="center"/>
          </w:tcPr>
          <w:p w14:paraId="430BFA37">
            <w:pPr>
              <w:spacing w:line="240" w:lineRule="auto"/>
              <w:jc w:val="center"/>
              <w:rPr>
                <w:rFonts w:hint="eastAsia" w:ascii="楷体" w:hAnsi="楷体" w:eastAsia="楷体" w:cs="楷体"/>
                <w:b/>
                <w:bCs/>
                <w:kern w:val="0"/>
                <w:sz w:val="24"/>
                <w:szCs w:val="24"/>
                <w:highlight w:val="none"/>
              </w:rPr>
            </w:pPr>
          </w:p>
        </w:tc>
      </w:tr>
      <w:tr w14:paraId="5A145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883" w:type="dxa"/>
            <w:noWrap w:val="0"/>
            <w:vAlign w:val="center"/>
          </w:tcPr>
          <w:p w14:paraId="158529D4">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5</w:t>
            </w:r>
          </w:p>
        </w:tc>
        <w:tc>
          <w:tcPr>
            <w:tcW w:w="1697" w:type="dxa"/>
            <w:noWrap w:val="0"/>
            <w:vAlign w:val="center"/>
          </w:tcPr>
          <w:p w14:paraId="33E1EB16">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sz w:val="24"/>
                <w:szCs w:val="24"/>
                <w:highlight w:val="none"/>
              </w:rPr>
              <w:t>服务要求</w:t>
            </w:r>
          </w:p>
        </w:tc>
        <w:tc>
          <w:tcPr>
            <w:tcW w:w="4172" w:type="dxa"/>
            <w:noWrap w:val="0"/>
            <w:vAlign w:val="center"/>
          </w:tcPr>
          <w:p w14:paraId="768496F5">
            <w:pPr>
              <w:spacing w:line="240" w:lineRule="auto"/>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完全理解并接受对合格供应商、合格的货物、工程或服务要求，根据供应商响应文件《服务</w:t>
            </w:r>
            <w:r>
              <w:rPr>
                <w:rFonts w:hint="eastAsia" w:ascii="楷体" w:hAnsi="楷体" w:eastAsia="楷体" w:cs="楷体"/>
                <w:sz w:val="24"/>
                <w:szCs w:val="24"/>
                <w:highlight w:val="none"/>
                <w:lang w:eastAsia="zh-CN"/>
              </w:rPr>
              <w:t>偏差</w:t>
            </w:r>
            <w:r>
              <w:rPr>
                <w:rFonts w:hint="eastAsia" w:ascii="楷体" w:hAnsi="楷体" w:eastAsia="楷体" w:cs="楷体"/>
                <w:sz w:val="24"/>
                <w:szCs w:val="24"/>
                <w:highlight w:val="none"/>
              </w:rPr>
              <w:t>表》，结合磋商文件第三章的实质性要求没有负偏离。</w:t>
            </w:r>
          </w:p>
        </w:tc>
        <w:tc>
          <w:tcPr>
            <w:tcW w:w="910" w:type="dxa"/>
            <w:noWrap w:val="0"/>
            <w:vAlign w:val="center"/>
          </w:tcPr>
          <w:p w14:paraId="60BC599C">
            <w:pPr>
              <w:spacing w:line="240" w:lineRule="auto"/>
              <w:jc w:val="center"/>
              <w:rPr>
                <w:rFonts w:hint="eastAsia" w:ascii="楷体" w:hAnsi="楷体" w:eastAsia="楷体" w:cs="楷体"/>
                <w:b/>
                <w:bCs/>
                <w:kern w:val="0"/>
                <w:sz w:val="24"/>
                <w:szCs w:val="24"/>
                <w:highlight w:val="none"/>
              </w:rPr>
            </w:pPr>
          </w:p>
        </w:tc>
        <w:tc>
          <w:tcPr>
            <w:tcW w:w="1440" w:type="dxa"/>
            <w:noWrap w:val="0"/>
            <w:vAlign w:val="center"/>
          </w:tcPr>
          <w:p w14:paraId="487551AA">
            <w:pPr>
              <w:spacing w:line="240" w:lineRule="auto"/>
              <w:jc w:val="center"/>
              <w:rPr>
                <w:rFonts w:hint="eastAsia" w:ascii="楷体" w:hAnsi="楷体" w:eastAsia="楷体" w:cs="楷体"/>
                <w:b/>
                <w:bCs/>
                <w:kern w:val="0"/>
                <w:sz w:val="24"/>
                <w:szCs w:val="24"/>
                <w:highlight w:val="none"/>
              </w:rPr>
            </w:pPr>
          </w:p>
        </w:tc>
      </w:tr>
      <w:tr w14:paraId="3342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3" w:type="dxa"/>
            <w:noWrap w:val="0"/>
            <w:vAlign w:val="center"/>
          </w:tcPr>
          <w:p w14:paraId="469DA656">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6</w:t>
            </w:r>
          </w:p>
        </w:tc>
        <w:tc>
          <w:tcPr>
            <w:tcW w:w="1697" w:type="dxa"/>
            <w:noWrap w:val="0"/>
            <w:vAlign w:val="center"/>
          </w:tcPr>
          <w:p w14:paraId="4F46F616">
            <w:pPr>
              <w:spacing w:line="24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无其他磋商文件或法规明确规定响应无效的事项</w:t>
            </w:r>
          </w:p>
        </w:tc>
        <w:tc>
          <w:tcPr>
            <w:tcW w:w="4172" w:type="dxa"/>
            <w:noWrap w:val="0"/>
            <w:vAlign w:val="center"/>
          </w:tcPr>
          <w:p w14:paraId="304F2B93">
            <w:pPr>
              <w:spacing w:line="240" w:lineRule="auto"/>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没有不符合磋商文件规定的被视为无效响应的其他条款。</w:t>
            </w:r>
          </w:p>
        </w:tc>
        <w:tc>
          <w:tcPr>
            <w:tcW w:w="910" w:type="dxa"/>
            <w:noWrap w:val="0"/>
            <w:vAlign w:val="center"/>
          </w:tcPr>
          <w:p w14:paraId="1953F3F1">
            <w:pPr>
              <w:spacing w:line="240" w:lineRule="auto"/>
              <w:jc w:val="center"/>
              <w:rPr>
                <w:rFonts w:hint="eastAsia" w:ascii="楷体" w:hAnsi="楷体" w:eastAsia="楷体" w:cs="楷体"/>
                <w:b/>
                <w:bCs/>
                <w:kern w:val="0"/>
                <w:sz w:val="24"/>
                <w:szCs w:val="24"/>
                <w:highlight w:val="none"/>
              </w:rPr>
            </w:pPr>
          </w:p>
        </w:tc>
        <w:tc>
          <w:tcPr>
            <w:tcW w:w="1440" w:type="dxa"/>
            <w:noWrap w:val="0"/>
            <w:vAlign w:val="center"/>
          </w:tcPr>
          <w:p w14:paraId="444CFBA3">
            <w:pPr>
              <w:spacing w:line="240" w:lineRule="auto"/>
              <w:jc w:val="center"/>
              <w:rPr>
                <w:rFonts w:hint="eastAsia" w:ascii="楷体" w:hAnsi="楷体" w:eastAsia="楷体" w:cs="楷体"/>
                <w:b/>
                <w:bCs/>
                <w:kern w:val="0"/>
                <w:sz w:val="24"/>
                <w:szCs w:val="24"/>
                <w:highlight w:val="none"/>
              </w:rPr>
            </w:pPr>
          </w:p>
        </w:tc>
      </w:tr>
      <w:tr w14:paraId="0D109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83" w:type="dxa"/>
            <w:noWrap w:val="0"/>
            <w:vAlign w:val="center"/>
          </w:tcPr>
          <w:p w14:paraId="75109C46">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7</w:t>
            </w:r>
          </w:p>
        </w:tc>
        <w:tc>
          <w:tcPr>
            <w:tcW w:w="1697" w:type="dxa"/>
            <w:noWrap w:val="0"/>
            <w:vAlign w:val="center"/>
          </w:tcPr>
          <w:p w14:paraId="701C420B">
            <w:pPr>
              <w:spacing w:line="240" w:lineRule="auto"/>
              <w:jc w:val="center"/>
              <w:rPr>
                <w:rFonts w:hint="eastAsia" w:ascii="楷体" w:hAnsi="楷体" w:eastAsia="楷体" w:cs="楷体"/>
                <w:bCs/>
                <w:kern w:val="0"/>
                <w:sz w:val="24"/>
                <w:szCs w:val="24"/>
                <w:highlight w:val="none"/>
              </w:rPr>
            </w:pPr>
            <w:r>
              <w:rPr>
                <w:rFonts w:hint="eastAsia" w:ascii="楷体" w:hAnsi="楷体" w:eastAsia="楷体" w:cs="楷体"/>
                <w:bCs/>
                <w:kern w:val="0"/>
                <w:sz w:val="24"/>
                <w:szCs w:val="24"/>
                <w:highlight w:val="none"/>
              </w:rPr>
              <w:t>合同草案条款响应</w:t>
            </w:r>
          </w:p>
        </w:tc>
        <w:tc>
          <w:tcPr>
            <w:tcW w:w="4172" w:type="dxa"/>
            <w:noWrap w:val="0"/>
            <w:vAlign w:val="center"/>
          </w:tcPr>
          <w:p w14:paraId="02C176B5">
            <w:pPr>
              <w:spacing w:line="24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有完全理解并接受磋商文件合同草案基本条款要求的描述。</w:t>
            </w:r>
          </w:p>
        </w:tc>
        <w:tc>
          <w:tcPr>
            <w:tcW w:w="910" w:type="dxa"/>
            <w:noWrap w:val="0"/>
            <w:vAlign w:val="center"/>
          </w:tcPr>
          <w:p w14:paraId="2CB3F3F1">
            <w:pPr>
              <w:spacing w:line="240" w:lineRule="auto"/>
              <w:jc w:val="center"/>
              <w:rPr>
                <w:rFonts w:hint="eastAsia" w:ascii="楷体" w:hAnsi="楷体" w:eastAsia="楷体" w:cs="楷体"/>
                <w:b/>
                <w:bCs/>
                <w:kern w:val="0"/>
                <w:sz w:val="24"/>
                <w:szCs w:val="24"/>
                <w:highlight w:val="none"/>
              </w:rPr>
            </w:pPr>
          </w:p>
        </w:tc>
        <w:tc>
          <w:tcPr>
            <w:tcW w:w="1440" w:type="dxa"/>
            <w:noWrap w:val="0"/>
            <w:vAlign w:val="center"/>
          </w:tcPr>
          <w:p w14:paraId="4FD4D7F5">
            <w:pPr>
              <w:spacing w:line="240" w:lineRule="auto"/>
              <w:jc w:val="center"/>
              <w:rPr>
                <w:rFonts w:hint="eastAsia" w:ascii="楷体" w:hAnsi="楷体" w:eastAsia="楷体" w:cs="楷体"/>
                <w:b/>
                <w:bCs/>
                <w:kern w:val="0"/>
                <w:sz w:val="24"/>
                <w:szCs w:val="24"/>
                <w:highlight w:val="none"/>
              </w:rPr>
            </w:pPr>
          </w:p>
        </w:tc>
      </w:tr>
    </w:tbl>
    <w:p w14:paraId="78EEEB7F">
      <w:pPr>
        <w:keepNext w:val="0"/>
        <w:keepLines w:val="0"/>
        <w:pageBreakBefore w:val="0"/>
        <w:numPr>
          <w:ilvl w:val="0"/>
          <w:numId w:val="1"/>
        </w:numPr>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竞争性磋商响应文件的补充、修改和撤回</w:t>
      </w:r>
    </w:p>
    <w:p w14:paraId="05BA4FD6">
      <w:pPr>
        <w:keepNext w:val="0"/>
        <w:keepLines w:val="0"/>
        <w:pageBreakBefore w:val="0"/>
        <w:widowControl/>
        <w:numPr>
          <w:ilvl w:val="0"/>
          <w:numId w:val="0"/>
        </w:numPr>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1 </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供应商在递交响应文件后，且在提交响应文件截止时间前，可以对所提交的电子响应文件进行补充、修改或撤回。</w:t>
      </w:r>
    </w:p>
    <w:p w14:paraId="58F6C154">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2、</w:t>
      </w:r>
      <w:r>
        <w:rPr>
          <w:rFonts w:hint="eastAsia" w:ascii="楷体" w:hAnsi="楷体" w:eastAsia="楷体" w:cs="楷体"/>
          <w:sz w:val="24"/>
          <w:szCs w:val="24"/>
          <w:highlight w:val="none"/>
        </w:rPr>
        <w:t>对电子响应文件进行补充、修改的，应先从电子交易平台上撤回旧版，再重新提交新版。</w:t>
      </w:r>
    </w:p>
    <w:p w14:paraId="15FE064B">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3、</w:t>
      </w:r>
      <w:r>
        <w:rPr>
          <w:rFonts w:hint="eastAsia" w:ascii="楷体" w:hAnsi="楷体" w:eastAsia="楷体" w:cs="楷体"/>
          <w:sz w:val="24"/>
          <w:szCs w:val="24"/>
          <w:highlight w:val="none"/>
        </w:rPr>
        <w:t>电子响应文件提交截止时间后，供应商不得对其电子响应文件做任何修改。</w:t>
      </w:r>
    </w:p>
    <w:p w14:paraId="7B9CEE2F">
      <w:pPr>
        <w:keepNext w:val="0"/>
        <w:keepLines w:val="0"/>
        <w:pageBreakBefore w:val="0"/>
        <w:widowControl/>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4、</w:t>
      </w:r>
      <w:r>
        <w:rPr>
          <w:rFonts w:hint="eastAsia" w:ascii="楷体" w:hAnsi="楷体" w:eastAsia="楷体" w:cs="楷体"/>
          <w:sz w:val="24"/>
          <w:szCs w:val="24"/>
          <w:highlight w:val="none"/>
        </w:rPr>
        <w:t>供应商在提交电子响应文件截止时间后撤回电子响应文件的，采购人有权将此情况如实反映财政部门， 由财政部门予以记录并纳入供应商失信行为名单。</w:t>
      </w:r>
    </w:p>
    <w:p w14:paraId="4852B0E1">
      <w:pPr>
        <w:keepNext w:val="0"/>
        <w:keepLines w:val="0"/>
        <w:pageBreakBefore w:val="0"/>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通过符合性审查的供应商不足3家的，不得进行后续磋商活动，应予以废标。</w:t>
      </w:r>
    </w:p>
    <w:p w14:paraId="49A0B24C">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4、进行磋商</w:t>
      </w:r>
    </w:p>
    <w:p w14:paraId="57D0E461">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bCs/>
          <w:sz w:val="24"/>
          <w:szCs w:val="24"/>
          <w:highlight w:val="none"/>
        </w:rPr>
        <w:t>磋商小组所有成员应当集中与单一供应商分别进行磋商，并给予所有参加磋商的供应商平等的磋商机会。需要供应商书面答复磋商内容的，</w:t>
      </w:r>
      <w:r>
        <w:rPr>
          <w:rFonts w:hint="eastAsia" w:ascii="楷体" w:hAnsi="楷体" w:eastAsia="楷体" w:cs="楷体"/>
          <w:sz w:val="24"/>
          <w:szCs w:val="24"/>
          <w:highlight w:val="none"/>
        </w:rPr>
        <w:t>供应商应当按照磋商小组的要求，书面形式答复磋商的内容，并由法定代表人或其授权代表签字或者加盖公章。</w:t>
      </w:r>
    </w:p>
    <w:p w14:paraId="6209C8AE">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5、磋商文件的实质性变更</w:t>
      </w:r>
    </w:p>
    <w:p w14:paraId="7052CC95">
      <w:pPr>
        <w:keepNext w:val="0"/>
        <w:keepLines w:val="0"/>
        <w:pageBreakBefore w:val="0"/>
        <w:widowControl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（1）在磋商过程中，磋商小组可以根据磋商文件和磋商情况实质性变动采购需求中的技术、服务要求以及合同草案条款，但不得变动磋商文件中的其他内容。实质性变动的内容，须经采购人代表确认。</w:t>
      </w:r>
    </w:p>
    <w:p w14:paraId="0DBE07C7">
      <w:pPr>
        <w:keepNext w:val="0"/>
        <w:keepLines w:val="0"/>
        <w:pageBreakBefore w:val="0"/>
        <w:widowControl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（2）对磋商文件作出的实质性变动是磋商文件的有效组成部分，磋商小组将通过书面形式通知所有参加磋商的供应商。</w:t>
      </w:r>
    </w:p>
    <w:p w14:paraId="242A78D1">
      <w:pPr>
        <w:keepNext w:val="0"/>
        <w:keepLines w:val="0"/>
        <w:pageBreakBefore w:val="0"/>
        <w:widowControl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（3）供应商应当按照磋商文件的变动情况和磋商小组的要求，在磋商小组规定的时限内重新提交响应文件，并由法定代表人或其授权代表签字或者加盖公章。</w:t>
      </w:r>
    </w:p>
    <w:p w14:paraId="012DE3BC">
      <w:pPr>
        <w:pStyle w:val="26"/>
        <w:keepNext w:val="0"/>
        <w:keepLines w:val="0"/>
        <w:pageBreakBefore w:val="0"/>
        <w:widowControl w:val="0"/>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（4）供应商未能在规定的时间内按照磋商小组的要求通过书面形式提交实质性变更响应文件的，视作未实质性响应。</w:t>
      </w:r>
    </w:p>
    <w:p w14:paraId="10629225">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6、最后报价</w:t>
      </w:r>
    </w:p>
    <w:p w14:paraId="4EB67FA7">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（1）磋商文件能够详细列明采购标的的技术、服务要求的，磋商结束后，磋商小组应当要求所有实质性响应的供应商在规定时间内提交最后报价，提交最后报价的供应商不得少于3家。</w:t>
      </w:r>
    </w:p>
    <w:p w14:paraId="2B4BD233">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B5217D1">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最后报价是供应商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财库〔2015〕124号），采购的政府购买服务项目（含政府和社会资本合作项目），在采购过程中符合要求的供应商（社会资本）只有2家的，竞争性磋商采购活动可以继续进行。</w:t>
      </w:r>
    </w:p>
    <w:p w14:paraId="2AE6F9FB">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（4）最后报价将作为综合评分法中价格分的计算依据。</w:t>
      </w:r>
    </w:p>
    <w:p w14:paraId="753B6E10">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（5）已提交响应文件的供应商，在提交最后报价之前，可以根据磋商情况书面申请退出磋商，书面申请应由其法定代表人或授权代表签字或者加盖公章。采购代理机构将退还其所交纳的磋商保证金。</w:t>
      </w:r>
    </w:p>
    <w:p w14:paraId="50AD99C6">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（6）政府采购异常低价问题</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关于推动解决政府采购异常低价问题的通知 财库〔2026〕2号</w:t>
      </w:r>
      <w:r>
        <w:rPr>
          <w:rFonts w:hint="eastAsia" w:ascii="楷体" w:hAnsi="楷体" w:eastAsia="楷体" w:cs="楷体"/>
          <w:sz w:val="24"/>
          <w:szCs w:val="24"/>
          <w:highlight w:val="none"/>
          <w:lang w:eastAsia="zh-CN"/>
        </w:rPr>
        <w:t>）</w:t>
      </w:r>
    </w:p>
    <w:p w14:paraId="460A8EA7">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政府采购评审中出现下列情形之一的，评审委员会应当启动异常低价投标（响应）审查程序：</w:t>
      </w:r>
    </w:p>
    <w:p w14:paraId="028D6C15">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1.投标（响应）报价低于全部通过符合性审查供应商投标（响应）报价平均值50%的，即投标（响应）报价&lt;全部通过符合性审查供应商投标（响应）报价平均值×50%；</w:t>
      </w:r>
    </w:p>
    <w:p w14:paraId="34329AA9">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2.投标（响应）报价低于通过符合性审查的次低报价供应商投标（响应）报价50%的，即投标（响应）报价&lt;通过符合性审查的次低报价供应商投标（响应）报价×50%；</w:t>
      </w:r>
    </w:p>
    <w:p w14:paraId="504A4DF0">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3.投标（响应）报价低于采购项目最高限价45%的，即投标（响应）报价&lt;采购项目最高限价×45%；</w:t>
      </w:r>
    </w:p>
    <w:p w14:paraId="7F041327">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4.评审委员会基于专业判断，认为供应商报价过低，有可能影响产品质量或者不能诚信履约的其他情形。</w:t>
      </w:r>
    </w:p>
    <w:p w14:paraId="57FBE9BF">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采购人可以结合具体项目实际情况，提高上述第1项至第3项中启动异常低价投标（响应）审查的数值标准，但是最高不得超过65%。相关法律法规对供应商报价有规定的，从其规定。</w:t>
      </w:r>
    </w:p>
    <w:p w14:paraId="2D634BEC">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B181869">
      <w:pPr>
        <w:keepNext w:val="0"/>
        <w:keepLines w:val="0"/>
        <w:pageBreakBefore w:val="0"/>
        <w:kinsoku/>
        <w:wordWrap/>
        <w:overflowPunct/>
        <w:topLinePunct w:val="0"/>
        <w:autoSpaceDE/>
        <w:autoSpaceDN/>
        <w:bidi w:val="0"/>
        <w:adjustRightInd/>
        <w:snapToGrid/>
        <w:spacing w:line="440" w:lineRule="exact"/>
        <w:ind w:firstLine="504" w:firstLineChars="200"/>
        <w:contextualSpacing/>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eastAsia="zh-CN"/>
        </w:rPr>
        <w:t>（三）</w:t>
      </w:r>
      <w:r>
        <w:rPr>
          <w:rFonts w:hint="eastAsia" w:ascii="楷体" w:hAnsi="楷体" w:eastAsia="楷体" w:cs="楷体"/>
          <w:sz w:val="24"/>
          <w:szCs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35A47AE7">
      <w:pPr>
        <w:keepNext w:val="0"/>
        <w:keepLines w:val="0"/>
        <w:pageBreakBefore w:val="0"/>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7、综合比较与评价</w:t>
      </w:r>
    </w:p>
    <w:p w14:paraId="4D45FE61">
      <w:pPr>
        <w:keepNext w:val="0"/>
        <w:keepLines w:val="0"/>
        <w:pageBreakBefore w:val="0"/>
        <w:kinsoku/>
        <w:wordWrap/>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经磋商确定最终采购需求和提交最后报价的供应商后，由磋商小组按“评审要素及分值一览表”中规定的评审方法和标准，对提交最后报价的供应商的响应文件和最后报价进行综合评分。</w:t>
      </w:r>
    </w:p>
    <w:p w14:paraId="3A77D926">
      <w:pPr>
        <w:keepNext w:val="0"/>
        <w:keepLines w:val="0"/>
        <w:pageBreakBefore w:val="0"/>
        <w:kinsoku/>
        <w:wordWrap/>
        <w:overflowPunct/>
        <w:topLinePunct w:val="0"/>
        <w:autoSpaceDE/>
        <w:autoSpaceDN/>
        <w:bidi w:val="0"/>
        <w:adjustRightInd/>
        <w:snapToGrid/>
        <w:spacing w:line="440" w:lineRule="exact"/>
        <w:ind w:firstLine="504" w:firstLineChars="200"/>
        <w:contextualSpacing/>
        <w:jc w:val="left"/>
        <w:textAlignment w:val="auto"/>
        <w:rPr>
          <w:rFonts w:hint="eastAsia" w:ascii="楷体" w:hAnsi="楷体" w:eastAsia="楷体" w:cs="楷体"/>
          <w:b/>
          <w:bCs/>
          <w:sz w:val="24"/>
          <w:szCs w:val="28"/>
          <w:highlight w:val="none"/>
        </w:rPr>
      </w:pPr>
      <w:r>
        <w:rPr>
          <w:rFonts w:hint="eastAsia" w:ascii="楷体" w:hAnsi="楷体" w:eastAsia="楷体" w:cs="楷体"/>
          <w:sz w:val="24"/>
          <w:szCs w:val="24"/>
          <w:highlight w:val="none"/>
        </w:rPr>
        <w:t>评审时，磋商小组各成员应当独立对每个有效响应的文件进行评价、打分，然后汇总每个供应商每项评审因素的得分</w:t>
      </w:r>
      <w:bookmarkStart w:id="105" w:name="_Toc2392"/>
      <w:bookmarkStart w:id="106" w:name="_Toc27797"/>
      <w:bookmarkStart w:id="107" w:name="_Toc9626"/>
      <w:bookmarkStart w:id="108" w:name="_Toc27187"/>
      <w:r>
        <w:rPr>
          <w:rFonts w:hint="eastAsia" w:ascii="楷体" w:hAnsi="楷体" w:eastAsia="楷体" w:cs="楷体"/>
          <w:sz w:val="24"/>
          <w:szCs w:val="24"/>
          <w:highlight w:val="none"/>
        </w:rPr>
        <w:t>。</w:t>
      </w:r>
      <w:bookmarkEnd w:id="105"/>
      <w:bookmarkEnd w:id="106"/>
      <w:bookmarkEnd w:id="107"/>
      <w:bookmarkEnd w:id="108"/>
    </w:p>
    <w:p w14:paraId="129EAB2E">
      <w:pPr>
        <w:jc w:val="center"/>
        <w:rPr>
          <w:rFonts w:hint="eastAsia" w:ascii="楷体" w:hAnsi="楷体" w:eastAsia="楷体" w:cs="楷体"/>
          <w:b/>
          <w:bCs/>
          <w:sz w:val="24"/>
          <w:szCs w:val="28"/>
          <w:highlight w:val="none"/>
        </w:rPr>
      </w:pPr>
      <w:r>
        <w:rPr>
          <w:rFonts w:hint="eastAsia" w:ascii="楷体" w:hAnsi="楷体" w:eastAsia="楷体" w:cs="楷体"/>
          <w:b/>
          <w:bCs/>
          <w:sz w:val="24"/>
          <w:szCs w:val="28"/>
          <w:highlight w:val="none"/>
        </w:rPr>
        <w:t>评审要素及分值一览表</w:t>
      </w:r>
    </w:p>
    <w:p w14:paraId="234B0671">
      <w:pPr>
        <w:rPr>
          <w:rFonts w:hint="eastAsia" w:ascii="楷体" w:hAnsi="楷体" w:eastAsia="楷体" w:cs="楷体"/>
          <w:kern w:val="2"/>
          <w:sz w:val="24"/>
          <w:szCs w:val="24"/>
          <w:highlight w:val="none"/>
          <w:lang w:val="en-US" w:eastAsia="zh-CN" w:bidi="ar-SA"/>
        </w:rPr>
      </w:pPr>
    </w:p>
    <w:p w14:paraId="1C37107E">
      <w:pPr>
        <w:rPr>
          <w:rFonts w:hint="eastAsia" w:ascii="楷体" w:hAnsi="楷体" w:eastAsia="楷体" w:cs="楷体"/>
          <w:kern w:val="2"/>
          <w:sz w:val="24"/>
          <w:szCs w:val="24"/>
          <w:highlight w:val="none"/>
          <w:lang w:val="en-US" w:eastAsia="zh-CN" w:bidi="ar-SA"/>
        </w:rPr>
      </w:pPr>
    </w:p>
    <w:tbl>
      <w:tblPr>
        <w:tblStyle w:val="28"/>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6156"/>
        <w:gridCol w:w="910"/>
        <w:gridCol w:w="992"/>
      </w:tblGrid>
      <w:tr w14:paraId="4C23F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7A5BD430">
            <w:pPr>
              <w:adjustRightInd w:val="0"/>
              <w:snapToGrid w:val="0"/>
              <w:spacing w:line="240" w:lineRule="auto"/>
              <w:jc w:val="center"/>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评标</w:t>
            </w:r>
          </w:p>
          <w:p w14:paraId="01885FEE">
            <w:pPr>
              <w:adjustRightInd w:val="0"/>
              <w:snapToGrid w:val="0"/>
              <w:spacing w:line="240" w:lineRule="auto"/>
              <w:jc w:val="center"/>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因素</w:t>
            </w:r>
          </w:p>
        </w:tc>
        <w:tc>
          <w:tcPr>
            <w:tcW w:w="6156" w:type="dxa"/>
            <w:tcBorders>
              <w:top w:val="single" w:color="auto" w:sz="4" w:space="0"/>
              <w:left w:val="single" w:color="auto" w:sz="4" w:space="0"/>
              <w:bottom w:val="single" w:color="auto" w:sz="4" w:space="0"/>
              <w:right w:val="single" w:color="auto" w:sz="4" w:space="0"/>
            </w:tcBorders>
            <w:noWrap w:val="0"/>
            <w:vAlign w:val="center"/>
          </w:tcPr>
          <w:p w14:paraId="302F5690">
            <w:pPr>
              <w:adjustRightInd w:val="0"/>
              <w:snapToGrid w:val="0"/>
              <w:spacing w:line="240" w:lineRule="auto"/>
              <w:jc w:val="center"/>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评</w:t>
            </w:r>
            <w:r>
              <w:rPr>
                <w:rFonts w:hint="eastAsia" w:ascii="楷体" w:hAnsi="楷体" w:eastAsia="楷体" w:cs="楷体"/>
                <w:b/>
                <w:bCs/>
                <w:sz w:val="24"/>
                <w:szCs w:val="24"/>
                <w:highlight w:val="none"/>
                <w:lang w:val="en-US" w:eastAsia="zh-CN"/>
              </w:rPr>
              <w:t>审</w:t>
            </w:r>
            <w:r>
              <w:rPr>
                <w:rFonts w:hint="eastAsia" w:ascii="楷体" w:hAnsi="楷体" w:eastAsia="楷体" w:cs="楷体"/>
                <w:b/>
                <w:bCs/>
                <w:sz w:val="24"/>
                <w:szCs w:val="24"/>
                <w:highlight w:val="none"/>
              </w:rPr>
              <w:t>要素</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2C56D66E">
            <w:pPr>
              <w:adjustRightInd w:val="0"/>
              <w:snapToGrid w:val="0"/>
              <w:spacing w:line="240" w:lineRule="auto"/>
              <w:jc w:val="center"/>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最高得分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F67B922">
            <w:pPr>
              <w:adjustRightInd w:val="0"/>
              <w:snapToGrid w:val="0"/>
              <w:spacing w:line="240" w:lineRule="auto"/>
              <w:jc w:val="center"/>
              <w:rPr>
                <w:rFonts w:hint="eastAsia" w:ascii="楷体" w:hAnsi="楷体" w:eastAsia="楷体" w:cs="楷体"/>
                <w:b/>
                <w:bCs/>
                <w:sz w:val="24"/>
                <w:szCs w:val="24"/>
                <w:highlight w:val="none"/>
                <w:lang w:val="en-US" w:eastAsia="zh-CN"/>
              </w:rPr>
            </w:pPr>
            <w:r>
              <w:rPr>
                <w:rFonts w:hint="eastAsia" w:ascii="楷体" w:hAnsi="楷体" w:eastAsia="楷体" w:cs="楷体"/>
                <w:b/>
                <w:bCs/>
                <w:sz w:val="24"/>
                <w:szCs w:val="24"/>
                <w:highlight w:val="none"/>
                <w:lang w:eastAsia="zh-CN"/>
              </w:rPr>
              <w:t>主观</w:t>
            </w:r>
            <w:r>
              <w:rPr>
                <w:rFonts w:hint="eastAsia" w:ascii="楷体" w:hAnsi="楷体" w:eastAsia="楷体" w:cs="楷体"/>
                <w:b/>
                <w:bCs/>
                <w:sz w:val="24"/>
                <w:szCs w:val="24"/>
                <w:highlight w:val="none"/>
                <w:lang w:val="en-US" w:eastAsia="zh-CN"/>
              </w:rPr>
              <w:t>/客观</w:t>
            </w:r>
          </w:p>
        </w:tc>
      </w:tr>
      <w:tr w14:paraId="6194A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32A5D06B">
            <w:pPr>
              <w:spacing w:line="240" w:lineRule="auto"/>
              <w:jc w:val="left"/>
              <w:rPr>
                <w:rFonts w:hint="eastAsia" w:ascii="楷体" w:hAnsi="楷体" w:eastAsia="楷体" w:cs="楷体"/>
                <w:sz w:val="24"/>
                <w:szCs w:val="24"/>
                <w:highlight w:val="none"/>
                <w:lang w:val="en-US"/>
              </w:rPr>
            </w:pPr>
            <w:r>
              <w:rPr>
                <w:rFonts w:hint="eastAsia" w:ascii="楷体" w:hAnsi="楷体" w:eastAsia="楷体" w:cs="楷体"/>
                <w:sz w:val="24"/>
                <w:szCs w:val="24"/>
                <w:highlight w:val="none"/>
              </w:rPr>
              <w:t>价</w:t>
            </w:r>
            <w:r>
              <w:rPr>
                <w:rFonts w:hint="eastAsia" w:ascii="楷体" w:hAnsi="楷体" w:eastAsia="楷体" w:cs="楷体"/>
                <w:sz w:val="24"/>
                <w:szCs w:val="24"/>
                <w:highlight w:val="none"/>
                <w:lang w:val="en-US" w:eastAsia="zh-CN"/>
              </w:rPr>
              <w:t>格评审</w:t>
            </w:r>
          </w:p>
        </w:tc>
        <w:tc>
          <w:tcPr>
            <w:tcW w:w="6156" w:type="dxa"/>
            <w:tcBorders>
              <w:top w:val="single" w:color="auto" w:sz="4" w:space="0"/>
              <w:left w:val="single" w:color="auto" w:sz="4" w:space="0"/>
              <w:bottom w:val="single" w:color="auto" w:sz="4" w:space="0"/>
              <w:right w:val="single" w:color="auto" w:sz="4" w:space="0"/>
            </w:tcBorders>
            <w:noWrap w:val="0"/>
            <w:vAlign w:val="center"/>
          </w:tcPr>
          <w:p w14:paraId="3DED45E9">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即满足磋商文件要求且最终报价最低的价格为磋商基准价，其价格分为满分。其他供应商的价格分统一按照下列公式计算：</w:t>
            </w:r>
          </w:p>
          <w:p w14:paraId="6CBC7622">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磋商报价得分=（磋商基准价/最终磋商报价）×价格权值×100</w:t>
            </w:r>
          </w:p>
          <w:p w14:paraId="07A91815">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超出预算的磋商报价在评审过程中按无效投标处理。</w:t>
            </w:r>
          </w:p>
          <w:p w14:paraId="0FA8604C">
            <w:pPr>
              <w:spacing w:line="240" w:lineRule="auto"/>
              <w:jc w:val="left"/>
              <w:rPr>
                <w:rFonts w:hint="eastAsia" w:ascii="楷体" w:hAnsi="楷体" w:eastAsia="楷体" w:cs="楷体"/>
                <w:b w:val="0"/>
                <w:bCs w:val="0"/>
                <w:sz w:val="21"/>
                <w:szCs w:val="21"/>
                <w:highlight w:val="none"/>
                <w:lang w:eastAsia="zh-CN"/>
              </w:rPr>
            </w:pPr>
            <w:r>
              <w:rPr>
                <w:rFonts w:hint="eastAsia" w:ascii="楷体" w:hAnsi="楷体" w:eastAsia="楷体" w:cs="楷体"/>
                <w:b w:val="0"/>
                <w:bCs w:val="0"/>
                <w:sz w:val="21"/>
                <w:szCs w:val="21"/>
                <w:highlight w:val="none"/>
              </w:rPr>
              <w:t>磋商小组认为供应商的报价明显低于其他通过符合性审查供应商的报价，有可能影响产品质量或者不能诚信履约的，将要求该供应商在评标现场合理的时间内提供书面说明，必要时提交相关证明材料；供应商不能证明其报价合理性的，磋商小组应当将其作为无效投标处理。</w:t>
            </w:r>
            <w:r>
              <w:rPr>
                <w:rFonts w:hint="eastAsia" w:ascii="楷体" w:hAnsi="楷体" w:eastAsia="楷体" w:cs="楷体"/>
                <w:b w:val="0"/>
                <w:bCs w:val="0"/>
                <w:sz w:val="21"/>
                <w:szCs w:val="21"/>
                <w:highlight w:val="none"/>
                <w:lang w:eastAsia="zh-CN"/>
              </w:rPr>
              <w:t>（参照政府采购异常低价问题（关于推动解决政府采购异常低价问题的通知 财库〔2026〕2号）执行）</w:t>
            </w:r>
          </w:p>
          <w:p w14:paraId="4EE7A19A">
            <w:pPr>
              <w:spacing w:line="240" w:lineRule="auto"/>
              <w:jc w:val="left"/>
              <w:rPr>
                <w:rFonts w:hint="eastAsia" w:ascii="楷体" w:hAnsi="楷体" w:eastAsia="楷体" w:cs="楷体"/>
                <w:b/>
                <w:bCs/>
                <w:sz w:val="21"/>
                <w:szCs w:val="21"/>
                <w:highlight w:val="none"/>
              </w:rPr>
            </w:pPr>
            <w:r>
              <w:rPr>
                <w:rFonts w:hint="eastAsia" w:ascii="楷体" w:hAnsi="楷体" w:eastAsia="楷体" w:cs="楷体"/>
                <w:b w:val="0"/>
                <w:bCs w:val="0"/>
                <w:sz w:val="21"/>
                <w:szCs w:val="21"/>
                <w:highlight w:val="none"/>
              </w:rPr>
              <w:t>对于非专门面向中小企业的项目，对小型、微型企业产品的价格给予10%的扣除，用扣除后的价格参与评审。</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6536B291">
            <w:pPr>
              <w:widowControl/>
              <w:spacing w:line="240" w:lineRule="auto"/>
              <w:jc w:val="center"/>
              <w:textAlignment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15</w:t>
            </w:r>
            <w:r>
              <w:rPr>
                <w:rFonts w:hint="eastAsia" w:ascii="楷体" w:hAnsi="楷体" w:eastAsia="楷体" w:cs="楷体"/>
                <w:sz w:val="24"/>
                <w:szCs w:val="24"/>
                <w:highlight w:val="none"/>
              </w:rPr>
              <w:t>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2BCB907">
            <w:pPr>
              <w:widowControl/>
              <w:spacing w:line="240" w:lineRule="auto"/>
              <w:jc w:val="center"/>
              <w:textAlignment w:val="center"/>
              <w:rPr>
                <w:rFonts w:hint="eastAsia" w:ascii="楷体" w:hAnsi="楷体" w:eastAsia="楷体" w:cs="楷体"/>
                <w:b w:val="0"/>
                <w:bCs w:val="0"/>
                <w:sz w:val="24"/>
                <w:szCs w:val="24"/>
                <w:highlight w:val="none"/>
                <w:lang w:val="en-US" w:eastAsia="zh-CN"/>
              </w:rPr>
            </w:pPr>
            <w:r>
              <w:rPr>
                <w:rFonts w:hint="eastAsia" w:ascii="楷体" w:hAnsi="楷体" w:eastAsia="楷体" w:cs="楷体"/>
                <w:b w:val="0"/>
                <w:bCs w:val="0"/>
                <w:sz w:val="24"/>
                <w:szCs w:val="24"/>
                <w:highlight w:val="none"/>
                <w:lang w:val="en-US" w:eastAsia="zh-CN"/>
              </w:rPr>
              <w:t>客观</w:t>
            </w:r>
          </w:p>
        </w:tc>
      </w:tr>
      <w:tr w14:paraId="639D1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top"/>
          </w:tcPr>
          <w:p w14:paraId="1737F073">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p>
          <w:p w14:paraId="2C6D347B">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p>
          <w:p w14:paraId="5B879EDF">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p>
          <w:p w14:paraId="645AA53D">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实施方案</w:t>
            </w:r>
          </w:p>
        </w:tc>
        <w:tc>
          <w:tcPr>
            <w:tcW w:w="6156" w:type="dxa"/>
            <w:tcBorders>
              <w:top w:val="single" w:color="auto" w:sz="4" w:space="0"/>
              <w:left w:val="single" w:color="auto" w:sz="4" w:space="0"/>
              <w:bottom w:val="single" w:color="auto" w:sz="4" w:space="0"/>
              <w:right w:val="single" w:color="auto" w:sz="4" w:space="0"/>
            </w:tcBorders>
            <w:noWrap w:val="0"/>
            <w:vAlign w:val="top"/>
          </w:tcPr>
          <w:p w14:paraId="08775403">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一、评审内容提供针对本项目的实施方案。包括但不限于：①单位数字证书服务更新；②与疾控前置系统的适配；③现场维护及系统巡检；④远程指导服务。</w:t>
            </w:r>
          </w:p>
          <w:p w14:paraId="64888AD0">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二、评审依据 各项内容全面详细、阐述条理清晰、技术先进、功能配置合理，能有效保障本项目实施的得12分，每有一项内容存在缺陷，扣1-3分，扣完为止。</w:t>
            </w:r>
          </w:p>
          <w:p w14:paraId="11F5A638">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未提供不得分。（缺陷是指:内容不合理、虽有内容但不完善、内容表述前后不一致、套用其他项目方案或与项目需求不匹配及其他不利于项目实施的等任意一种情形）</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614C515B">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12分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3267384">
            <w:pPr>
              <w:numPr>
                <w:ilvl w:val="0"/>
                <w:numId w:val="0"/>
              </w:numPr>
              <w:spacing w:line="240" w:lineRule="auto"/>
              <w:ind w:left="0" w:leftChars="0" w:firstLine="0" w:firstLine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主观</w:t>
            </w:r>
          </w:p>
        </w:tc>
      </w:tr>
      <w:tr w14:paraId="27C71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top"/>
          </w:tcPr>
          <w:p w14:paraId="0551D4D7">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p>
          <w:p w14:paraId="52CB268C">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p>
          <w:p w14:paraId="39782CA7">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培训方案</w:t>
            </w:r>
          </w:p>
        </w:tc>
        <w:tc>
          <w:tcPr>
            <w:tcW w:w="6156" w:type="dxa"/>
            <w:tcBorders>
              <w:top w:val="single" w:color="auto" w:sz="4" w:space="0"/>
              <w:left w:val="single" w:color="auto" w:sz="4" w:space="0"/>
              <w:bottom w:val="single" w:color="auto" w:sz="4" w:space="0"/>
              <w:right w:val="single" w:color="auto" w:sz="4" w:space="0"/>
            </w:tcBorders>
            <w:noWrap w:val="0"/>
            <w:vAlign w:val="top"/>
          </w:tcPr>
          <w:p w14:paraId="3C8579F3">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一、评审内容 针对本项目提供合理的培训方案。包括但不限于：①培训内容；②培训方式；③培训计划及人员安排。</w:t>
            </w:r>
          </w:p>
          <w:p w14:paraId="57C05E51">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二、评审依据 各项内容全面详细、阐述条理清晰，能有效保障本项目实施的得9分，每有一项内容存在缺陷，扣1-3分，扣完为止。未提供不得分。（缺陷是指:内容不合理、虽有内容但不完善、内容表述前后不一致、套用其他项目方案或与项目需求不匹配及其他不利于项目实施的等任意一种情形）</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458C13CA">
            <w:pPr>
              <w:numPr>
                <w:ilvl w:val="0"/>
                <w:numId w:val="0"/>
              </w:numPr>
              <w:spacing w:line="240" w:lineRule="auto"/>
              <w:ind w:left="0" w:leftChars="0" w:firstLine="0" w:firstLine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9分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DBD4D93">
            <w:pPr>
              <w:numPr>
                <w:ilvl w:val="0"/>
                <w:numId w:val="0"/>
              </w:numPr>
              <w:spacing w:line="240" w:lineRule="auto"/>
              <w:ind w:left="0" w:leftChars="0" w:firstLine="0" w:firstLine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主观</w:t>
            </w:r>
          </w:p>
        </w:tc>
      </w:tr>
      <w:tr w14:paraId="6735E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31C0EF25">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应急方案</w:t>
            </w:r>
          </w:p>
        </w:tc>
        <w:tc>
          <w:tcPr>
            <w:tcW w:w="6156" w:type="dxa"/>
            <w:tcBorders>
              <w:top w:val="single" w:color="auto" w:sz="4" w:space="0"/>
              <w:left w:val="single" w:color="auto" w:sz="4" w:space="0"/>
              <w:bottom w:val="single" w:color="auto" w:sz="4" w:space="0"/>
              <w:right w:val="single" w:color="auto" w:sz="4" w:space="0"/>
            </w:tcBorders>
            <w:noWrap w:val="0"/>
            <w:vAlign w:val="center"/>
          </w:tcPr>
          <w:p w14:paraId="744A4A04">
            <w:pPr>
              <w:rPr>
                <w:rFonts w:hint="eastAsia" w:ascii="楷体" w:hAnsi="楷体" w:eastAsia="楷体" w:cs="楷体"/>
                <w:sz w:val="24"/>
                <w:szCs w:val="24"/>
                <w:highlight w:val="none"/>
              </w:rPr>
            </w:pPr>
            <w:r>
              <w:rPr>
                <w:rFonts w:hint="eastAsia" w:ascii="楷体" w:hAnsi="楷体" w:eastAsia="楷体" w:cs="楷体"/>
                <w:sz w:val="24"/>
                <w:szCs w:val="24"/>
                <w:highlight w:val="none"/>
                <w:lang w:eastAsia="zh-CN"/>
              </w:rPr>
              <w:t>一、</w:t>
            </w:r>
            <w:r>
              <w:rPr>
                <w:rFonts w:hint="eastAsia" w:ascii="楷体" w:hAnsi="楷体" w:eastAsia="楷体" w:cs="楷体"/>
                <w:sz w:val="24"/>
                <w:szCs w:val="24"/>
                <w:highlight w:val="none"/>
              </w:rPr>
              <w:t>评审内容 针对本项目提供应急措施保障。包括但不限于：①供应商在服务期间针对紧急情况的应急服务处理措施；②应急处理响应时间</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③应急人数及人员安排</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④保障措施等。</w:t>
            </w:r>
          </w:p>
          <w:p w14:paraId="4612800E">
            <w:pPr>
              <w:numPr>
                <w:ilvl w:val="0"/>
                <w:numId w:val="0"/>
              </w:numPr>
              <w:spacing w:line="240" w:lineRule="auto"/>
              <w:ind w:left="0" w:leftChars="0" w:firstLine="0" w:firstLineChars="0"/>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eastAsia="zh-CN"/>
              </w:rPr>
              <w:t>二、</w:t>
            </w:r>
            <w:r>
              <w:rPr>
                <w:rFonts w:hint="eastAsia" w:ascii="楷体" w:hAnsi="楷体" w:eastAsia="楷体" w:cs="楷体"/>
                <w:sz w:val="24"/>
                <w:szCs w:val="24"/>
                <w:highlight w:val="none"/>
              </w:rPr>
              <w:t>评审依据 各项内容全面详细、阐述条理清晰，能有效保障本项目实施的得</w:t>
            </w:r>
            <w:r>
              <w:rPr>
                <w:rFonts w:hint="eastAsia" w:ascii="楷体" w:hAnsi="楷体" w:eastAsia="楷体" w:cs="楷体"/>
                <w:sz w:val="24"/>
                <w:szCs w:val="24"/>
                <w:highlight w:val="none"/>
                <w:lang w:val="en-US" w:eastAsia="zh-CN"/>
              </w:rPr>
              <w:t>8</w:t>
            </w:r>
            <w:r>
              <w:rPr>
                <w:rFonts w:hint="eastAsia" w:ascii="楷体" w:hAnsi="楷体" w:eastAsia="楷体" w:cs="楷体"/>
                <w:sz w:val="24"/>
                <w:szCs w:val="24"/>
                <w:highlight w:val="none"/>
              </w:rPr>
              <w:t>分，每有一项内容存在缺陷，扣</w:t>
            </w:r>
            <w:r>
              <w:rPr>
                <w:rFonts w:hint="eastAsia" w:ascii="楷体" w:hAnsi="楷体" w:eastAsia="楷体" w:cs="楷体"/>
                <w:sz w:val="24"/>
                <w:szCs w:val="24"/>
                <w:highlight w:val="none"/>
                <w:lang w:val="en-US" w:eastAsia="zh-CN"/>
              </w:rPr>
              <w:t>1-2</w:t>
            </w:r>
            <w:r>
              <w:rPr>
                <w:rFonts w:hint="eastAsia" w:ascii="楷体" w:hAnsi="楷体" w:eastAsia="楷体" w:cs="楷体"/>
                <w:sz w:val="24"/>
                <w:szCs w:val="24"/>
                <w:highlight w:val="none"/>
              </w:rPr>
              <w:t>分，扣完为止。未提供不得分。（缺陷是指:内容不合理、虽有内容但不完善、内容表述前后不一致、套用其他项目方案或与项目需求不匹配及其他不利于项目实施的等任意一种情形）</w:t>
            </w:r>
          </w:p>
        </w:tc>
        <w:tc>
          <w:tcPr>
            <w:tcW w:w="910" w:type="dxa"/>
            <w:tcBorders>
              <w:top w:val="single" w:color="auto" w:sz="4" w:space="0"/>
              <w:left w:val="single" w:color="auto" w:sz="4" w:space="0"/>
              <w:bottom w:val="single" w:color="auto" w:sz="4" w:space="0"/>
              <w:right w:val="single" w:color="auto" w:sz="4" w:space="0"/>
            </w:tcBorders>
            <w:noWrap w:val="0"/>
            <w:vAlign w:val="top"/>
          </w:tcPr>
          <w:p w14:paraId="5B2A01F3">
            <w:pPr>
              <w:spacing w:line="240" w:lineRule="auto"/>
              <w:jc w:val="center"/>
              <w:rPr>
                <w:rFonts w:hint="eastAsia" w:ascii="楷体" w:hAnsi="楷体" w:eastAsia="楷体" w:cs="楷体"/>
                <w:sz w:val="24"/>
                <w:szCs w:val="24"/>
                <w:highlight w:val="none"/>
                <w:lang w:val="en-US" w:eastAsia="zh-CN"/>
              </w:rPr>
            </w:pPr>
          </w:p>
          <w:p w14:paraId="39C291E1">
            <w:pPr>
              <w:spacing w:line="240" w:lineRule="auto"/>
              <w:jc w:val="center"/>
              <w:rPr>
                <w:rFonts w:hint="eastAsia" w:ascii="楷体" w:hAnsi="楷体" w:eastAsia="楷体" w:cs="楷体"/>
                <w:sz w:val="24"/>
                <w:szCs w:val="24"/>
                <w:highlight w:val="none"/>
                <w:lang w:val="en-US" w:eastAsia="zh-CN"/>
              </w:rPr>
            </w:pPr>
          </w:p>
          <w:p w14:paraId="55A8AE0F">
            <w:pPr>
              <w:spacing w:line="240" w:lineRule="auto"/>
              <w:jc w:val="center"/>
              <w:rPr>
                <w:rFonts w:hint="eastAsia" w:ascii="楷体" w:hAnsi="楷体" w:eastAsia="楷体" w:cs="楷体"/>
                <w:sz w:val="24"/>
                <w:szCs w:val="24"/>
                <w:highlight w:val="none"/>
                <w:lang w:val="en-US" w:eastAsia="zh-CN"/>
              </w:rPr>
            </w:pPr>
          </w:p>
          <w:p w14:paraId="1AC89EB7">
            <w:pPr>
              <w:spacing w:line="240" w:lineRule="auto"/>
              <w:jc w:val="center"/>
              <w:rPr>
                <w:rFonts w:hint="eastAsia" w:ascii="楷体" w:hAnsi="楷体" w:eastAsia="楷体" w:cs="楷体"/>
                <w:sz w:val="24"/>
                <w:szCs w:val="24"/>
                <w:highlight w:val="none"/>
                <w:lang w:val="en-US" w:eastAsia="zh-CN"/>
              </w:rPr>
            </w:pPr>
          </w:p>
          <w:p w14:paraId="037F1DD1">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8分</w:t>
            </w:r>
          </w:p>
        </w:tc>
        <w:tc>
          <w:tcPr>
            <w:tcW w:w="992" w:type="dxa"/>
            <w:tcBorders>
              <w:top w:val="single" w:color="auto" w:sz="4" w:space="0"/>
              <w:left w:val="single" w:color="auto" w:sz="4" w:space="0"/>
              <w:bottom w:val="single" w:color="auto" w:sz="4" w:space="0"/>
              <w:right w:val="single" w:color="auto" w:sz="4" w:space="0"/>
            </w:tcBorders>
            <w:noWrap w:val="0"/>
            <w:vAlign w:val="top"/>
          </w:tcPr>
          <w:p w14:paraId="1558A0DC">
            <w:pPr>
              <w:spacing w:line="240" w:lineRule="auto"/>
              <w:jc w:val="center"/>
              <w:rPr>
                <w:rFonts w:hint="eastAsia" w:ascii="楷体" w:hAnsi="楷体" w:eastAsia="楷体" w:cs="楷体"/>
                <w:sz w:val="24"/>
                <w:szCs w:val="24"/>
                <w:highlight w:val="none"/>
                <w:lang w:val="en-US" w:eastAsia="zh-CN"/>
              </w:rPr>
            </w:pPr>
          </w:p>
          <w:p w14:paraId="21BA13C4">
            <w:pPr>
              <w:spacing w:line="240" w:lineRule="auto"/>
              <w:jc w:val="center"/>
              <w:rPr>
                <w:rFonts w:hint="eastAsia" w:ascii="楷体" w:hAnsi="楷体" w:eastAsia="楷体" w:cs="楷体"/>
                <w:sz w:val="24"/>
                <w:szCs w:val="24"/>
                <w:highlight w:val="none"/>
                <w:lang w:val="en-US" w:eastAsia="zh-CN"/>
              </w:rPr>
            </w:pPr>
          </w:p>
          <w:p w14:paraId="42D84601">
            <w:pPr>
              <w:spacing w:line="240" w:lineRule="auto"/>
              <w:jc w:val="center"/>
              <w:rPr>
                <w:rFonts w:hint="eastAsia" w:ascii="楷体" w:hAnsi="楷体" w:eastAsia="楷体" w:cs="楷体"/>
                <w:sz w:val="24"/>
                <w:szCs w:val="24"/>
                <w:highlight w:val="none"/>
                <w:lang w:val="en-US" w:eastAsia="zh-CN"/>
              </w:rPr>
            </w:pPr>
          </w:p>
          <w:p w14:paraId="65F231E4">
            <w:pPr>
              <w:spacing w:line="240" w:lineRule="auto"/>
              <w:jc w:val="center"/>
              <w:rPr>
                <w:rFonts w:hint="eastAsia" w:ascii="楷体" w:hAnsi="楷体" w:eastAsia="楷体" w:cs="楷体"/>
                <w:sz w:val="24"/>
                <w:szCs w:val="24"/>
                <w:highlight w:val="none"/>
                <w:lang w:val="en-US" w:eastAsia="zh-CN"/>
              </w:rPr>
            </w:pPr>
          </w:p>
          <w:p w14:paraId="54498439">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主观</w:t>
            </w:r>
          </w:p>
        </w:tc>
      </w:tr>
      <w:tr w14:paraId="7E02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top"/>
          </w:tcPr>
          <w:p w14:paraId="79CFCB26">
            <w:pPr>
              <w:pStyle w:val="95"/>
              <w:jc w:val="center"/>
              <w:rPr>
                <w:rFonts w:hint="eastAsia" w:ascii="楷体" w:hAnsi="楷体" w:eastAsia="楷体" w:cs="楷体"/>
                <w:kern w:val="2"/>
                <w:sz w:val="24"/>
                <w:szCs w:val="24"/>
                <w:highlight w:val="none"/>
                <w:lang w:val="en-US" w:eastAsia="zh-CN" w:bidi="ar-SA"/>
              </w:rPr>
            </w:pPr>
          </w:p>
          <w:p w14:paraId="66BE30EB">
            <w:pPr>
              <w:pStyle w:val="95"/>
              <w:jc w:val="center"/>
              <w:rPr>
                <w:rFonts w:hint="eastAsia" w:ascii="楷体" w:hAnsi="楷体" w:eastAsia="楷体" w:cs="楷体"/>
                <w:kern w:val="2"/>
                <w:sz w:val="24"/>
                <w:szCs w:val="24"/>
                <w:highlight w:val="none"/>
                <w:lang w:val="en-US" w:eastAsia="zh-CN" w:bidi="ar-SA"/>
              </w:rPr>
            </w:pPr>
          </w:p>
          <w:p w14:paraId="77207B1F">
            <w:pPr>
              <w:pStyle w:val="95"/>
              <w:jc w:val="center"/>
              <w:rPr>
                <w:rFonts w:hint="eastAsia" w:ascii="楷体" w:hAnsi="楷体" w:eastAsia="楷体" w:cs="楷体"/>
                <w:kern w:val="2"/>
                <w:sz w:val="24"/>
                <w:szCs w:val="24"/>
                <w:highlight w:val="none"/>
                <w:lang w:val="en-US" w:eastAsia="zh-CN" w:bidi="ar-SA"/>
              </w:rPr>
            </w:pPr>
          </w:p>
          <w:p w14:paraId="4C231809">
            <w:pPr>
              <w:pStyle w:val="95"/>
              <w:jc w:val="center"/>
              <w:rPr>
                <w:rFonts w:hint="eastAsia" w:ascii="楷体" w:hAnsi="楷体" w:eastAsia="楷体" w:cs="楷体"/>
                <w:sz w:val="24"/>
                <w:szCs w:val="24"/>
                <w:highlight w:val="none"/>
                <w:lang w:val="en-US" w:eastAsia="zh-CN"/>
              </w:rPr>
            </w:pPr>
            <w:r>
              <w:rPr>
                <w:rFonts w:hint="eastAsia" w:ascii="楷体" w:hAnsi="楷体" w:eastAsia="楷体" w:cs="楷体"/>
                <w:kern w:val="2"/>
                <w:sz w:val="24"/>
                <w:szCs w:val="24"/>
                <w:highlight w:val="none"/>
                <w:lang w:val="en-US" w:eastAsia="zh-CN" w:bidi="ar-SA"/>
              </w:rPr>
              <w:t>售后服务</w:t>
            </w:r>
          </w:p>
        </w:tc>
        <w:tc>
          <w:tcPr>
            <w:tcW w:w="6156" w:type="dxa"/>
            <w:tcBorders>
              <w:top w:val="single" w:color="auto" w:sz="4" w:space="0"/>
              <w:left w:val="single" w:color="auto" w:sz="4" w:space="0"/>
              <w:bottom w:val="single" w:color="auto" w:sz="4" w:space="0"/>
              <w:right w:val="single" w:color="auto" w:sz="4" w:space="0"/>
            </w:tcBorders>
            <w:noWrap w:val="0"/>
            <w:vAlign w:val="top"/>
          </w:tcPr>
          <w:p w14:paraId="05D4E37F">
            <w:pPr>
              <w:pStyle w:val="95"/>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 xml:space="preserve">一、评审内容 针对本项目提供详细的售后服务方案。包括但不限于：①售后服务计划；②售后服务措施；③故障修复时间；④巡检次数及巡检时间段；⑤售后人员安排等。 </w:t>
            </w:r>
          </w:p>
          <w:p w14:paraId="11C41AE1">
            <w:pPr>
              <w:pStyle w:val="95"/>
              <w:rPr>
                <w:rFonts w:hint="eastAsia" w:ascii="楷体" w:hAnsi="楷体" w:eastAsia="楷体" w:cs="楷体"/>
                <w:sz w:val="24"/>
                <w:szCs w:val="24"/>
                <w:highlight w:val="none"/>
                <w:lang w:val="en-US" w:eastAsia="zh-CN"/>
              </w:rPr>
            </w:pPr>
            <w:r>
              <w:rPr>
                <w:rFonts w:hint="eastAsia" w:ascii="楷体" w:hAnsi="楷体" w:eastAsia="楷体" w:cs="楷体"/>
                <w:kern w:val="2"/>
                <w:sz w:val="24"/>
                <w:szCs w:val="24"/>
                <w:highlight w:val="none"/>
                <w:lang w:val="en-US" w:eastAsia="zh-CN" w:bidi="ar-SA"/>
              </w:rPr>
              <w:t>二、评审依据 各项内容全面详细、阐述条理清晰、能有效保障本项目实施的得10分，每有一项内容存在缺陷，扣1-2分，扣完为止。未提供不得分。（缺陷是指:内容不合理、虽有内容但不完善、内容表述前后不一致、套用其他项目方案或与项目需求不匹配及其他不利于项目实施的等任意一种情形）</w:t>
            </w:r>
          </w:p>
        </w:tc>
        <w:tc>
          <w:tcPr>
            <w:tcW w:w="910" w:type="dxa"/>
            <w:tcBorders>
              <w:top w:val="single" w:color="auto" w:sz="4" w:space="0"/>
              <w:left w:val="single" w:color="auto" w:sz="4" w:space="0"/>
              <w:bottom w:val="single" w:color="auto" w:sz="4" w:space="0"/>
              <w:right w:val="single" w:color="auto" w:sz="4" w:space="0"/>
            </w:tcBorders>
            <w:noWrap w:val="0"/>
            <w:vAlign w:val="top"/>
          </w:tcPr>
          <w:p w14:paraId="5E0B38E1">
            <w:pPr>
              <w:pStyle w:val="95"/>
              <w:jc w:val="right"/>
              <w:rPr>
                <w:rFonts w:hint="eastAsia" w:ascii="楷体" w:hAnsi="楷体" w:eastAsia="楷体" w:cs="楷体"/>
                <w:kern w:val="2"/>
                <w:sz w:val="24"/>
                <w:szCs w:val="24"/>
                <w:highlight w:val="none"/>
                <w:lang w:val="en-US" w:eastAsia="zh-CN" w:bidi="ar-SA"/>
              </w:rPr>
            </w:pPr>
          </w:p>
          <w:p w14:paraId="241B5E7C">
            <w:pPr>
              <w:pStyle w:val="95"/>
              <w:jc w:val="right"/>
              <w:rPr>
                <w:rFonts w:hint="eastAsia" w:ascii="楷体" w:hAnsi="楷体" w:eastAsia="楷体" w:cs="楷体"/>
                <w:kern w:val="2"/>
                <w:sz w:val="24"/>
                <w:szCs w:val="24"/>
                <w:highlight w:val="none"/>
                <w:lang w:val="en-US" w:eastAsia="zh-CN" w:bidi="ar-SA"/>
              </w:rPr>
            </w:pPr>
          </w:p>
          <w:p w14:paraId="3C5FC6E1">
            <w:pPr>
              <w:pStyle w:val="95"/>
              <w:jc w:val="right"/>
              <w:rPr>
                <w:rFonts w:hint="eastAsia" w:ascii="楷体" w:hAnsi="楷体" w:eastAsia="楷体" w:cs="楷体"/>
                <w:kern w:val="2"/>
                <w:sz w:val="24"/>
                <w:szCs w:val="24"/>
                <w:highlight w:val="none"/>
                <w:lang w:val="en-US" w:eastAsia="zh-CN" w:bidi="ar-SA"/>
              </w:rPr>
            </w:pPr>
          </w:p>
          <w:p w14:paraId="3B3F19CF">
            <w:pPr>
              <w:pStyle w:val="95"/>
              <w:jc w:val="right"/>
              <w:rPr>
                <w:rFonts w:hint="eastAsia" w:ascii="楷体" w:hAnsi="楷体" w:eastAsia="楷体" w:cs="楷体"/>
                <w:sz w:val="24"/>
                <w:szCs w:val="24"/>
                <w:highlight w:val="none"/>
                <w:lang w:val="en-US" w:eastAsia="zh-CN"/>
              </w:rPr>
            </w:pPr>
            <w:r>
              <w:rPr>
                <w:rFonts w:hint="eastAsia" w:ascii="楷体" w:hAnsi="楷体" w:eastAsia="楷体" w:cs="楷体"/>
                <w:kern w:val="2"/>
                <w:sz w:val="24"/>
                <w:szCs w:val="24"/>
                <w:highlight w:val="none"/>
                <w:lang w:val="en-US" w:eastAsia="zh-CN" w:bidi="ar-SA"/>
              </w:rPr>
              <w:t>10分</w:t>
            </w:r>
          </w:p>
        </w:tc>
        <w:tc>
          <w:tcPr>
            <w:tcW w:w="992" w:type="dxa"/>
            <w:tcBorders>
              <w:top w:val="single" w:color="auto" w:sz="4" w:space="0"/>
              <w:left w:val="single" w:color="auto" w:sz="4" w:space="0"/>
              <w:bottom w:val="single" w:color="auto" w:sz="4" w:space="0"/>
              <w:right w:val="single" w:color="auto" w:sz="4" w:space="0"/>
            </w:tcBorders>
            <w:noWrap w:val="0"/>
            <w:vAlign w:val="top"/>
          </w:tcPr>
          <w:p w14:paraId="5A8586E1">
            <w:pPr>
              <w:widowControl/>
              <w:spacing w:line="240" w:lineRule="auto"/>
              <w:jc w:val="left"/>
              <w:textAlignment w:val="center"/>
              <w:rPr>
                <w:rFonts w:hint="eastAsia" w:ascii="楷体" w:hAnsi="楷体" w:eastAsia="楷体" w:cs="楷体"/>
                <w:sz w:val="24"/>
                <w:szCs w:val="24"/>
                <w:highlight w:val="none"/>
                <w:lang w:val="en-US" w:eastAsia="zh-CN"/>
              </w:rPr>
            </w:pPr>
          </w:p>
          <w:p w14:paraId="6C9A2CA6">
            <w:pPr>
              <w:widowControl/>
              <w:spacing w:line="240" w:lineRule="auto"/>
              <w:jc w:val="left"/>
              <w:textAlignment w:val="center"/>
              <w:rPr>
                <w:rFonts w:hint="eastAsia" w:ascii="楷体" w:hAnsi="楷体" w:eastAsia="楷体" w:cs="楷体"/>
                <w:sz w:val="24"/>
                <w:szCs w:val="24"/>
                <w:highlight w:val="none"/>
                <w:lang w:val="en-US" w:eastAsia="zh-CN"/>
              </w:rPr>
            </w:pPr>
          </w:p>
          <w:p w14:paraId="37ECE5C3">
            <w:pPr>
              <w:widowControl/>
              <w:spacing w:line="240" w:lineRule="auto"/>
              <w:jc w:val="left"/>
              <w:textAlignment w:val="center"/>
              <w:rPr>
                <w:rFonts w:hint="eastAsia" w:ascii="楷体" w:hAnsi="楷体" w:eastAsia="楷体" w:cs="楷体"/>
                <w:sz w:val="24"/>
                <w:szCs w:val="24"/>
                <w:highlight w:val="none"/>
                <w:lang w:val="en-US" w:eastAsia="zh-CN"/>
              </w:rPr>
            </w:pPr>
          </w:p>
          <w:p w14:paraId="6F9EBEDF">
            <w:pPr>
              <w:widowControl/>
              <w:spacing w:line="240" w:lineRule="auto"/>
              <w:jc w:val="left"/>
              <w:textAlignment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主观</w:t>
            </w:r>
          </w:p>
        </w:tc>
      </w:tr>
      <w:tr w14:paraId="641A5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32060255">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人员配备</w:t>
            </w:r>
          </w:p>
        </w:tc>
        <w:tc>
          <w:tcPr>
            <w:tcW w:w="6156" w:type="dxa"/>
            <w:tcBorders>
              <w:top w:val="single" w:color="auto" w:sz="4" w:space="0"/>
              <w:left w:val="single" w:color="auto" w:sz="4" w:space="0"/>
              <w:bottom w:val="single" w:color="auto" w:sz="4" w:space="0"/>
              <w:right w:val="single" w:color="auto" w:sz="4" w:space="0"/>
            </w:tcBorders>
            <w:noWrap w:val="0"/>
            <w:vAlign w:val="center"/>
          </w:tcPr>
          <w:p w14:paraId="3577BD8E">
            <w:pPr>
              <w:numPr>
                <w:ilvl w:val="0"/>
                <w:numId w:val="2"/>
              </w:num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评审内容 针对本项目的人员配备方案。包括但不限于：①人员配备清单；②岗位分工；③人员管理制度等。</w:t>
            </w:r>
          </w:p>
          <w:p w14:paraId="4B79375C">
            <w:pPr>
              <w:numPr>
                <w:ilvl w:val="0"/>
                <w:numId w:val="0"/>
              </w:num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二、评审依据各项内容全面详细、阐述条理清晰，能有效保障本项目实施的得15分，每有一项内容未提供不得分，扣5分。</w:t>
            </w:r>
          </w:p>
        </w:tc>
        <w:tc>
          <w:tcPr>
            <w:tcW w:w="910" w:type="dxa"/>
            <w:tcBorders>
              <w:top w:val="single" w:color="auto" w:sz="4" w:space="0"/>
              <w:left w:val="single" w:color="auto" w:sz="4" w:space="0"/>
              <w:bottom w:val="single" w:color="auto" w:sz="4" w:space="0"/>
              <w:right w:val="single" w:color="auto" w:sz="4" w:space="0"/>
            </w:tcBorders>
            <w:noWrap w:val="0"/>
            <w:vAlign w:val="top"/>
          </w:tcPr>
          <w:p w14:paraId="3D0F7973">
            <w:pPr>
              <w:spacing w:line="240" w:lineRule="auto"/>
              <w:jc w:val="left"/>
              <w:rPr>
                <w:rFonts w:hint="eastAsia" w:ascii="楷体" w:hAnsi="楷体" w:eastAsia="楷体" w:cs="楷体"/>
                <w:sz w:val="24"/>
                <w:szCs w:val="24"/>
                <w:highlight w:val="none"/>
                <w:lang w:val="en-US" w:eastAsia="zh-CN"/>
              </w:rPr>
            </w:pPr>
          </w:p>
          <w:p w14:paraId="0AD26E40">
            <w:pPr>
              <w:spacing w:line="240" w:lineRule="auto"/>
              <w:jc w:val="left"/>
              <w:rPr>
                <w:rFonts w:hint="eastAsia" w:ascii="楷体" w:hAnsi="楷体" w:eastAsia="楷体" w:cs="楷体"/>
                <w:sz w:val="24"/>
                <w:szCs w:val="24"/>
                <w:highlight w:val="none"/>
                <w:lang w:val="en-US" w:eastAsia="zh-CN"/>
              </w:rPr>
            </w:pPr>
          </w:p>
          <w:p w14:paraId="75B0D87A">
            <w:pPr>
              <w:spacing w:line="240" w:lineRule="auto"/>
              <w:jc w:val="left"/>
              <w:rPr>
                <w:rFonts w:hint="eastAsia" w:ascii="楷体" w:hAnsi="楷体" w:eastAsia="楷体" w:cs="楷体"/>
                <w:sz w:val="24"/>
                <w:szCs w:val="24"/>
                <w:highlight w:val="none"/>
                <w:lang w:val="en-US" w:eastAsia="zh-CN"/>
              </w:rPr>
            </w:pPr>
          </w:p>
          <w:p w14:paraId="33A5E6F5">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15分</w:t>
            </w:r>
          </w:p>
        </w:tc>
        <w:tc>
          <w:tcPr>
            <w:tcW w:w="992" w:type="dxa"/>
            <w:tcBorders>
              <w:top w:val="single" w:color="auto" w:sz="4" w:space="0"/>
              <w:left w:val="single" w:color="auto" w:sz="4" w:space="0"/>
              <w:bottom w:val="single" w:color="auto" w:sz="4" w:space="0"/>
              <w:right w:val="single" w:color="auto" w:sz="4" w:space="0"/>
            </w:tcBorders>
            <w:noWrap w:val="0"/>
            <w:vAlign w:val="top"/>
          </w:tcPr>
          <w:p w14:paraId="2F7626F5">
            <w:pPr>
              <w:spacing w:line="240" w:lineRule="auto"/>
              <w:jc w:val="left"/>
              <w:rPr>
                <w:rFonts w:hint="eastAsia" w:ascii="楷体" w:hAnsi="楷体" w:eastAsia="楷体" w:cs="楷体"/>
                <w:sz w:val="24"/>
                <w:szCs w:val="24"/>
                <w:highlight w:val="none"/>
                <w:lang w:val="en-US" w:eastAsia="zh-CN"/>
              </w:rPr>
            </w:pPr>
          </w:p>
          <w:p w14:paraId="5EA60E34">
            <w:pPr>
              <w:spacing w:line="240" w:lineRule="auto"/>
              <w:jc w:val="left"/>
              <w:rPr>
                <w:rFonts w:hint="eastAsia" w:ascii="楷体" w:hAnsi="楷体" w:eastAsia="楷体" w:cs="楷体"/>
                <w:sz w:val="24"/>
                <w:szCs w:val="24"/>
                <w:highlight w:val="none"/>
                <w:lang w:val="en-US" w:eastAsia="zh-CN"/>
              </w:rPr>
            </w:pPr>
          </w:p>
          <w:p w14:paraId="1946B393">
            <w:pPr>
              <w:spacing w:line="240" w:lineRule="auto"/>
              <w:jc w:val="left"/>
              <w:rPr>
                <w:rFonts w:hint="eastAsia" w:ascii="楷体" w:hAnsi="楷体" w:eastAsia="楷体" w:cs="楷体"/>
                <w:sz w:val="24"/>
                <w:szCs w:val="24"/>
                <w:highlight w:val="none"/>
                <w:lang w:val="en-US" w:eastAsia="zh-CN"/>
              </w:rPr>
            </w:pPr>
          </w:p>
          <w:p w14:paraId="070D095F">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客观</w:t>
            </w:r>
          </w:p>
        </w:tc>
      </w:tr>
      <w:tr w14:paraId="0D8E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201A78B0">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对接能力</w:t>
            </w:r>
          </w:p>
        </w:tc>
        <w:tc>
          <w:tcPr>
            <w:tcW w:w="6156" w:type="dxa"/>
            <w:tcBorders>
              <w:top w:val="single" w:color="auto" w:sz="4" w:space="0"/>
              <w:left w:val="single" w:color="auto" w:sz="4" w:space="0"/>
              <w:bottom w:val="single" w:color="auto" w:sz="4" w:space="0"/>
              <w:right w:val="single" w:color="auto" w:sz="4" w:space="0"/>
            </w:tcBorders>
            <w:noWrap w:val="0"/>
            <w:vAlign w:val="top"/>
          </w:tcPr>
          <w:p w14:paraId="04CFFA74">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供应商需承诺能与采购单位现有系统的数据无缝衔接（需提供相关承诺函，承诺函内容必须体现中标后承担所有接口费用）满足得5分，不满足不得分。</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4648F71A">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24AA7403">
            <w:pPr>
              <w:widowControl/>
              <w:spacing w:line="240" w:lineRule="auto"/>
              <w:jc w:val="center"/>
              <w:textAlignment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客观</w:t>
            </w:r>
          </w:p>
        </w:tc>
      </w:tr>
      <w:tr w14:paraId="38C1C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549484F0">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服务能力</w:t>
            </w:r>
          </w:p>
        </w:tc>
        <w:tc>
          <w:tcPr>
            <w:tcW w:w="6156" w:type="dxa"/>
            <w:tcBorders>
              <w:top w:val="single" w:color="auto" w:sz="4" w:space="0"/>
              <w:left w:val="single" w:color="auto" w:sz="4" w:space="0"/>
              <w:bottom w:val="single" w:color="auto" w:sz="4" w:space="0"/>
              <w:right w:val="single" w:color="auto" w:sz="4" w:space="0"/>
            </w:tcBorders>
            <w:noWrap w:val="0"/>
            <w:vAlign w:val="top"/>
          </w:tcPr>
          <w:p w14:paraId="6BE3AFFD">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1、供应商提供《ISO 20000 信息技术服务管理体系认证证书》，计 2分。</w:t>
            </w:r>
          </w:p>
          <w:p w14:paraId="6CD85475">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2、供应商提供《ISO 9001 证书质量管理体系认证证书》，计 2分。</w:t>
            </w:r>
          </w:p>
          <w:p w14:paraId="3448C6C5">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3、提供服务的第三方电子认证服务机构须入围疾控CA目录，实现与大疫情直报系统的兼容互认，提供《中国疾病预防控制中心文件》官方发文CA目录进行佐证。计2分，未提供不得分；</w:t>
            </w:r>
          </w:p>
          <w:p w14:paraId="41539AA4">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4、提供服务的第三方电子认证服务机构需满足《中国疾病预防控制中心》（515号文）中对证书应用的要求，提供《中国疾病预防控制中心》原文目录截图作为佐证材料。计2分，未提供不得分；</w:t>
            </w:r>
          </w:p>
          <w:p w14:paraId="2C76E29C">
            <w:pPr>
              <w:spacing w:line="240" w:lineRule="auto"/>
              <w:jc w:val="left"/>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5、提供证书生产厂商CMMI三级及以上证书。计2分，未提供不得分；</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12B6BE09">
            <w:pPr>
              <w:spacing w:line="240" w:lineRule="auto"/>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10分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7F72314C">
            <w:pPr>
              <w:widowControl/>
              <w:spacing w:line="240" w:lineRule="auto"/>
              <w:jc w:val="center"/>
              <w:textAlignment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客观</w:t>
            </w:r>
          </w:p>
        </w:tc>
      </w:tr>
      <w:tr w14:paraId="19F35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385DE240">
            <w:pPr>
              <w:spacing w:line="240" w:lineRule="auto"/>
              <w:jc w:val="center"/>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业绩</w:t>
            </w:r>
          </w:p>
        </w:tc>
        <w:tc>
          <w:tcPr>
            <w:tcW w:w="6156" w:type="dxa"/>
            <w:tcBorders>
              <w:top w:val="single" w:color="auto" w:sz="4" w:space="0"/>
              <w:left w:val="single" w:color="auto" w:sz="4" w:space="0"/>
              <w:bottom w:val="single" w:color="auto" w:sz="4" w:space="0"/>
              <w:right w:val="single" w:color="auto" w:sz="4" w:space="0"/>
            </w:tcBorders>
            <w:noWrap w:val="0"/>
            <w:vAlign w:val="center"/>
          </w:tcPr>
          <w:p w14:paraId="531DB587">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供应商应具备数字证书相关项目经验，供应商提供自2023年1月1日以来的数字证书相关项目的合同（以合同签订日期为准）。每提供1份项目合同复印件（必须包含数字证书产品）得2分，最高14分；</w:t>
            </w:r>
          </w:p>
          <w:p w14:paraId="14932DFE">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业绩证明以合同为准，须在竞争性磋商响应文件中附合同的扫描件加盖单位公章。不提供或提供非投标人的业绩不得分。</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3956C8B3">
            <w:pPr>
              <w:spacing w:line="240" w:lineRule="auto"/>
              <w:jc w:val="center"/>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14分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5E696E25">
            <w:pPr>
              <w:widowControl/>
              <w:spacing w:line="240" w:lineRule="auto"/>
              <w:jc w:val="center"/>
              <w:textAlignment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客观</w:t>
            </w:r>
          </w:p>
        </w:tc>
      </w:tr>
      <w:tr w14:paraId="7571E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73" w:type="dxa"/>
            <w:tcBorders>
              <w:top w:val="single" w:color="auto" w:sz="4" w:space="0"/>
              <w:left w:val="single" w:color="auto" w:sz="4" w:space="0"/>
              <w:bottom w:val="single" w:color="auto" w:sz="4" w:space="0"/>
              <w:right w:val="single" w:color="auto" w:sz="4" w:space="0"/>
            </w:tcBorders>
            <w:noWrap w:val="0"/>
            <w:vAlign w:val="center"/>
          </w:tcPr>
          <w:p w14:paraId="680B7AAB">
            <w:pPr>
              <w:spacing w:line="240" w:lineRule="auto"/>
              <w:jc w:val="center"/>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zh-CN" w:eastAsia="en-US" w:bidi="ar-SA"/>
              </w:rPr>
              <w:t>节能环保</w:t>
            </w:r>
          </w:p>
        </w:tc>
        <w:tc>
          <w:tcPr>
            <w:tcW w:w="6156" w:type="dxa"/>
            <w:tcBorders>
              <w:top w:val="single" w:color="auto" w:sz="4" w:space="0"/>
              <w:left w:val="single" w:color="auto" w:sz="4" w:space="0"/>
              <w:bottom w:val="single" w:color="auto" w:sz="4" w:space="0"/>
              <w:right w:val="single" w:color="auto" w:sz="4" w:space="0"/>
            </w:tcBorders>
            <w:noWrap w:val="0"/>
            <w:vAlign w:val="center"/>
          </w:tcPr>
          <w:p w14:paraId="4ADE7116">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投标人所投产品属于节能产品、环境标志产品优先采购范围（除政府强制采购的节能产品外）：</w:t>
            </w:r>
          </w:p>
          <w:p w14:paraId="068D17DC">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1、所投产品属于节能产品得1分；</w:t>
            </w:r>
          </w:p>
          <w:p w14:paraId="7828C820">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评审依据：所投产品具有国家确定的认证机构出具的、处于有效期之内的节能产品认证证书（提供证书扫描件）。</w:t>
            </w:r>
          </w:p>
          <w:p w14:paraId="158C6504">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2、所投产品属于环境标志产品得1分；</w:t>
            </w:r>
          </w:p>
          <w:p w14:paraId="6C909FFA">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评审依据：所投产品具有国家确定的认证机构出具的、处于有效期之内的环境标志产品认证证书（提供证书扫描件）。</w:t>
            </w:r>
          </w:p>
          <w:p w14:paraId="4BA761FA">
            <w:pPr>
              <w:spacing w:line="240" w:lineRule="auto"/>
              <w:jc w:val="left"/>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tc>
        <w:tc>
          <w:tcPr>
            <w:tcW w:w="910" w:type="dxa"/>
            <w:tcBorders>
              <w:top w:val="single" w:color="auto" w:sz="4" w:space="0"/>
              <w:left w:val="single" w:color="auto" w:sz="4" w:space="0"/>
              <w:bottom w:val="single" w:color="auto" w:sz="4" w:space="0"/>
              <w:right w:val="single" w:color="auto" w:sz="4" w:space="0"/>
            </w:tcBorders>
            <w:noWrap w:val="0"/>
            <w:vAlign w:val="center"/>
          </w:tcPr>
          <w:p w14:paraId="02D55984">
            <w:pPr>
              <w:spacing w:line="240" w:lineRule="auto"/>
              <w:jc w:val="center"/>
              <w:rPr>
                <w:rFonts w:hint="eastAsia" w:ascii="楷体" w:hAnsi="楷体" w:eastAsia="楷体" w:cs="楷体"/>
                <w:kern w:val="2"/>
                <w:sz w:val="24"/>
                <w:szCs w:val="24"/>
                <w:highlight w:val="none"/>
                <w:lang w:val="en-US" w:eastAsia="zh-CN" w:bidi="ar-SA"/>
              </w:rPr>
            </w:pPr>
            <w:r>
              <w:rPr>
                <w:rFonts w:hint="eastAsia" w:ascii="楷体" w:hAnsi="楷体" w:eastAsia="楷体" w:cs="楷体"/>
                <w:kern w:val="2"/>
                <w:sz w:val="24"/>
                <w:szCs w:val="24"/>
                <w:highlight w:val="none"/>
                <w:lang w:val="en-US" w:eastAsia="zh-CN" w:bidi="ar-SA"/>
              </w:rPr>
              <w:t>2分</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16031D20">
            <w:pPr>
              <w:widowControl/>
              <w:spacing w:line="240" w:lineRule="auto"/>
              <w:jc w:val="center"/>
              <w:textAlignment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客观</w:t>
            </w:r>
          </w:p>
        </w:tc>
      </w:tr>
    </w:tbl>
    <w:p w14:paraId="28ED2918">
      <w:pPr>
        <w:keepNext w:val="0"/>
        <w:keepLines w:val="0"/>
        <w:pageBreakBefore w:val="0"/>
        <w:widowControl/>
        <w:kinsoku/>
        <w:wordWrap/>
        <w:overflowPunct/>
        <w:topLinePunct w:val="0"/>
        <w:autoSpaceDE/>
        <w:autoSpaceDN/>
        <w:bidi w:val="0"/>
        <w:adjustRightInd/>
        <w:snapToGrid/>
        <w:spacing w:line="440" w:lineRule="exact"/>
        <w:ind w:firstLine="504" w:firstLineChars="200"/>
        <w:jc w:val="both"/>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8、推荐成交候选供应商</w:t>
      </w:r>
    </w:p>
    <w:p w14:paraId="11D31F4A">
      <w:pPr>
        <w:keepNext w:val="0"/>
        <w:keepLines w:val="0"/>
        <w:pageBreakBefore w:val="0"/>
        <w:widowControl/>
        <w:kinsoku/>
        <w:wordWrap/>
        <w:overflowPunct/>
        <w:topLinePunct w:val="0"/>
        <w:autoSpaceDE/>
        <w:autoSpaceDN/>
        <w:bidi w:val="0"/>
        <w:adjustRightInd/>
        <w:snapToGrid/>
        <w:spacing w:line="440" w:lineRule="exact"/>
        <w:ind w:firstLine="504" w:firstLineChars="200"/>
        <w:jc w:val="both"/>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14:paraId="475FE6B1">
      <w:pPr>
        <w:keepNext w:val="0"/>
        <w:keepLines w:val="0"/>
        <w:pageBreakBefore w:val="0"/>
        <w:widowControl/>
        <w:kinsoku/>
        <w:wordWrap/>
        <w:overflowPunct/>
        <w:topLinePunct w:val="0"/>
        <w:autoSpaceDE/>
        <w:autoSpaceDN/>
        <w:bidi w:val="0"/>
        <w:adjustRightInd/>
        <w:snapToGrid/>
        <w:spacing w:line="440" w:lineRule="exact"/>
        <w:ind w:firstLine="504" w:firstLineChars="200"/>
        <w:jc w:val="both"/>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9、编写评审报告</w:t>
      </w:r>
    </w:p>
    <w:p w14:paraId="53A016E4">
      <w:pPr>
        <w:keepNext w:val="0"/>
        <w:keepLines w:val="0"/>
        <w:pageBreakBefore w:val="0"/>
        <w:widowControl/>
        <w:kinsoku/>
        <w:wordWrap/>
        <w:overflowPunct/>
        <w:topLinePunct w:val="0"/>
        <w:autoSpaceDE/>
        <w:autoSpaceDN/>
        <w:bidi w:val="0"/>
        <w:adjustRightInd/>
        <w:snapToGrid/>
        <w:spacing w:line="440" w:lineRule="exact"/>
        <w:ind w:firstLine="504" w:firstLineChars="200"/>
        <w:jc w:val="both"/>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1EE174AD">
      <w:pPr>
        <w:keepNext w:val="0"/>
        <w:keepLines w:val="0"/>
        <w:pageBreakBefore w:val="0"/>
        <w:widowControl/>
        <w:kinsoku/>
        <w:wordWrap/>
        <w:overflowPunct/>
        <w:topLinePunct w:val="0"/>
        <w:autoSpaceDE/>
        <w:autoSpaceDN/>
        <w:bidi w:val="0"/>
        <w:adjustRightInd/>
        <w:snapToGrid/>
        <w:spacing w:line="440" w:lineRule="exact"/>
        <w:ind w:firstLine="504" w:firstLineChars="200"/>
        <w:jc w:val="both"/>
        <w:textAlignment w:val="auto"/>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采购人书面授权磋商小组直接确定成交供应商的，磋商小组应在评审报告中明确成交供应商及成交金额。</w:t>
      </w:r>
    </w:p>
    <w:p w14:paraId="16EB9065">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lang w:eastAsia="zh-CN"/>
        </w:rPr>
      </w:pPr>
      <w:bookmarkStart w:id="109" w:name="_Toc6282"/>
      <w:bookmarkStart w:id="110" w:name="_Toc2897"/>
      <w:r>
        <w:rPr>
          <w:rFonts w:hint="eastAsia" w:ascii="楷体" w:hAnsi="楷体" w:eastAsia="楷体" w:cs="楷体"/>
          <w:b/>
          <w:bCs/>
          <w:sz w:val="24"/>
          <w:szCs w:val="24"/>
          <w:highlight w:val="none"/>
          <w:lang w:eastAsia="zh-CN"/>
        </w:rPr>
        <w:t>八、其他事项</w:t>
      </w:r>
      <w:bookmarkEnd w:id="109"/>
      <w:bookmarkEnd w:id="110"/>
    </w:p>
    <w:p w14:paraId="01783A14">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bCs/>
          <w:sz w:val="24"/>
          <w:szCs w:val="24"/>
          <w:highlight w:val="none"/>
        </w:rPr>
      </w:pPr>
      <w:r>
        <w:rPr>
          <w:rFonts w:hint="eastAsia" w:ascii="楷体" w:hAnsi="楷体" w:eastAsia="楷体" w:cs="楷体"/>
          <w:b/>
          <w:bCs/>
          <w:sz w:val="24"/>
          <w:szCs w:val="24"/>
          <w:highlight w:val="none"/>
        </w:rPr>
        <w:t>（一）除下列情形外，任何人不得以任何理由组织重新评审：</w:t>
      </w:r>
    </w:p>
    <w:p w14:paraId="3C2B201D">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（1）资格性检查认定错误的；</w:t>
      </w:r>
    </w:p>
    <w:p w14:paraId="6A20F04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（2）分值汇总计算错误的；</w:t>
      </w:r>
    </w:p>
    <w:p w14:paraId="6DA6F9D4">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（3）分项评分超出评分标准范围的；</w:t>
      </w:r>
    </w:p>
    <w:p w14:paraId="4AA396A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（4）客观分因素评分不一致的；</w:t>
      </w:r>
    </w:p>
    <w:p w14:paraId="0CBBF26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（5）经磋商小组一致认定评分畸高、畸低的情形。</w:t>
      </w:r>
    </w:p>
    <w:p w14:paraId="5360997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（二）有下列情况之一的，视为供应商串通投标，其投标无效：</w:t>
      </w:r>
    </w:p>
    <w:p w14:paraId="187B4710">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1、不同供应商的响应文件由同一单位或者个人编制；</w:t>
      </w:r>
    </w:p>
    <w:p w14:paraId="43829DD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2、不同供应商的响应文件由同一台电脑编制；</w:t>
      </w:r>
    </w:p>
    <w:p w14:paraId="72969E7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3、不同供应商委托同一单位或者个人办理投标事宜；</w:t>
      </w:r>
    </w:p>
    <w:p w14:paraId="4C267011">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4、不同供应商的响应文件载明的项目管理成员或者联系人员为同一人；</w:t>
      </w:r>
    </w:p>
    <w:p w14:paraId="7D30DE21">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5、不同供应商的响应文件异常一致或者磋商报价呈规律性差异；</w:t>
      </w:r>
    </w:p>
    <w:p w14:paraId="03D3E01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6、不同供应商的响应文件相互混装；</w:t>
      </w:r>
    </w:p>
    <w:p w14:paraId="0E0FEE9A">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7、政府采购法律法规及磋商文件规定的其他情形。</w:t>
      </w:r>
    </w:p>
    <w:p w14:paraId="4C10B4F2">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111" w:name="_Toc22712"/>
      <w:bookmarkStart w:id="112" w:name="_Toc4670"/>
      <w:bookmarkStart w:id="113" w:name="_Toc13449"/>
      <w:bookmarkStart w:id="114" w:name="_Toc17612"/>
      <w:bookmarkStart w:id="115" w:name="_Toc25855"/>
      <w:bookmarkStart w:id="116" w:name="_Toc28384"/>
      <w:bookmarkStart w:id="117" w:name="_Toc8893"/>
      <w:bookmarkStart w:id="118" w:name="_Toc28286_WPSOffice_Level1"/>
      <w:bookmarkStart w:id="119" w:name="_Toc495014585"/>
      <w:bookmarkStart w:id="120" w:name="_Toc495012771"/>
      <w:bookmarkStart w:id="121" w:name="_Toc424636365"/>
      <w:bookmarkStart w:id="122" w:name="_Toc495012821"/>
      <w:bookmarkStart w:id="123" w:name="_Toc495014954"/>
      <w:bookmarkStart w:id="124" w:name="_Toc495014649"/>
      <w:bookmarkStart w:id="125" w:name="_Toc445306493"/>
      <w:bookmarkStart w:id="126" w:name="_Toc495014920"/>
      <w:bookmarkStart w:id="127" w:name="_Toc495014611"/>
      <w:bookmarkStart w:id="128" w:name="_Toc619_WPSOffice_Level1"/>
      <w:r>
        <w:rPr>
          <w:rFonts w:hint="eastAsia" w:ascii="楷体" w:hAnsi="楷体" w:eastAsia="楷体" w:cs="楷体"/>
          <w:sz w:val="24"/>
          <w:szCs w:val="24"/>
          <w:highlight w:val="none"/>
        </w:rPr>
        <w:t>九、成交</w:t>
      </w:r>
      <w:bookmarkEnd w:id="111"/>
      <w:bookmarkEnd w:id="112"/>
      <w:bookmarkEnd w:id="113"/>
      <w:bookmarkEnd w:id="114"/>
      <w:bookmarkEnd w:id="115"/>
      <w:bookmarkEnd w:id="116"/>
      <w:bookmarkEnd w:id="117"/>
    </w:p>
    <w:p w14:paraId="5A6AD92D">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（一）本项目采用第</w:t>
      </w:r>
      <w:r>
        <w:rPr>
          <w:rFonts w:hint="eastAsia" w:ascii="楷体" w:hAnsi="楷体" w:eastAsia="楷体" w:cs="楷体"/>
          <w:sz w:val="24"/>
          <w:szCs w:val="24"/>
          <w:highlight w:val="none"/>
          <w:u w:val="single"/>
        </w:rPr>
        <w:t xml:space="preserve"> 1 </w:t>
      </w:r>
      <w:r>
        <w:rPr>
          <w:rFonts w:hint="eastAsia" w:ascii="楷体" w:hAnsi="楷体" w:eastAsia="楷体" w:cs="楷体"/>
          <w:sz w:val="24"/>
          <w:szCs w:val="24"/>
          <w:highlight w:val="none"/>
        </w:rPr>
        <w:t>种方式确定成交供应商：</w:t>
      </w:r>
    </w:p>
    <w:p w14:paraId="62A05C43">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1、采购人根据磋商小组评审结果确认。</w:t>
      </w:r>
    </w:p>
    <w:p w14:paraId="1FEE134C">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采购代理机构在评审结束后1个工作日内将评审报告送采购人确认。采购人应当在收到评审报告后4个工作日内，从评审报告提出的成交候选供应商中，按照排序由高到低的原则确定成交供应商。采购人逾期未确定成交供应商且不提出异议的，视同按评审报告提出的排序第一的供应商为成交供应商。</w:t>
      </w:r>
    </w:p>
    <w:p w14:paraId="1BCFF62D">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val="0"/>
          <w:bCs w:val="0"/>
          <w:sz w:val="24"/>
          <w:szCs w:val="24"/>
          <w:highlight w:val="none"/>
        </w:rPr>
      </w:pPr>
      <w:r>
        <w:rPr>
          <w:rFonts w:hint="eastAsia" w:ascii="楷体" w:hAnsi="楷体" w:eastAsia="楷体" w:cs="楷体"/>
          <w:b w:val="0"/>
          <w:bCs w:val="0"/>
          <w:sz w:val="24"/>
          <w:szCs w:val="24"/>
          <w:highlight w:val="none"/>
        </w:rPr>
        <w:t>2、采购人书面授权磋商小组直接确定成交供应商。</w:t>
      </w:r>
    </w:p>
    <w:p w14:paraId="3785939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b w:val="0"/>
          <w:bCs w:val="0"/>
          <w:sz w:val="24"/>
          <w:szCs w:val="24"/>
          <w:highlight w:val="none"/>
        </w:rPr>
      </w:pPr>
      <w:r>
        <w:rPr>
          <w:rFonts w:hint="eastAsia" w:ascii="楷体" w:hAnsi="楷体" w:eastAsia="楷体" w:cs="楷体"/>
          <w:b w:val="0"/>
          <w:bCs w:val="0"/>
          <w:sz w:val="24"/>
          <w:szCs w:val="24"/>
          <w:highlight w:val="none"/>
        </w:rPr>
        <w:t>采购人在评审前提供《委托评审小组定标授权书》，磋商小组将根据采购人授权直接确定成交供应商。</w:t>
      </w:r>
    </w:p>
    <w:p w14:paraId="272A1E34">
      <w:pPr>
        <w:pageBreakBefore w:val="0"/>
        <w:widowControl/>
        <w:kinsoku/>
        <w:wordWrap w:val="0"/>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（二）采购代理机构将在成交供应商确定后1个工作日内，在【</w:t>
      </w:r>
      <w:r>
        <w:rPr>
          <w:rFonts w:hint="eastAsia" w:ascii="楷体" w:hAnsi="楷体" w:eastAsia="楷体" w:cs="楷体"/>
          <w:sz w:val="24"/>
          <w:szCs w:val="24"/>
          <w:highlight w:val="none"/>
        </w:rPr>
        <w:fldChar w:fldCharType="begin"/>
      </w:r>
      <w:r>
        <w:rPr>
          <w:rFonts w:hint="eastAsia" w:ascii="楷体" w:hAnsi="楷体" w:eastAsia="楷体" w:cs="楷体"/>
          <w:sz w:val="24"/>
          <w:szCs w:val="24"/>
          <w:highlight w:val="none"/>
        </w:rPr>
        <w:instrText xml:space="preserve"> HYPERLINK "http://www.ccgp-shaanxi.gov.cn/" </w:instrText>
      </w:r>
      <w:r>
        <w:rPr>
          <w:rFonts w:hint="eastAsia" w:ascii="楷体" w:hAnsi="楷体" w:eastAsia="楷体" w:cs="楷体"/>
          <w:sz w:val="24"/>
          <w:szCs w:val="24"/>
          <w:highlight w:val="none"/>
        </w:rPr>
        <w:fldChar w:fldCharType="separate"/>
      </w:r>
      <w:r>
        <w:rPr>
          <w:rStyle w:val="39"/>
          <w:rFonts w:hint="eastAsia" w:ascii="楷体" w:hAnsi="楷体" w:eastAsia="楷体" w:cs="楷体"/>
          <w:color w:val="auto"/>
          <w:sz w:val="24"/>
          <w:szCs w:val="24"/>
          <w:highlight w:val="none"/>
        </w:rPr>
        <w:t>陕西省政府采购网</w:t>
      </w:r>
      <w:r>
        <w:rPr>
          <w:rStyle w:val="39"/>
          <w:rFonts w:hint="eastAsia" w:ascii="楷体" w:hAnsi="楷体" w:eastAsia="楷体" w:cs="楷体"/>
          <w:color w:val="auto"/>
          <w:sz w:val="24"/>
          <w:szCs w:val="24"/>
          <w:highlight w:val="none"/>
        </w:rPr>
        <w:fldChar w:fldCharType="end"/>
      </w:r>
      <w:r>
        <w:rPr>
          <w:rFonts w:hint="eastAsia" w:ascii="楷体" w:hAnsi="楷体" w:eastAsia="楷体" w:cs="楷体"/>
          <w:sz w:val="24"/>
          <w:szCs w:val="24"/>
          <w:highlight w:val="none"/>
        </w:rPr>
        <w:t>（www.ccgp-shaanxi.gov.cn）</w:t>
      </w:r>
      <w:r>
        <w:rPr>
          <w:rStyle w:val="39"/>
          <w:rFonts w:hint="eastAsia" w:ascii="楷体" w:hAnsi="楷体" w:eastAsia="楷体" w:cs="楷体"/>
          <w:color w:val="auto"/>
          <w:sz w:val="24"/>
          <w:szCs w:val="24"/>
          <w:highlight w:val="none"/>
        </w:rPr>
        <w:t>】</w:t>
      </w:r>
      <w:r>
        <w:rPr>
          <w:rFonts w:hint="eastAsia" w:ascii="楷体" w:hAnsi="楷体" w:eastAsia="楷体" w:cs="楷体"/>
          <w:sz w:val="24"/>
          <w:szCs w:val="24"/>
          <w:highlight w:val="none"/>
        </w:rPr>
        <w:t>上发布成交公告，成交公告期限为1个工作日。同时，采购代理机构向成交供应商发出“成交通知书”，并将磋商文件随成交结果同时公告。</w:t>
      </w:r>
    </w:p>
    <w:p w14:paraId="31519622">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129" w:name="_Toc20049"/>
      <w:bookmarkStart w:id="130" w:name="_Toc6980"/>
      <w:bookmarkStart w:id="131" w:name="_Toc24594"/>
      <w:bookmarkStart w:id="132" w:name="_Toc14009"/>
      <w:bookmarkStart w:id="133" w:name="_Toc28870"/>
      <w:bookmarkStart w:id="134" w:name="_Toc10386"/>
      <w:bookmarkStart w:id="135" w:name="_Toc3100"/>
      <w:r>
        <w:rPr>
          <w:rFonts w:hint="eastAsia" w:ascii="楷体" w:hAnsi="楷体" w:eastAsia="楷体" w:cs="楷体"/>
          <w:sz w:val="24"/>
          <w:szCs w:val="24"/>
          <w:highlight w:val="none"/>
        </w:rPr>
        <w:t>十、签订政府采购合同</w:t>
      </w:r>
      <w:bookmarkEnd w:id="129"/>
      <w:bookmarkEnd w:id="130"/>
      <w:bookmarkEnd w:id="131"/>
      <w:bookmarkEnd w:id="132"/>
      <w:bookmarkEnd w:id="133"/>
      <w:bookmarkEnd w:id="134"/>
      <w:bookmarkEnd w:id="135"/>
    </w:p>
    <w:p w14:paraId="6FC028B0">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（一）采购人与成交供应商应当在成交通知书发出之日起30日内，按照磋商文件确定的合同文本以及采购标的、服务要求等事项签订政府采购合同。</w:t>
      </w:r>
    </w:p>
    <w:p w14:paraId="6B12754C">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（二）采购人不得向成交供应商提出超出磋商文件以外的任何要求作为签订合同的条件，不得与成交供应商订立背离磋商文件确定的合同文本以及采购标的、服务要求等实质性内容的协议。</w:t>
      </w:r>
    </w:p>
    <w:p w14:paraId="6B588D4D">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三）成交供应商拒绝与采购人签订合同的，采购人可以按照评审报告推荐的成交候选人名单排序，确定下一候选人为成交供应商并签订政府采购合同，也可以重新开展政府采购活动。拒绝签订政府采购合同的成交供应商不得参加对该项目重新开展的采购活动。</w:t>
      </w:r>
    </w:p>
    <w:p w14:paraId="2A2F9D0E">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（四）磋商文件、成交供应商的响应文件、《成交通知书》及其澄清、说明文件、承诺等，均为签订采购合同的依据，作为采购合同的组成部分。</w:t>
      </w:r>
    </w:p>
    <w:p w14:paraId="7B2DDAFC">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（五）政府采购合同应当包括采购人与成交供应商的名称和住所、标的、数量、质量、价款或者报酬、履行期限及地点和方式、验收要求、违约责任、解决争议的方法等内容。</w:t>
      </w:r>
    </w:p>
    <w:p w14:paraId="20211213">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（六）采购人与成交供应商应当根据合同的约定依法履行合同义务。</w:t>
      </w:r>
    </w:p>
    <w:p w14:paraId="4C3B40AC">
      <w:pPr>
        <w:pageBreakBefore w:val="0"/>
        <w:widowControl/>
        <w:kinsoku/>
        <w:overflowPunct/>
        <w:topLinePunct w:val="0"/>
        <w:autoSpaceDE/>
        <w:autoSpaceDN/>
        <w:bidi w:val="0"/>
        <w:adjustRightInd/>
        <w:snapToGrid/>
        <w:spacing w:line="440" w:lineRule="exact"/>
        <w:textAlignment w:val="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政府采购合同的履行、违约责任和解决争议的方法等适用《中华人民共和国民法典》。</w:t>
      </w:r>
    </w:p>
    <w:p w14:paraId="72EDF911">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（七）采购人应当及时对采购项目进行验收。采购人可以邀请参加本项目的其他投标供应商或者第三方机构参与验收。参与验收的投标供应商或者第三方机构的意见作为验收书的参考资料一并存档。</w:t>
      </w:r>
    </w:p>
    <w:p w14:paraId="23D11F2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（八）采购人应当加强对成交供应商的履约管理，并按照采购合同约定，及时向成交供应商支付采购资金。对于成交供应商违反采购合同约定的行为，采购人应当及时处理，依法追究其违约责任。</w:t>
      </w:r>
    </w:p>
    <w:p w14:paraId="7465E366">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136" w:name="_Toc16965"/>
      <w:bookmarkStart w:id="137" w:name="_Toc1272"/>
      <w:bookmarkStart w:id="138" w:name="_Toc3153"/>
      <w:bookmarkStart w:id="139" w:name="_Toc21906"/>
      <w:bookmarkStart w:id="140" w:name="_Toc5503"/>
      <w:bookmarkStart w:id="141" w:name="_Toc25751"/>
      <w:bookmarkStart w:id="142" w:name="_Toc23346"/>
      <w:r>
        <w:rPr>
          <w:rFonts w:hint="eastAsia" w:ascii="楷体" w:hAnsi="楷体" w:eastAsia="楷体" w:cs="楷体"/>
          <w:sz w:val="24"/>
          <w:szCs w:val="24"/>
          <w:highlight w:val="none"/>
        </w:rPr>
        <w:t>十一、其他</w:t>
      </w:r>
      <w:bookmarkEnd w:id="136"/>
      <w:bookmarkEnd w:id="137"/>
      <w:bookmarkEnd w:id="138"/>
      <w:bookmarkEnd w:id="139"/>
      <w:bookmarkEnd w:id="140"/>
      <w:bookmarkEnd w:id="141"/>
      <w:bookmarkEnd w:id="142"/>
    </w:p>
    <w:p w14:paraId="0D50B60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一）磋商小组发现磋商文件存在歧义、重大缺陷导致评审工作无法进行，或者磋商文件内容违反国家有关强制性规定的，应当停止评审工作，与采购人或者采购代理机构沟通并作书面记录。采购人或者采购代理机构确认后，应当修改磋商文件，重新组织采购活动。</w:t>
      </w:r>
    </w:p>
    <w:p w14:paraId="397401D0">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（二）根据《政府采购法》第三十六条规定，在磋商采购中，出现下列情形之一的，本项目按废标处理：</w:t>
      </w:r>
    </w:p>
    <w:p w14:paraId="2FE43F0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1、出现影响采购公正的违法、违规行为的；</w:t>
      </w:r>
    </w:p>
    <w:p w14:paraId="3352933E">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2、供应商的报价均超过了采购预算，采购人不能支付的；</w:t>
      </w:r>
    </w:p>
    <w:p w14:paraId="09D28237">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3、因重大变故，采购任务取消的。</w:t>
      </w:r>
    </w:p>
    <w:p w14:paraId="1F06CC9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废标后，由采购代理机构发布废标公告。除采购任务取消外，本项目将重新组织采购活动。</w:t>
      </w:r>
    </w:p>
    <w:p w14:paraId="3A229DC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（三）在递交响应文件阶段、资格审查阶段以及符合性审查阶段，当出现有效投标供应商不足3家时，除采购任务取消外，按照以下方式处理：</w:t>
      </w:r>
    </w:p>
    <w:p w14:paraId="3EFD54F3">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1、磋商文件存在不合理条款或者磋商程序不符合规定的，采购人、采购代理机构改正后依法重新开展采购活动；</w:t>
      </w:r>
    </w:p>
    <w:p w14:paraId="03FC9342">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2、磋商文件没有不合理条款、磋商程序符合规定，需要采用其他采购方式采购的，采购人应当依法报财政部门批准。</w:t>
      </w:r>
    </w:p>
    <w:p w14:paraId="00A35428">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（四）采购代理机构应当采取必要措施，保证评审在严格保密的情况下进行。除采购人代表、评审现场组织人员外，采购人的其他工作人员以及与评审工作无关的人员不得进入评审现场。</w:t>
      </w:r>
    </w:p>
    <w:p w14:paraId="3D3B3C75">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有关人员对评审情况以及在评审过程中获悉的国家秘密、商业秘密负有保密责任。</w:t>
      </w:r>
    </w:p>
    <w:p w14:paraId="525D385C">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（五）磋商文件未明确的其他事项，按《政府采购法》及其相关法律法规执行。</w:t>
      </w:r>
    </w:p>
    <w:p w14:paraId="0F3BD690">
      <w:pPr>
        <w:pStyle w:val="3"/>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bookmarkStart w:id="143" w:name="_Toc28829"/>
      <w:bookmarkStart w:id="144" w:name="_Toc11780"/>
      <w:bookmarkStart w:id="145" w:name="_Toc12233"/>
      <w:bookmarkStart w:id="146" w:name="_Toc17324"/>
      <w:bookmarkStart w:id="147" w:name="_Toc5278"/>
      <w:bookmarkStart w:id="148" w:name="_Toc4764"/>
      <w:bookmarkStart w:id="149" w:name="_Toc23241"/>
      <w:bookmarkStart w:id="150" w:name="_Toc8426"/>
      <w:bookmarkStart w:id="151" w:name="_Toc11584"/>
      <w:bookmarkStart w:id="152" w:name="_Toc10336"/>
      <w:bookmarkStart w:id="153" w:name="_Toc23303"/>
      <w:r>
        <w:rPr>
          <w:rFonts w:hint="eastAsia" w:ascii="楷体" w:hAnsi="楷体" w:eastAsia="楷体" w:cs="楷体"/>
          <w:sz w:val="24"/>
          <w:szCs w:val="24"/>
          <w:highlight w:val="none"/>
        </w:rPr>
        <w:t>十二、采购代理服务费：</w:t>
      </w:r>
      <w:bookmarkEnd w:id="143"/>
      <w:bookmarkEnd w:id="144"/>
      <w:bookmarkEnd w:id="145"/>
      <w:bookmarkEnd w:id="146"/>
      <w:bookmarkEnd w:id="147"/>
      <w:bookmarkEnd w:id="148"/>
      <w:bookmarkEnd w:id="149"/>
      <w:bookmarkEnd w:id="150"/>
      <w:bookmarkEnd w:id="151"/>
      <w:bookmarkEnd w:id="152"/>
      <w:bookmarkEnd w:id="153"/>
    </w:p>
    <w:p w14:paraId="0A683A4F">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招标代理服务费由中标人支付：</w:t>
      </w:r>
    </w:p>
    <w:p w14:paraId="5617E841">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rPr>
        <w:t>经与采购人协商，本项目代理服务费为：</w:t>
      </w:r>
      <w:r>
        <w:rPr>
          <w:rFonts w:hint="eastAsia" w:ascii="楷体" w:hAnsi="楷体" w:eastAsia="楷体" w:cs="楷体"/>
          <w:sz w:val="24"/>
          <w:szCs w:val="24"/>
          <w:highlight w:val="none"/>
        </w:rPr>
        <w:t>参照原国家计委计价格【2002】1980号文和国家发改委发改办价格【2003】857号文的计算方法（按标段）收取</w:t>
      </w:r>
      <w:r>
        <w:rPr>
          <w:rFonts w:hint="eastAsia" w:ascii="楷体" w:hAnsi="楷体" w:eastAsia="楷体" w:cs="楷体"/>
          <w:sz w:val="24"/>
          <w:szCs w:val="24"/>
          <w:highlight w:val="none"/>
          <w:lang w:eastAsia="zh-CN"/>
        </w:rPr>
        <w:t>；</w:t>
      </w:r>
    </w:p>
    <w:p w14:paraId="512C5EFB">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中标单位的招标代理服务费交纳信息：</w:t>
      </w:r>
    </w:p>
    <w:p w14:paraId="2F8B29A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银行户名：陕西中海建招标有限责任公司</w:t>
      </w:r>
    </w:p>
    <w:p w14:paraId="329F5446">
      <w:pPr>
        <w:pageBreakBefore w:val="0"/>
        <w:widowControl/>
        <w:kinsoku/>
        <w:overflowPunct/>
        <w:topLinePunct w:val="0"/>
        <w:autoSpaceDE/>
        <w:autoSpaceDN/>
        <w:bidi w:val="0"/>
        <w:adjustRightInd/>
        <w:snapToGrid/>
        <w:spacing w:line="440" w:lineRule="exact"/>
        <w:ind w:firstLine="504"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开户银行：招商银行股份有限公司西安高新技术开发区支行</w:t>
      </w:r>
    </w:p>
    <w:p w14:paraId="4CAD17CA">
      <w:pPr>
        <w:pageBreakBefore w:val="0"/>
        <w:widowControl/>
        <w:kinsoku/>
        <w:overflowPunct/>
        <w:topLinePunct w:val="0"/>
        <w:autoSpaceDE/>
        <w:autoSpaceDN/>
        <w:bidi w:val="0"/>
        <w:adjustRightInd/>
        <w:snapToGrid/>
        <w:spacing w:line="440" w:lineRule="exact"/>
        <w:ind w:firstLine="504" w:firstLineChars="200"/>
        <w:jc w:val="left"/>
        <w:textAlignment w:val="auto"/>
        <w:rPr>
          <w:rFonts w:hint="eastAsia" w:ascii="楷体" w:hAnsi="楷体" w:eastAsia="楷体" w:cs="楷体"/>
          <w:bCs/>
          <w:sz w:val="32"/>
          <w:szCs w:val="32"/>
          <w:highlight w:val="none"/>
        </w:rPr>
      </w:pPr>
      <w:r>
        <w:rPr>
          <w:rFonts w:hint="eastAsia" w:ascii="楷体" w:hAnsi="楷体" w:eastAsia="楷体" w:cs="楷体"/>
          <w:sz w:val="24"/>
          <w:szCs w:val="24"/>
          <w:highlight w:val="none"/>
        </w:rPr>
        <w:t>账    号：129908913710101</w:t>
      </w:r>
      <w:r>
        <w:rPr>
          <w:rFonts w:hint="eastAsia" w:ascii="楷体" w:hAnsi="楷体" w:eastAsia="楷体" w:cs="楷体"/>
          <w:bCs/>
          <w:sz w:val="32"/>
          <w:szCs w:val="32"/>
          <w:highlight w:val="none"/>
        </w:rPr>
        <w:br w:type="page"/>
      </w:r>
      <w:bookmarkStart w:id="154" w:name="_Toc13057"/>
    </w:p>
    <w:p w14:paraId="504F692D">
      <w:pPr>
        <w:pageBreakBefore w:val="0"/>
        <w:widowControl/>
        <w:kinsoku/>
        <w:overflowPunct/>
        <w:topLinePunct w:val="0"/>
        <w:autoSpaceDE/>
        <w:autoSpaceDN/>
        <w:bidi w:val="0"/>
        <w:adjustRightInd/>
        <w:snapToGrid/>
        <w:spacing w:line="440" w:lineRule="exact"/>
        <w:jc w:val="center"/>
        <w:textAlignment w:val="auto"/>
        <w:rPr>
          <w:rFonts w:hint="eastAsia" w:ascii="楷体" w:hAnsi="楷体" w:eastAsia="楷体" w:cs="楷体"/>
          <w:bCs/>
          <w:sz w:val="32"/>
          <w:szCs w:val="32"/>
          <w:highlight w:val="none"/>
        </w:rPr>
      </w:pPr>
    </w:p>
    <w:p w14:paraId="74FDE3F8">
      <w:pPr>
        <w:pageBreakBefore w:val="0"/>
        <w:widowControl/>
        <w:kinsoku/>
        <w:overflowPunct/>
        <w:topLinePunct w:val="0"/>
        <w:autoSpaceDE/>
        <w:autoSpaceDN/>
        <w:bidi w:val="0"/>
        <w:adjustRightInd/>
        <w:snapToGrid/>
        <w:spacing w:line="440" w:lineRule="exact"/>
        <w:jc w:val="center"/>
        <w:textAlignment w:val="auto"/>
        <w:rPr>
          <w:rFonts w:hint="eastAsia" w:ascii="楷体" w:hAnsi="楷体" w:eastAsia="楷体" w:cs="楷体"/>
          <w:color w:val="auto"/>
          <w:sz w:val="36"/>
          <w:szCs w:val="36"/>
          <w:highlight w:val="none"/>
        </w:rPr>
      </w:pPr>
      <w:r>
        <w:rPr>
          <w:rStyle w:val="45"/>
          <w:rFonts w:hint="eastAsia" w:ascii="楷体" w:hAnsi="楷体" w:eastAsia="楷体" w:cs="楷体"/>
          <w:color w:val="auto"/>
          <w:sz w:val="36"/>
          <w:szCs w:val="36"/>
          <w:highlight w:val="none"/>
        </w:rPr>
        <w:t>第三章  磋商内容及采购要求</w:t>
      </w:r>
      <w:bookmarkEnd w:id="154"/>
    </w:p>
    <w:bookmarkEnd w:id="118"/>
    <w:bookmarkEnd w:id="119"/>
    <w:bookmarkEnd w:id="120"/>
    <w:bookmarkEnd w:id="121"/>
    <w:bookmarkEnd w:id="122"/>
    <w:bookmarkEnd w:id="123"/>
    <w:bookmarkEnd w:id="124"/>
    <w:bookmarkEnd w:id="125"/>
    <w:bookmarkEnd w:id="126"/>
    <w:bookmarkEnd w:id="127"/>
    <w:bookmarkEnd w:id="128"/>
    <w:p w14:paraId="7CC1A0AA">
      <w:pPr>
        <w:pStyle w:val="2"/>
        <w:keepNext/>
        <w:keepLines/>
        <w:pageBreakBefore w:val="0"/>
        <w:widowControl w:val="0"/>
        <w:numPr>
          <w:ilvl w:val="0"/>
          <w:numId w:val="0"/>
        </w:numPr>
        <w:kinsoku/>
        <w:wordWrap/>
        <w:overflowPunct/>
        <w:topLinePunct w:val="0"/>
        <w:autoSpaceDE/>
        <w:autoSpaceDN/>
        <w:bidi w:val="0"/>
        <w:adjustRightInd/>
        <w:snapToGrid/>
        <w:spacing w:before="0" w:after="0" w:line="400" w:lineRule="exact"/>
        <w:jc w:val="both"/>
        <w:textAlignment w:val="auto"/>
        <w:rPr>
          <w:rFonts w:hint="eastAsia" w:ascii="楷体" w:hAnsi="楷体" w:eastAsia="楷体" w:cs="楷体"/>
          <w:sz w:val="28"/>
          <w:szCs w:val="28"/>
          <w:highlight w:val="none"/>
          <w:lang w:eastAsia="zh-CN"/>
        </w:rPr>
      </w:pPr>
      <w:bookmarkStart w:id="155" w:name="_Toc22627_WPSOffice_Level1"/>
      <w:bookmarkStart w:id="156" w:name="_Toc4567_WPSOffice_Level1"/>
      <w:bookmarkStart w:id="157" w:name="_Toc25795_WPSOffice_Level1"/>
      <w:bookmarkStart w:id="158" w:name="_Toc21227"/>
      <w:bookmarkStart w:id="159" w:name="_Toc19971"/>
    </w:p>
    <w:p w14:paraId="7D4C7B00">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lang w:val="en-US" w:eastAsia="zh-CN"/>
        </w:rPr>
      </w:pPr>
      <w:bookmarkStart w:id="160" w:name="_Toc24287"/>
    </w:p>
    <w:p w14:paraId="72DB8463">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lang w:eastAsia="zh-CN"/>
        </w:rPr>
      </w:pPr>
      <w:r>
        <w:rPr>
          <w:rFonts w:hint="eastAsia" w:ascii="楷体" w:hAnsi="楷体" w:eastAsia="楷体" w:cs="楷体"/>
          <w:sz w:val="24"/>
          <w:szCs w:val="24"/>
          <w:lang w:eastAsia="zh-CN"/>
        </w:rPr>
        <w:t>一、项目概况</w:t>
      </w:r>
    </w:p>
    <w:p w14:paraId="0D240119">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rPr>
      </w:pPr>
      <w:r>
        <w:rPr>
          <w:rFonts w:hint="eastAsia" w:ascii="楷体" w:hAnsi="楷体" w:eastAsia="楷体" w:cs="楷体"/>
          <w:sz w:val="24"/>
          <w:szCs w:val="24"/>
        </w:rPr>
        <w:t>提供国家传染病智能监测预警前置软件服务器软硬件环境配置所需CA数字证书，所提供的CA数字证书与现有传染病网络直报系统采用的CA证书兼容互认。满足二级及以上医疗机构疾控系统的正常使用。</w:t>
      </w:r>
    </w:p>
    <w:p w14:paraId="34198FF2">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lang w:eastAsia="zh-CN"/>
        </w:rPr>
      </w:pPr>
      <w:r>
        <w:rPr>
          <w:rFonts w:hint="eastAsia" w:ascii="楷体" w:hAnsi="楷体" w:eastAsia="楷体" w:cs="楷体"/>
          <w:sz w:val="24"/>
          <w:szCs w:val="24"/>
          <w:lang w:eastAsia="zh-CN"/>
        </w:rPr>
        <w:t>二、技术要求</w:t>
      </w:r>
    </w:p>
    <w:p w14:paraId="192D1D6C">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rPr>
      </w:pPr>
      <w:r>
        <w:rPr>
          <w:rFonts w:hint="eastAsia" w:ascii="楷体" w:hAnsi="楷体" w:eastAsia="楷体" w:cs="楷体"/>
          <w:sz w:val="24"/>
          <w:szCs w:val="24"/>
        </w:rPr>
        <w:t>1.所用CA证书应与国家传染病网络直报系统采用的CA证书兼容互认；</w:t>
      </w:r>
    </w:p>
    <w:p w14:paraId="5615E8EA">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rPr>
      </w:pPr>
      <w:r>
        <w:rPr>
          <w:rFonts w:hint="eastAsia" w:ascii="楷体" w:hAnsi="楷体" w:eastAsia="楷体" w:cs="楷体"/>
          <w:sz w:val="24"/>
          <w:szCs w:val="24"/>
        </w:rPr>
        <w:t>2.所用CA证书应与疾控前置密码机无缝兼容使用；</w:t>
      </w:r>
    </w:p>
    <w:p w14:paraId="1C55DB3D">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rPr>
      </w:pPr>
      <w:r>
        <w:rPr>
          <w:rFonts w:hint="eastAsia" w:ascii="楷体" w:hAnsi="楷体" w:eastAsia="楷体" w:cs="楷体"/>
          <w:sz w:val="24"/>
          <w:szCs w:val="24"/>
        </w:rPr>
        <w:t>3.标识单位用户网络身份；</w:t>
      </w:r>
    </w:p>
    <w:p w14:paraId="790DA70F">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rPr>
      </w:pPr>
      <w:r>
        <w:rPr>
          <w:rFonts w:hint="eastAsia" w:ascii="楷体" w:hAnsi="楷体" w:eastAsia="楷体" w:cs="楷体"/>
          <w:sz w:val="24"/>
          <w:szCs w:val="24"/>
          <w:lang w:val="en-US" w:eastAsia="zh-CN"/>
        </w:rPr>
        <w:t>4.</w:t>
      </w:r>
      <w:r>
        <w:rPr>
          <w:rFonts w:hint="eastAsia" w:ascii="楷体" w:hAnsi="楷体" w:eastAsia="楷体" w:cs="楷体"/>
          <w:sz w:val="24"/>
          <w:szCs w:val="24"/>
        </w:rPr>
        <w:t>证书格式标准遵循 x.509v3标准；</w:t>
      </w:r>
    </w:p>
    <w:p w14:paraId="47E38585">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rPr>
      </w:pPr>
      <w:r>
        <w:rPr>
          <w:rFonts w:hint="eastAsia" w:ascii="楷体" w:hAnsi="楷体" w:eastAsia="楷体" w:cs="楷体"/>
          <w:sz w:val="24"/>
          <w:szCs w:val="24"/>
        </w:rPr>
        <w:t>5.支持自定义证书扩展域管理 ；</w:t>
      </w:r>
    </w:p>
    <w:p w14:paraId="04DEDA30">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rPr>
      </w:pPr>
      <w:r>
        <w:rPr>
          <w:rFonts w:hint="eastAsia" w:ascii="楷体" w:hAnsi="楷体" w:eastAsia="楷体" w:cs="楷体"/>
          <w:sz w:val="24"/>
          <w:szCs w:val="24"/>
        </w:rPr>
        <w:t>6.证书包含5年有效期；</w:t>
      </w:r>
    </w:p>
    <w:p w14:paraId="4B6B1E34">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lang w:eastAsia="zh-CN"/>
        </w:rPr>
      </w:pPr>
      <w:r>
        <w:rPr>
          <w:rFonts w:hint="eastAsia" w:ascii="楷体" w:hAnsi="楷体" w:eastAsia="楷体" w:cs="楷体"/>
          <w:sz w:val="24"/>
          <w:szCs w:val="24"/>
          <w:lang w:eastAsia="zh-CN"/>
        </w:rPr>
        <w:t>三、服务要求</w:t>
      </w:r>
    </w:p>
    <w:p w14:paraId="560CC7EF">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lang w:eastAsia="zh-CN"/>
        </w:rPr>
      </w:pPr>
      <w:r>
        <w:rPr>
          <w:rFonts w:hint="eastAsia" w:ascii="楷体" w:hAnsi="楷体" w:eastAsia="楷体" w:cs="楷体"/>
          <w:sz w:val="24"/>
          <w:szCs w:val="24"/>
          <w:lang w:eastAsia="zh-CN"/>
        </w:rPr>
        <w:t>保障服务24 小时正常运行；365×7×24 小时技术支持；技术维护人员1 分钟内响应，30 分钟内解决。</w:t>
      </w:r>
    </w:p>
    <w:p w14:paraId="1D365F6F">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lang w:eastAsia="zh-CN"/>
        </w:rPr>
      </w:pPr>
    </w:p>
    <w:p w14:paraId="6EB4E53C">
      <w:pPr>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rPr>
          <w:rFonts w:hint="eastAsia" w:ascii="楷体" w:hAnsi="楷体" w:eastAsia="楷体" w:cs="楷体"/>
          <w:sz w:val="24"/>
          <w:szCs w:val="24"/>
          <w:lang w:eastAsia="zh-CN"/>
        </w:rPr>
      </w:pPr>
    </w:p>
    <w:p w14:paraId="6946D3B1">
      <w:pPr>
        <w:rPr>
          <w:rStyle w:val="45"/>
          <w:rFonts w:hint="eastAsia" w:ascii="楷体" w:hAnsi="楷体" w:eastAsia="楷体" w:cs="楷体"/>
          <w:color w:val="auto"/>
          <w:sz w:val="36"/>
          <w:szCs w:val="36"/>
          <w:highlight w:val="none"/>
        </w:rPr>
      </w:pPr>
      <w:r>
        <w:rPr>
          <w:rStyle w:val="45"/>
          <w:rFonts w:hint="eastAsia" w:ascii="楷体" w:hAnsi="楷体" w:eastAsia="楷体" w:cs="楷体"/>
          <w:color w:val="auto"/>
          <w:sz w:val="36"/>
          <w:szCs w:val="36"/>
          <w:highlight w:val="none"/>
        </w:rPr>
        <w:br w:type="page"/>
      </w:r>
    </w:p>
    <w:p w14:paraId="7184B784">
      <w:pPr>
        <w:keepNext w:val="0"/>
        <w:keepLines w:val="0"/>
        <w:pageBreakBefore w:val="0"/>
        <w:widowControl/>
        <w:kinsoku/>
        <w:wordWrap/>
        <w:overflowPunct/>
        <w:topLinePunct w:val="0"/>
        <w:autoSpaceDE/>
        <w:autoSpaceDN/>
        <w:bidi w:val="0"/>
        <w:adjustRightInd/>
        <w:snapToGrid/>
        <w:spacing w:line="360" w:lineRule="auto"/>
        <w:jc w:val="center"/>
        <w:textAlignment w:val="auto"/>
        <w:rPr>
          <w:rStyle w:val="45"/>
          <w:rFonts w:hint="eastAsia" w:ascii="楷体" w:hAnsi="楷体" w:eastAsia="楷体" w:cs="楷体"/>
          <w:b w:val="0"/>
          <w:bCs w:val="0"/>
          <w:color w:val="auto"/>
          <w:sz w:val="24"/>
          <w:szCs w:val="24"/>
        </w:rPr>
      </w:pPr>
      <w:r>
        <w:rPr>
          <w:rStyle w:val="45"/>
          <w:rFonts w:hint="eastAsia" w:ascii="楷体" w:hAnsi="楷体" w:eastAsia="楷体" w:cs="楷体"/>
          <w:color w:val="auto"/>
          <w:sz w:val="36"/>
          <w:szCs w:val="36"/>
          <w:highlight w:val="none"/>
        </w:rPr>
        <w:t xml:space="preserve">第四章  </w:t>
      </w:r>
      <w:bookmarkEnd w:id="155"/>
      <w:bookmarkEnd w:id="156"/>
      <w:bookmarkEnd w:id="157"/>
      <w:r>
        <w:rPr>
          <w:rStyle w:val="45"/>
          <w:rFonts w:hint="eastAsia" w:ascii="楷体" w:hAnsi="楷体" w:eastAsia="楷体" w:cs="楷体"/>
          <w:color w:val="auto"/>
          <w:sz w:val="36"/>
          <w:szCs w:val="36"/>
          <w:highlight w:val="none"/>
          <w:lang w:eastAsia="zh-CN"/>
        </w:rPr>
        <w:t>商务要求</w:t>
      </w:r>
      <w:r>
        <w:rPr>
          <w:rStyle w:val="45"/>
          <w:rFonts w:hint="eastAsia" w:ascii="楷体" w:hAnsi="楷体" w:eastAsia="楷体" w:cs="楷体"/>
          <w:color w:val="auto"/>
          <w:sz w:val="36"/>
          <w:szCs w:val="36"/>
          <w:highlight w:val="none"/>
        </w:rPr>
        <w:t>（合同草案条款）</w:t>
      </w:r>
      <w:bookmarkEnd w:id="158"/>
      <w:bookmarkEnd w:id="159"/>
      <w:bookmarkEnd w:id="160"/>
    </w:p>
    <w:p w14:paraId="2600AB83">
      <w:pPr>
        <w:keepNext w:val="0"/>
        <w:keepLines w:val="0"/>
        <w:pageBreakBefore w:val="0"/>
        <w:widowControl/>
        <w:numPr>
          <w:ilvl w:val="0"/>
          <w:numId w:val="3"/>
        </w:numPr>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rPr>
      </w:pPr>
      <w:r>
        <w:rPr>
          <w:rStyle w:val="45"/>
          <w:rFonts w:hint="eastAsia" w:ascii="楷体" w:hAnsi="楷体" w:eastAsia="楷体" w:cs="楷体"/>
          <w:b w:val="0"/>
          <w:bCs w:val="0"/>
          <w:color w:val="auto"/>
          <w:sz w:val="24"/>
          <w:szCs w:val="24"/>
          <w:lang w:eastAsia="zh-CN"/>
        </w:rPr>
        <w:t>服务期限</w:t>
      </w:r>
      <w:r>
        <w:rPr>
          <w:rStyle w:val="45"/>
          <w:rFonts w:hint="eastAsia" w:ascii="楷体" w:hAnsi="楷体" w:eastAsia="楷体" w:cs="楷体"/>
          <w:b w:val="0"/>
          <w:bCs w:val="0"/>
          <w:color w:val="auto"/>
          <w:sz w:val="24"/>
          <w:szCs w:val="24"/>
        </w:rPr>
        <w:t>、</w:t>
      </w:r>
      <w:r>
        <w:rPr>
          <w:rStyle w:val="45"/>
          <w:rFonts w:hint="eastAsia" w:ascii="楷体" w:hAnsi="楷体" w:eastAsia="楷体" w:cs="楷体"/>
          <w:b w:val="0"/>
          <w:bCs w:val="0"/>
          <w:color w:val="auto"/>
          <w:sz w:val="24"/>
          <w:szCs w:val="24"/>
          <w:lang w:eastAsia="zh-CN"/>
        </w:rPr>
        <w:t>服务地点</w:t>
      </w:r>
      <w:r>
        <w:rPr>
          <w:rStyle w:val="45"/>
          <w:rFonts w:hint="eastAsia" w:ascii="楷体" w:hAnsi="楷体" w:eastAsia="楷体" w:cs="楷体"/>
          <w:b w:val="0"/>
          <w:bCs w:val="0"/>
          <w:color w:val="auto"/>
          <w:sz w:val="24"/>
          <w:szCs w:val="24"/>
        </w:rPr>
        <w:t>及</w:t>
      </w:r>
      <w:r>
        <w:rPr>
          <w:rStyle w:val="45"/>
          <w:rFonts w:hint="eastAsia" w:ascii="楷体" w:hAnsi="楷体" w:eastAsia="楷体" w:cs="楷体"/>
          <w:b w:val="0"/>
          <w:bCs w:val="0"/>
          <w:color w:val="auto"/>
          <w:sz w:val="24"/>
          <w:szCs w:val="24"/>
          <w:lang w:eastAsia="zh-CN"/>
        </w:rPr>
        <w:t>交付要求</w:t>
      </w:r>
      <w:r>
        <w:rPr>
          <w:rStyle w:val="45"/>
          <w:rFonts w:hint="eastAsia" w:ascii="楷体" w:hAnsi="楷体" w:eastAsia="楷体" w:cs="楷体"/>
          <w:b w:val="0"/>
          <w:bCs w:val="0"/>
          <w:color w:val="auto"/>
          <w:sz w:val="24"/>
          <w:szCs w:val="24"/>
        </w:rPr>
        <w:t>：</w:t>
      </w:r>
    </w:p>
    <w:p w14:paraId="4A387EA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single"/>
          <w:lang w:val="en-US" w:eastAsia="zh-CN"/>
        </w:rPr>
      </w:pPr>
      <w:r>
        <w:rPr>
          <w:rStyle w:val="45"/>
          <w:rFonts w:hint="eastAsia" w:ascii="楷体" w:hAnsi="楷体" w:eastAsia="楷体" w:cs="楷体"/>
          <w:b w:val="0"/>
          <w:bCs w:val="0"/>
          <w:color w:val="auto"/>
          <w:sz w:val="24"/>
          <w:szCs w:val="24"/>
          <w:highlight w:val="none"/>
          <w:lang w:val="en-US" w:eastAsia="zh-CN"/>
        </w:rPr>
        <w:t>1.1</w:t>
      </w:r>
      <w:r>
        <w:rPr>
          <w:rStyle w:val="45"/>
          <w:rFonts w:hint="eastAsia" w:ascii="楷体" w:hAnsi="楷体" w:eastAsia="楷体" w:cs="楷体"/>
          <w:b w:val="0"/>
          <w:bCs w:val="0"/>
          <w:color w:val="auto"/>
          <w:sz w:val="24"/>
          <w:szCs w:val="24"/>
          <w:highlight w:val="none"/>
          <w:lang w:eastAsia="zh-CN"/>
        </w:rPr>
        <w:t>服务期限</w:t>
      </w:r>
      <w:r>
        <w:rPr>
          <w:rStyle w:val="45"/>
          <w:rFonts w:hint="eastAsia" w:ascii="楷体" w:hAnsi="楷体" w:eastAsia="楷体" w:cs="楷体"/>
          <w:b w:val="0"/>
          <w:bCs w:val="0"/>
          <w:color w:val="auto"/>
          <w:sz w:val="24"/>
          <w:szCs w:val="24"/>
          <w:highlight w:val="none"/>
        </w:rPr>
        <w:t>：</w:t>
      </w:r>
      <w:r>
        <w:rPr>
          <w:rStyle w:val="45"/>
          <w:rFonts w:hint="eastAsia" w:ascii="楷体" w:hAnsi="楷体" w:eastAsia="楷体" w:cs="楷体"/>
          <w:b w:val="0"/>
          <w:bCs w:val="0"/>
          <w:color w:val="auto"/>
          <w:sz w:val="24"/>
          <w:szCs w:val="24"/>
          <w:highlight w:val="none"/>
          <w:u w:val="none"/>
          <w:lang w:val="en-US" w:eastAsia="zh-CN"/>
        </w:rPr>
        <w:t>5</w:t>
      </w:r>
      <w:r>
        <w:rPr>
          <w:rStyle w:val="45"/>
          <w:rFonts w:hint="eastAsia" w:ascii="楷体" w:hAnsi="楷体" w:eastAsia="楷体" w:cs="楷体"/>
          <w:b w:val="0"/>
          <w:bCs w:val="0"/>
          <w:color w:val="auto"/>
          <w:sz w:val="24"/>
          <w:szCs w:val="24"/>
          <w:highlight w:val="none"/>
          <w:u w:val="none"/>
        </w:rPr>
        <w:t>年</w:t>
      </w:r>
      <w:r>
        <w:rPr>
          <w:rStyle w:val="45"/>
          <w:rFonts w:hint="eastAsia" w:ascii="楷体" w:hAnsi="楷体" w:eastAsia="楷体" w:cs="楷体"/>
          <w:b w:val="0"/>
          <w:bCs w:val="0"/>
          <w:color w:val="auto"/>
          <w:sz w:val="24"/>
          <w:szCs w:val="24"/>
          <w:highlight w:val="none"/>
          <w:u w:val="none"/>
          <w:lang w:val="en-US" w:eastAsia="zh-CN"/>
        </w:rPr>
        <w:t xml:space="preserve"> </w:t>
      </w:r>
    </w:p>
    <w:p w14:paraId="25C9B5B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left"/>
        <w:textAlignment w:val="auto"/>
        <w:rPr>
          <w:rStyle w:val="45"/>
          <w:rFonts w:hint="eastAsia" w:ascii="楷体" w:hAnsi="楷体" w:eastAsia="楷体" w:cs="楷体"/>
          <w:b w:val="0"/>
          <w:bCs w:val="0"/>
          <w:color w:val="auto"/>
          <w:sz w:val="24"/>
          <w:szCs w:val="24"/>
        </w:rPr>
      </w:pPr>
      <w:r>
        <w:rPr>
          <w:rStyle w:val="45"/>
          <w:rFonts w:hint="eastAsia" w:ascii="楷体" w:hAnsi="楷体" w:eastAsia="楷体" w:cs="楷体"/>
          <w:b w:val="0"/>
          <w:bCs w:val="0"/>
          <w:color w:val="auto"/>
          <w:sz w:val="24"/>
          <w:szCs w:val="24"/>
          <w:lang w:val="en-US" w:eastAsia="zh-CN"/>
        </w:rPr>
        <w:t>1.2</w:t>
      </w:r>
      <w:r>
        <w:rPr>
          <w:rStyle w:val="45"/>
          <w:rFonts w:hint="eastAsia" w:ascii="楷体" w:hAnsi="楷体" w:eastAsia="楷体" w:cs="楷体"/>
          <w:b w:val="0"/>
          <w:bCs w:val="0"/>
          <w:color w:val="auto"/>
          <w:sz w:val="24"/>
          <w:szCs w:val="24"/>
          <w:lang w:eastAsia="zh-CN"/>
        </w:rPr>
        <w:t>服务地点</w:t>
      </w:r>
      <w:r>
        <w:rPr>
          <w:rStyle w:val="45"/>
          <w:rFonts w:hint="eastAsia" w:ascii="楷体" w:hAnsi="楷体" w:eastAsia="楷体" w:cs="楷体"/>
          <w:b w:val="0"/>
          <w:bCs w:val="0"/>
          <w:color w:val="auto"/>
          <w:sz w:val="24"/>
          <w:szCs w:val="24"/>
        </w:rPr>
        <w:t>：</w:t>
      </w:r>
      <w:r>
        <w:rPr>
          <w:rStyle w:val="45"/>
          <w:rFonts w:hint="eastAsia" w:ascii="楷体" w:hAnsi="楷体" w:eastAsia="楷体" w:cs="楷体"/>
          <w:b w:val="0"/>
          <w:bCs w:val="0"/>
          <w:color w:val="auto"/>
          <w:sz w:val="24"/>
          <w:szCs w:val="24"/>
          <w:lang w:val="en-US" w:eastAsia="zh-CN"/>
        </w:rPr>
        <w:t>由采购人指定地点</w:t>
      </w:r>
    </w:p>
    <w:p w14:paraId="5D4E195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lang w:eastAsia="zh-CN"/>
        </w:rPr>
      </w:pPr>
      <w:r>
        <w:rPr>
          <w:rStyle w:val="45"/>
          <w:rFonts w:hint="eastAsia" w:ascii="楷体" w:hAnsi="楷体" w:eastAsia="楷体" w:cs="楷体"/>
          <w:b w:val="0"/>
          <w:bCs w:val="0"/>
          <w:color w:val="auto"/>
          <w:sz w:val="24"/>
          <w:szCs w:val="24"/>
          <w:lang w:val="en-US" w:eastAsia="zh-CN"/>
        </w:rPr>
        <w:t>1.3</w:t>
      </w:r>
      <w:r>
        <w:rPr>
          <w:rStyle w:val="45"/>
          <w:rFonts w:hint="eastAsia" w:ascii="楷体" w:hAnsi="楷体" w:eastAsia="楷体" w:cs="楷体"/>
          <w:b w:val="0"/>
          <w:bCs w:val="0"/>
          <w:color w:val="auto"/>
          <w:sz w:val="24"/>
          <w:szCs w:val="24"/>
          <w:lang w:eastAsia="zh-CN"/>
        </w:rPr>
        <w:t>交付要求</w:t>
      </w:r>
      <w:r>
        <w:rPr>
          <w:rStyle w:val="45"/>
          <w:rFonts w:hint="eastAsia" w:ascii="楷体" w:hAnsi="楷体" w:eastAsia="楷体" w:cs="楷体"/>
          <w:b w:val="0"/>
          <w:bCs w:val="0"/>
          <w:color w:val="auto"/>
          <w:sz w:val="24"/>
          <w:szCs w:val="24"/>
        </w:rPr>
        <w:t>：</w:t>
      </w:r>
      <w:r>
        <w:rPr>
          <w:rStyle w:val="45"/>
          <w:rFonts w:hint="eastAsia" w:ascii="楷体" w:hAnsi="楷体" w:eastAsia="楷体" w:cs="楷体"/>
          <w:b w:val="0"/>
          <w:bCs w:val="0"/>
          <w:color w:val="auto"/>
          <w:sz w:val="24"/>
          <w:szCs w:val="24"/>
          <w:lang w:eastAsia="zh-CN"/>
        </w:rPr>
        <w:t>产品功能符合竞争性磋商文件的要求。</w:t>
      </w:r>
    </w:p>
    <w:p w14:paraId="2910837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rPr>
      </w:pPr>
      <w:r>
        <w:rPr>
          <w:rStyle w:val="45"/>
          <w:rFonts w:hint="eastAsia" w:ascii="楷体" w:hAnsi="楷体" w:eastAsia="楷体" w:cs="楷体"/>
          <w:b w:val="0"/>
          <w:bCs w:val="0"/>
          <w:color w:val="auto"/>
          <w:sz w:val="24"/>
          <w:szCs w:val="24"/>
        </w:rPr>
        <w:t>2.报价要求：</w:t>
      </w:r>
      <w:r>
        <w:rPr>
          <w:rFonts w:hint="eastAsia" w:ascii="楷体" w:hAnsi="楷体" w:eastAsia="楷体" w:cs="楷体"/>
          <w:color w:val="auto"/>
          <w:sz w:val="24"/>
          <w:szCs w:val="24"/>
        </w:rPr>
        <w:t>供应商响应磋商项目要求的全部工作内容的价格体现，包括完成采购内容所需的直接费、间接费、利润、税金及其它相关的一切费用。供应商在报价时应充分考虑所有可能发生的费用，</w:t>
      </w:r>
      <w:r>
        <w:rPr>
          <w:rFonts w:hint="eastAsia" w:ascii="楷体" w:hAnsi="楷体" w:eastAsia="楷体" w:cs="楷体"/>
          <w:color w:val="auto"/>
          <w:sz w:val="24"/>
          <w:szCs w:val="24"/>
          <w:lang w:val="zh-CN"/>
        </w:rPr>
        <w:t>磋商</w:t>
      </w:r>
      <w:r>
        <w:rPr>
          <w:rFonts w:hint="eastAsia" w:ascii="楷体" w:hAnsi="楷体" w:eastAsia="楷体" w:cs="楷体"/>
          <w:color w:val="auto"/>
          <w:sz w:val="24"/>
          <w:szCs w:val="24"/>
        </w:rPr>
        <w:t>文件未列明，而供应商认为应当计取的费用均应列入报价中。</w:t>
      </w:r>
    </w:p>
    <w:p w14:paraId="184B86C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rPr>
        <w:t>3.付款方式：验收合格后，乙方持成交通知书、服务合同、正式发票、项目</w:t>
      </w:r>
    </w:p>
    <w:p w14:paraId="1E127577">
      <w:pPr>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rPr>
        <w:t>验收单，与甲方</w:t>
      </w:r>
      <w:r>
        <w:rPr>
          <w:rStyle w:val="45"/>
          <w:rFonts w:hint="eastAsia" w:ascii="楷体" w:hAnsi="楷体" w:eastAsia="楷体" w:cs="楷体"/>
          <w:b w:val="0"/>
          <w:bCs w:val="0"/>
          <w:color w:val="auto"/>
          <w:sz w:val="24"/>
          <w:szCs w:val="24"/>
          <w:highlight w:val="none"/>
          <w:u w:val="none"/>
          <w:lang w:eastAsia="zh-CN"/>
        </w:rPr>
        <w:t>一次性</w:t>
      </w:r>
      <w:r>
        <w:rPr>
          <w:rStyle w:val="45"/>
          <w:rFonts w:hint="eastAsia" w:ascii="楷体" w:hAnsi="楷体" w:eastAsia="楷体" w:cs="楷体"/>
          <w:b w:val="0"/>
          <w:bCs w:val="0"/>
          <w:color w:val="auto"/>
          <w:sz w:val="24"/>
          <w:szCs w:val="24"/>
          <w:highlight w:val="none"/>
          <w:u w:val="none"/>
        </w:rPr>
        <w:t>结算。</w:t>
      </w:r>
    </w:p>
    <w:p w14:paraId="7FE076B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lang w:val="en-US" w:eastAsia="zh-CN"/>
        </w:rPr>
        <w:t>4.</w:t>
      </w:r>
      <w:r>
        <w:rPr>
          <w:rStyle w:val="45"/>
          <w:rFonts w:hint="eastAsia" w:ascii="楷体" w:hAnsi="楷体" w:eastAsia="楷体" w:cs="楷体"/>
          <w:b w:val="0"/>
          <w:bCs w:val="0"/>
          <w:color w:val="auto"/>
          <w:sz w:val="24"/>
          <w:szCs w:val="24"/>
          <w:highlight w:val="none"/>
          <w:u w:val="none"/>
        </w:rPr>
        <w:t>验收</w:t>
      </w:r>
    </w:p>
    <w:p w14:paraId="70603D9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lang w:val="en-US" w:eastAsia="zh-CN"/>
        </w:rPr>
        <w:t>4.</w:t>
      </w:r>
      <w:r>
        <w:rPr>
          <w:rStyle w:val="45"/>
          <w:rFonts w:hint="eastAsia" w:ascii="楷体" w:hAnsi="楷体" w:eastAsia="楷体" w:cs="楷体"/>
          <w:b w:val="0"/>
          <w:bCs w:val="0"/>
          <w:color w:val="auto"/>
          <w:sz w:val="24"/>
          <w:szCs w:val="24"/>
          <w:highlight w:val="none"/>
          <w:u w:val="none"/>
        </w:rPr>
        <w:t>1乙方开通服务后，由乙方进行自检，自检合格后邀请甲方进行验收。甲方</w:t>
      </w:r>
    </w:p>
    <w:p w14:paraId="68CE2929">
      <w:pPr>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rPr>
        <w:t>确认乙方的自检内容后，组织乙方（必要时请有关专家）进行验收，验收合格后，项目验收单作为对服务的最终认可。</w:t>
      </w:r>
    </w:p>
    <w:p w14:paraId="5FCCEC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lang w:val="en-US" w:eastAsia="zh-CN"/>
        </w:rPr>
        <w:t>4.</w:t>
      </w:r>
      <w:r>
        <w:rPr>
          <w:rStyle w:val="45"/>
          <w:rFonts w:hint="eastAsia" w:ascii="楷体" w:hAnsi="楷体" w:eastAsia="楷体" w:cs="楷体"/>
          <w:b w:val="0"/>
          <w:bCs w:val="0"/>
          <w:color w:val="auto"/>
          <w:sz w:val="24"/>
          <w:szCs w:val="24"/>
          <w:highlight w:val="none"/>
          <w:u w:val="none"/>
        </w:rPr>
        <w:t>2验收依据：</w:t>
      </w:r>
    </w:p>
    <w:p w14:paraId="4EB59AD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lang w:val="en-US" w:eastAsia="zh-CN"/>
        </w:rPr>
        <w:t>4.</w:t>
      </w:r>
      <w:r>
        <w:rPr>
          <w:rStyle w:val="45"/>
          <w:rFonts w:hint="eastAsia" w:ascii="楷体" w:hAnsi="楷体" w:eastAsia="楷体" w:cs="楷体"/>
          <w:b w:val="0"/>
          <w:bCs w:val="0"/>
          <w:color w:val="auto"/>
          <w:sz w:val="24"/>
          <w:szCs w:val="24"/>
          <w:highlight w:val="none"/>
          <w:u w:val="none"/>
        </w:rPr>
        <w:t>2.1、本合同及附件文本；</w:t>
      </w:r>
    </w:p>
    <w:p w14:paraId="6486FCB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lang w:val="en-US" w:eastAsia="zh-CN"/>
        </w:rPr>
        <w:t>4.</w:t>
      </w:r>
      <w:r>
        <w:rPr>
          <w:rStyle w:val="45"/>
          <w:rFonts w:hint="eastAsia" w:ascii="楷体" w:hAnsi="楷体" w:eastAsia="楷体" w:cs="楷体"/>
          <w:b w:val="0"/>
          <w:bCs w:val="0"/>
          <w:color w:val="auto"/>
          <w:sz w:val="24"/>
          <w:szCs w:val="24"/>
          <w:highlight w:val="none"/>
          <w:u w:val="none"/>
        </w:rPr>
        <w:t>2.2、合同签订时国家及行业现行的标准和技术规范。</w:t>
      </w:r>
    </w:p>
    <w:p w14:paraId="268E22C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none"/>
          <w:u w:val="none"/>
        </w:rPr>
      </w:pPr>
      <w:r>
        <w:rPr>
          <w:rStyle w:val="45"/>
          <w:rFonts w:hint="eastAsia" w:ascii="楷体" w:hAnsi="楷体" w:eastAsia="楷体" w:cs="楷体"/>
          <w:b w:val="0"/>
          <w:bCs w:val="0"/>
          <w:color w:val="auto"/>
          <w:sz w:val="24"/>
          <w:szCs w:val="24"/>
          <w:highlight w:val="none"/>
          <w:u w:val="none"/>
          <w:lang w:val="en-US" w:eastAsia="zh-CN"/>
        </w:rPr>
        <w:t>4.</w:t>
      </w:r>
      <w:r>
        <w:rPr>
          <w:rStyle w:val="45"/>
          <w:rFonts w:hint="eastAsia" w:ascii="楷体" w:hAnsi="楷体" w:eastAsia="楷体" w:cs="楷体"/>
          <w:b w:val="0"/>
          <w:bCs w:val="0"/>
          <w:color w:val="auto"/>
          <w:sz w:val="24"/>
          <w:szCs w:val="24"/>
          <w:highlight w:val="none"/>
          <w:u w:val="none"/>
        </w:rPr>
        <w:t>3乙方向甲方提交服务实施过程中的所有资料。以便甲方日后管理和维护。</w:t>
      </w:r>
    </w:p>
    <w:p w14:paraId="62D0AE96">
      <w:pPr>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Style w:val="45"/>
          <w:rFonts w:hint="eastAsia" w:ascii="楷体" w:hAnsi="楷体" w:eastAsia="楷体" w:cs="楷体"/>
          <w:b w:val="0"/>
          <w:bCs w:val="0"/>
          <w:color w:val="auto"/>
          <w:sz w:val="24"/>
          <w:szCs w:val="24"/>
          <w:highlight w:val="none"/>
          <w:u w:val="none"/>
        </w:rPr>
      </w:pPr>
    </w:p>
    <w:p w14:paraId="2267C5E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04" w:firstLineChars="200"/>
        <w:jc w:val="both"/>
        <w:textAlignment w:val="auto"/>
        <w:rPr>
          <w:rStyle w:val="45"/>
          <w:rFonts w:hint="eastAsia" w:ascii="楷体" w:hAnsi="楷体" w:eastAsia="楷体" w:cs="楷体"/>
          <w:b w:val="0"/>
          <w:bCs w:val="0"/>
          <w:color w:val="auto"/>
          <w:sz w:val="24"/>
          <w:szCs w:val="24"/>
          <w:highlight w:val="yellow"/>
          <w:u w:val="none"/>
          <w:lang w:val="en-US" w:eastAsia="zh-CN"/>
        </w:rPr>
      </w:pPr>
    </w:p>
    <w:p w14:paraId="06D0682C">
      <w:pPr>
        <w:pStyle w:val="95"/>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outlineLvl w:val="3"/>
        <w:rPr>
          <w:rFonts w:hint="eastAsia" w:ascii="楷体" w:hAnsi="楷体" w:eastAsia="楷体" w:cs="楷体"/>
          <w:b/>
          <w:bCs w:val="0"/>
          <w:sz w:val="24"/>
          <w:szCs w:val="24"/>
          <w:highlight w:val="none"/>
          <w:lang w:val="en-US" w:eastAsia="zh-CN"/>
        </w:rPr>
      </w:pPr>
    </w:p>
    <w:p w14:paraId="04C34AD6">
      <w:pPr>
        <w:pStyle w:val="95"/>
        <w:keepNext w:val="0"/>
        <w:keepLines w:val="0"/>
        <w:pageBreakBefore w:val="0"/>
        <w:widowControl/>
        <w:kinsoku/>
        <w:wordWrap/>
        <w:overflowPunct/>
        <w:topLinePunct w:val="0"/>
        <w:autoSpaceDE/>
        <w:autoSpaceDN/>
        <w:bidi w:val="0"/>
        <w:adjustRightInd/>
        <w:snapToGrid/>
        <w:spacing w:line="360" w:lineRule="auto"/>
        <w:ind w:firstLine="504" w:firstLineChars="200"/>
        <w:textAlignment w:val="auto"/>
        <w:outlineLvl w:val="3"/>
        <w:rPr>
          <w:rFonts w:hint="eastAsia" w:ascii="楷体" w:hAnsi="楷体" w:eastAsia="楷体" w:cs="楷体"/>
          <w:b/>
          <w:bCs w:val="0"/>
          <w:sz w:val="24"/>
          <w:szCs w:val="24"/>
          <w:highlight w:val="none"/>
          <w:lang w:val="en-US" w:eastAsia="zh-CN"/>
        </w:rPr>
      </w:pPr>
    </w:p>
    <w:p w14:paraId="0AEE61CA">
      <w:pPr>
        <w:spacing w:beforeAutospacing="0" w:afterAutospacing="0" w:line="360" w:lineRule="auto"/>
        <w:jc w:val="both"/>
        <w:rPr>
          <w:rFonts w:hint="eastAsia" w:ascii="楷体" w:hAnsi="楷体" w:eastAsia="楷体" w:cs="楷体"/>
          <w:b w:val="0"/>
          <w:bCs w:val="0"/>
          <w:color w:val="auto"/>
          <w:spacing w:val="26"/>
          <w:sz w:val="32"/>
          <w:szCs w:val="32"/>
          <w:highlight w:val="none"/>
          <w:u w:val="none"/>
          <w:lang w:eastAsia="zh-CN"/>
        </w:rPr>
      </w:pPr>
    </w:p>
    <w:p w14:paraId="0EF47A75">
      <w:pPr>
        <w:spacing w:beforeAutospacing="0" w:afterAutospacing="0" w:line="360" w:lineRule="auto"/>
        <w:jc w:val="both"/>
        <w:rPr>
          <w:rFonts w:hint="eastAsia" w:ascii="楷体" w:hAnsi="楷体" w:eastAsia="楷体" w:cs="楷体"/>
          <w:b w:val="0"/>
          <w:bCs w:val="0"/>
          <w:color w:val="auto"/>
          <w:spacing w:val="26"/>
          <w:sz w:val="32"/>
          <w:szCs w:val="32"/>
          <w:highlight w:val="none"/>
          <w:u w:val="none"/>
          <w:lang w:eastAsia="zh-CN"/>
        </w:rPr>
      </w:pPr>
      <w:r>
        <w:rPr>
          <w:rFonts w:hint="eastAsia" w:ascii="楷体" w:hAnsi="楷体" w:eastAsia="楷体" w:cs="楷体"/>
          <w:b w:val="0"/>
          <w:bCs w:val="0"/>
          <w:color w:val="auto"/>
          <w:spacing w:val="26"/>
          <w:sz w:val="32"/>
          <w:szCs w:val="32"/>
          <w:highlight w:val="none"/>
          <w:u w:val="none"/>
          <w:lang w:eastAsia="zh-CN"/>
        </w:rPr>
        <w:t>合同格式：</w:t>
      </w:r>
    </w:p>
    <w:p w14:paraId="3973A602">
      <w:pPr>
        <w:spacing w:line="600" w:lineRule="auto"/>
        <w:jc w:val="center"/>
        <w:outlineLvl w:val="0"/>
        <w:rPr>
          <w:rFonts w:hint="eastAsia" w:ascii="楷体" w:hAnsi="楷体" w:eastAsia="楷体" w:cs="楷体"/>
          <w:b w:val="0"/>
          <w:bCs w:val="0"/>
          <w:spacing w:val="26"/>
          <w:sz w:val="84"/>
          <w:szCs w:val="84"/>
        </w:rPr>
      </w:pPr>
      <w:r>
        <w:rPr>
          <w:rFonts w:hint="eastAsia" w:ascii="楷体" w:hAnsi="楷体" w:eastAsia="楷体" w:cs="楷体"/>
          <w:b/>
          <w:color w:val="auto"/>
          <w:sz w:val="48"/>
          <w:szCs w:val="40"/>
          <w:highlight w:val="none"/>
          <w:lang w:eastAsia="zh-CN"/>
        </w:rPr>
        <w:t>安康市疾病预防控制中心（市卫生监督所）前置软件单位数字证书服务项目</w:t>
      </w:r>
    </w:p>
    <w:p w14:paraId="504C1FE8">
      <w:pPr>
        <w:pStyle w:val="12"/>
        <w:rPr>
          <w:rFonts w:hint="eastAsia" w:ascii="楷体" w:hAnsi="楷体" w:eastAsia="楷体" w:cs="楷体"/>
          <w:b w:val="0"/>
          <w:bCs w:val="0"/>
        </w:rPr>
      </w:pPr>
    </w:p>
    <w:p w14:paraId="355331B3">
      <w:pPr>
        <w:spacing w:beforeAutospacing="0" w:afterAutospacing="0" w:line="360" w:lineRule="auto"/>
        <w:jc w:val="center"/>
        <w:rPr>
          <w:rFonts w:hint="eastAsia" w:ascii="楷体" w:hAnsi="楷体" w:eastAsia="楷体" w:cs="楷体"/>
          <w:b w:val="0"/>
          <w:bCs w:val="0"/>
          <w:sz w:val="56"/>
          <w:szCs w:val="56"/>
          <w:lang w:eastAsia="zh-CN"/>
        </w:rPr>
      </w:pPr>
      <w:r>
        <w:rPr>
          <w:rFonts w:hint="eastAsia" w:ascii="楷体" w:hAnsi="楷体" w:eastAsia="楷体" w:cs="楷体"/>
          <w:b w:val="0"/>
          <w:bCs w:val="0"/>
          <w:sz w:val="56"/>
          <w:szCs w:val="56"/>
          <w:lang w:eastAsia="zh-CN"/>
        </w:rPr>
        <w:t>服务</w:t>
      </w:r>
      <w:r>
        <w:rPr>
          <w:rFonts w:hint="eastAsia" w:ascii="楷体" w:hAnsi="楷体" w:eastAsia="楷体" w:cs="楷体"/>
          <w:b w:val="0"/>
          <w:bCs w:val="0"/>
          <w:sz w:val="56"/>
          <w:szCs w:val="56"/>
        </w:rPr>
        <w:t>合同</w:t>
      </w:r>
      <w:r>
        <w:rPr>
          <w:rFonts w:hint="eastAsia" w:ascii="楷体" w:hAnsi="楷体" w:eastAsia="楷体" w:cs="楷体"/>
          <w:b w:val="0"/>
          <w:bCs w:val="0"/>
          <w:sz w:val="56"/>
          <w:szCs w:val="56"/>
          <w:lang w:eastAsia="zh-CN"/>
        </w:rPr>
        <w:t>（参考）</w:t>
      </w:r>
    </w:p>
    <w:p w14:paraId="1829D3FF">
      <w:pPr>
        <w:pStyle w:val="12"/>
        <w:rPr>
          <w:rFonts w:hint="eastAsia" w:ascii="楷体" w:hAnsi="楷体" w:eastAsia="楷体" w:cs="楷体"/>
          <w:b w:val="0"/>
          <w:bCs w:val="0"/>
          <w:lang w:val="en-US" w:eastAsia="zh-CN"/>
        </w:rPr>
      </w:pPr>
    </w:p>
    <w:p w14:paraId="2BEB8D2A">
      <w:pPr>
        <w:spacing w:beforeAutospacing="0" w:afterAutospacing="0" w:line="360" w:lineRule="auto"/>
        <w:jc w:val="center"/>
        <w:rPr>
          <w:rFonts w:hint="eastAsia" w:ascii="楷体" w:hAnsi="楷体" w:eastAsia="楷体" w:cs="楷体"/>
          <w:b w:val="0"/>
          <w:bCs w:val="0"/>
          <w:sz w:val="32"/>
          <w:szCs w:val="32"/>
        </w:rPr>
      </w:pPr>
      <w:r>
        <w:rPr>
          <w:rFonts w:hint="eastAsia" w:ascii="楷体" w:hAnsi="楷体" w:eastAsia="楷体" w:cs="楷体"/>
          <w:b w:val="0"/>
          <w:bCs w:val="0"/>
          <w:sz w:val="32"/>
          <w:szCs w:val="32"/>
        </w:rPr>
        <w:t>项目编号：</w:t>
      </w:r>
    </w:p>
    <w:p w14:paraId="47F6C697">
      <w:pPr>
        <w:spacing w:beforeAutospacing="0" w:afterAutospacing="0" w:line="360" w:lineRule="auto"/>
        <w:rPr>
          <w:rFonts w:hint="eastAsia" w:ascii="楷体" w:hAnsi="楷体" w:eastAsia="楷体" w:cs="楷体"/>
          <w:b w:val="0"/>
          <w:bCs w:val="0"/>
          <w:sz w:val="32"/>
          <w:szCs w:val="32"/>
        </w:rPr>
      </w:pPr>
    </w:p>
    <w:p w14:paraId="504E8A5E">
      <w:pPr>
        <w:spacing w:beforeAutospacing="0" w:afterAutospacing="0" w:line="360" w:lineRule="auto"/>
        <w:rPr>
          <w:rFonts w:hint="eastAsia" w:ascii="楷体" w:hAnsi="楷体" w:eastAsia="楷体" w:cs="楷体"/>
          <w:b w:val="0"/>
          <w:bCs w:val="0"/>
          <w:sz w:val="32"/>
          <w:szCs w:val="32"/>
        </w:rPr>
      </w:pPr>
    </w:p>
    <w:p w14:paraId="7F0FCAE1">
      <w:pPr>
        <w:pStyle w:val="12"/>
        <w:rPr>
          <w:rFonts w:hint="eastAsia" w:ascii="楷体" w:hAnsi="楷体" w:eastAsia="楷体" w:cs="楷体"/>
          <w:b w:val="0"/>
          <w:bCs w:val="0"/>
          <w:sz w:val="32"/>
          <w:szCs w:val="32"/>
        </w:rPr>
      </w:pPr>
    </w:p>
    <w:p w14:paraId="50A8E545">
      <w:pPr>
        <w:rPr>
          <w:rFonts w:hint="eastAsia" w:ascii="楷体" w:hAnsi="楷体" w:eastAsia="楷体" w:cs="楷体"/>
          <w:b w:val="0"/>
          <w:bCs w:val="0"/>
        </w:rPr>
      </w:pPr>
    </w:p>
    <w:p w14:paraId="5144CB33">
      <w:pPr>
        <w:rPr>
          <w:rFonts w:hint="eastAsia" w:ascii="楷体" w:hAnsi="楷体" w:eastAsia="楷体" w:cs="楷体"/>
        </w:rPr>
      </w:pPr>
    </w:p>
    <w:p w14:paraId="38825817">
      <w:pPr>
        <w:pStyle w:val="12"/>
        <w:rPr>
          <w:rFonts w:hint="eastAsia" w:ascii="楷体" w:hAnsi="楷体" w:eastAsia="楷体" w:cs="楷体"/>
          <w:b w:val="0"/>
          <w:bCs w:val="0"/>
        </w:rPr>
      </w:pPr>
    </w:p>
    <w:p w14:paraId="00042198">
      <w:pPr>
        <w:spacing w:beforeAutospacing="0" w:afterAutospacing="0" w:line="360" w:lineRule="auto"/>
        <w:ind w:firstLine="1660" w:firstLineChars="500"/>
        <w:rPr>
          <w:rFonts w:hint="eastAsia" w:ascii="楷体" w:hAnsi="楷体" w:eastAsia="楷体" w:cs="楷体"/>
          <w:b w:val="0"/>
          <w:bCs w:val="0"/>
          <w:sz w:val="32"/>
          <w:szCs w:val="32"/>
          <w:u w:val="single"/>
        </w:rPr>
      </w:pPr>
      <w:r>
        <w:rPr>
          <w:rFonts w:hint="eastAsia" w:ascii="楷体" w:hAnsi="楷体" w:eastAsia="楷体" w:cs="楷体"/>
          <w:b w:val="0"/>
          <w:bCs w:val="0"/>
          <w:sz w:val="32"/>
          <w:szCs w:val="32"/>
          <w:lang w:eastAsia="zh-CN"/>
        </w:rPr>
        <w:t>甲方</w:t>
      </w:r>
      <w:r>
        <w:rPr>
          <w:rFonts w:hint="eastAsia" w:ascii="楷体" w:hAnsi="楷体" w:eastAsia="楷体" w:cs="楷体"/>
          <w:b w:val="0"/>
          <w:bCs w:val="0"/>
          <w:sz w:val="32"/>
          <w:szCs w:val="32"/>
        </w:rPr>
        <w:t>：</w:t>
      </w:r>
      <w:r>
        <w:rPr>
          <w:rFonts w:hint="eastAsia" w:ascii="楷体" w:hAnsi="楷体" w:eastAsia="楷体" w:cs="楷体"/>
          <w:b w:val="0"/>
          <w:bCs w:val="0"/>
          <w:sz w:val="32"/>
          <w:szCs w:val="32"/>
          <w:u w:val="single"/>
        </w:rPr>
        <w:t xml:space="preserve">                           </w:t>
      </w:r>
    </w:p>
    <w:p w14:paraId="596ADFCC">
      <w:pPr>
        <w:spacing w:beforeAutospacing="0" w:afterAutospacing="0" w:line="360" w:lineRule="auto"/>
        <w:ind w:firstLine="1660" w:firstLineChars="500"/>
        <w:rPr>
          <w:rFonts w:hint="eastAsia" w:ascii="楷体" w:hAnsi="楷体" w:eastAsia="楷体" w:cs="楷体"/>
          <w:b w:val="0"/>
          <w:bCs w:val="0"/>
          <w:spacing w:val="26"/>
          <w:sz w:val="36"/>
          <w:szCs w:val="36"/>
        </w:rPr>
      </w:pPr>
      <w:r>
        <w:rPr>
          <w:rFonts w:hint="eastAsia" w:ascii="楷体" w:hAnsi="楷体" w:eastAsia="楷体" w:cs="楷体"/>
          <w:b w:val="0"/>
          <w:bCs w:val="0"/>
          <w:sz w:val="32"/>
          <w:szCs w:val="32"/>
          <w:lang w:eastAsia="zh-CN"/>
        </w:rPr>
        <w:t>乙方</w:t>
      </w:r>
      <w:r>
        <w:rPr>
          <w:rFonts w:hint="eastAsia" w:ascii="楷体" w:hAnsi="楷体" w:eastAsia="楷体" w:cs="楷体"/>
          <w:b w:val="0"/>
          <w:bCs w:val="0"/>
          <w:sz w:val="32"/>
          <w:szCs w:val="32"/>
        </w:rPr>
        <w:t>：</w:t>
      </w:r>
      <w:r>
        <w:rPr>
          <w:rFonts w:hint="eastAsia" w:ascii="楷体" w:hAnsi="楷体" w:eastAsia="楷体" w:cs="楷体"/>
          <w:b w:val="0"/>
          <w:bCs w:val="0"/>
          <w:sz w:val="32"/>
          <w:szCs w:val="32"/>
          <w:u w:val="single"/>
        </w:rPr>
        <w:t xml:space="preserve">                  </w:t>
      </w:r>
      <w:r>
        <w:rPr>
          <w:rFonts w:hint="eastAsia" w:ascii="楷体" w:hAnsi="楷体" w:eastAsia="楷体" w:cs="楷体"/>
          <w:b w:val="0"/>
          <w:bCs w:val="0"/>
          <w:sz w:val="32"/>
          <w:szCs w:val="32"/>
          <w:u w:val="single"/>
          <w:lang w:val="en-US" w:eastAsia="zh-CN"/>
        </w:rPr>
        <w:t xml:space="preserve">  </w:t>
      </w:r>
      <w:r>
        <w:rPr>
          <w:rFonts w:hint="eastAsia" w:ascii="楷体" w:hAnsi="楷体" w:eastAsia="楷体" w:cs="楷体"/>
          <w:b w:val="0"/>
          <w:bCs w:val="0"/>
          <w:sz w:val="32"/>
          <w:szCs w:val="32"/>
          <w:u w:val="single"/>
        </w:rPr>
        <w:t xml:space="preserve">       </w:t>
      </w:r>
    </w:p>
    <w:p w14:paraId="5AF9E993">
      <w:pPr>
        <w:spacing w:beforeAutospacing="0" w:afterAutospacing="0" w:line="360" w:lineRule="auto"/>
        <w:jc w:val="center"/>
        <w:rPr>
          <w:rFonts w:hint="eastAsia" w:ascii="楷体" w:hAnsi="楷体" w:eastAsia="楷体" w:cs="楷体"/>
          <w:b w:val="0"/>
          <w:bCs w:val="0"/>
          <w:sz w:val="44"/>
          <w:szCs w:val="44"/>
        </w:rPr>
      </w:pPr>
      <w:r>
        <w:rPr>
          <w:rFonts w:hint="eastAsia" w:ascii="楷体" w:hAnsi="楷体" w:eastAsia="楷体" w:cs="楷体"/>
          <w:b w:val="0"/>
          <w:bCs w:val="0"/>
          <w:spacing w:val="26"/>
          <w:sz w:val="36"/>
          <w:szCs w:val="36"/>
        </w:rPr>
        <w:t xml:space="preserve"> 二〇</w:t>
      </w:r>
      <w:r>
        <w:rPr>
          <w:rFonts w:hint="eastAsia" w:ascii="楷体" w:hAnsi="楷体" w:eastAsia="楷体" w:cs="楷体"/>
          <w:b w:val="0"/>
          <w:bCs w:val="0"/>
          <w:spacing w:val="26"/>
          <w:sz w:val="36"/>
          <w:szCs w:val="36"/>
          <w:lang w:eastAsia="zh-CN"/>
        </w:rPr>
        <w:t>二六</w:t>
      </w:r>
      <w:r>
        <w:rPr>
          <w:rFonts w:hint="eastAsia" w:ascii="楷体" w:hAnsi="楷体" w:eastAsia="楷体" w:cs="楷体"/>
          <w:b w:val="0"/>
          <w:bCs w:val="0"/>
          <w:spacing w:val="26"/>
          <w:sz w:val="36"/>
          <w:szCs w:val="36"/>
        </w:rPr>
        <w:t>年</w:t>
      </w:r>
      <w:r>
        <w:rPr>
          <w:rFonts w:hint="eastAsia" w:ascii="楷体" w:hAnsi="楷体" w:eastAsia="楷体" w:cs="楷体"/>
          <w:b w:val="0"/>
          <w:bCs w:val="0"/>
          <w:spacing w:val="26"/>
          <w:sz w:val="36"/>
          <w:szCs w:val="36"/>
          <w:u w:val="single"/>
        </w:rPr>
        <w:t xml:space="preserve">  </w:t>
      </w:r>
      <w:r>
        <w:rPr>
          <w:rFonts w:hint="eastAsia" w:ascii="楷体" w:hAnsi="楷体" w:eastAsia="楷体" w:cs="楷体"/>
          <w:b w:val="0"/>
          <w:bCs w:val="0"/>
          <w:spacing w:val="26"/>
          <w:sz w:val="36"/>
          <w:szCs w:val="36"/>
        </w:rPr>
        <w:t>月</w:t>
      </w:r>
      <w:r>
        <w:rPr>
          <w:rFonts w:hint="eastAsia" w:ascii="楷体" w:hAnsi="楷体" w:eastAsia="楷体" w:cs="楷体"/>
          <w:b w:val="0"/>
          <w:bCs w:val="0"/>
          <w:spacing w:val="26"/>
          <w:sz w:val="36"/>
          <w:szCs w:val="36"/>
          <w:u w:val="single"/>
        </w:rPr>
        <w:t xml:space="preserve">  </w:t>
      </w:r>
      <w:r>
        <w:rPr>
          <w:rFonts w:hint="eastAsia" w:ascii="楷体" w:hAnsi="楷体" w:eastAsia="楷体" w:cs="楷体"/>
          <w:b w:val="0"/>
          <w:bCs w:val="0"/>
          <w:spacing w:val="26"/>
          <w:sz w:val="36"/>
          <w:szCs w:val="36"/>
        </w:rPr>
        <w:t>日</w:t>
      </w:r>
    </w:p>
    <w:p w14:paraId="4D3BA1F7">
      <w:pPr>
        <w:keepNext w:val="0"/>
        <w:keepLines w:val="0"/>
        <w:pageBreakBefore w:val="0"/>
        <w:widowControl w:val="0"/>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44"/>
          <w:szCs w:val="44"/>
          <w:lang w:eastAsia="zh-CN"/>
        </w:rPr>
      </w:pPr>
    </w:p>
    <w:p w14:paraId="7A536FE3">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73EE42A0">
      <w:pPr>
        <w:spacing w:before="311" w:line="226" w:lineRule="auto"/>
        <w:ind w:left="4124"/>
        <w:rPr>
          <w:rFonts w:hint="eastAsia" w:ascii="楷体" w:hAnsi="楷体" w:eastAsia="楷体" w:cs="楷体"/>
          <w:sz w:val="43"/>
          <w:szCs w:val="43"/>
        </w:rPr>
      </w:pPr>
      <w:r>
        <w:rPr>
          <w:rFonts w:hint="eastAsia" w:ascii="楷体" w:hAnsi="楷体" w:eastAsia="楷体" w:cs="楷体"/>
          <w:b/>
          <w:bCs/>
          <w:spacing w:val="-26"/>
          <w:sz w:val="43"/>
          <w:szCs w:val="43"/>
        </w:rPr>
        <w:t>服</w:t>
      </w:r>
      <w:r>
        <w:rPr>
          <w:rFonts w:hint="eastAsia" w:ascii="楷体" w:hAnsi="楷体" w:eastAsia="楷体" w:cs="楷体"/>
          <w:spacing w:val="51"/>
          <w:sz w:val="43"/>
          <w:szCs w:val="43"/>
        </w:rPr>
        <w:t xml:space="preserve"> </w:t>
      </w:r>
      <w:r>
        <w:rPr>
          <w:rFonts w:hint="eastAsia" w:ascii="楷体" w:hAnsi="楷体" w:eastAsia="楷体" w:cs="楷体"/>
          <w:b/>
          <w:bCs/>
          <w:spacing w:val="-26"/>
          <w:sz w:val="43"/>
          <w:szCs w:val="43"/>
        </w:rPr>
        <w:t>务</w:t>
      </w:r>
      <w:r>
        <w:rPr>
          <w:rFonts w:hint="eastAsia" w:ascii="楷体" w:hAnsi="楷体" w:eastAsia="楷体" w:cs="楷体"/>
          <w:spacing w:val="52"/>
          <w:sz w:val="43"/>
          <w:szCs w:val="43"/>
        </w:rPr>
        <w:t xml:space="preserve"> </w:t>
      </w:r>
      <w:r>
        <w:rPr>
          <w:rFonts w:hint="eastAsia" w:ascii="楷体" w:hAnsi="楷体" w:eastAsia="楷体" w:cs="楷体"/>
          <w:b/>
          <w:bCs/>
          <w:spacing w:val="-26"/>
          <w:sz w:val="43"/>
          <w:szCs w:val="43"/>
        </w:rPr>
        <w:t>合</w:t>
      </w:r>
      <w:r>
        <w:rPr>
          <w:rFonts w:hint="eastAsia" w:ascii="楷体" w:hAnsi="楷体" w:eastAsia="楷体" w:cs="楷体"/>
          <w:spacing w:val="87"/>
          <w:sz w:val="43"/>
          <w:szCs w:val="43"/>
        </w:rPr>
        <w:t xml:space="preserve"> </w:t>
      </w:r>
      <w:r>
        <w:rPr>
          <w:rFonts w:hint="eastAsia" w:ascii="楷体" w:hAnsi="楷体" w:eastAsia="楷体" w:cs="楷体"/>
          <w:b/>
          <w:bCs/>
          <w:spacing w:val="-26"/>
          <w:sz w:val="43"/>
          <w:szCs w:val="43"/>
        </w:rPr>
        <w:t>同</w:t>
      </w:r>
    </w:p>
    <w:p w14:paraId="3A9DFBB8">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hint="eastAsia" w:ascii="楷体" w:hAnsi="楷体" w:eastAsia="楷体" w:cs="楷体"/>
          <w:sz w:val="24"/>
          <w:szCs w:val="24"/>
        </w:rPr>
      </w:pPr>
      <w:r>
        <w:rPr>
          <w:rFonts w:hint="eastAsia" w:ascii="楷体" w:hAnsi="楷体" w:eastAsia="楷体" w:cs="楷体"/>
          <w:spacing w:val="-9"/>
          <w:sz w:val="24"/>
          <w:szCs w:val="24"/>
        </w:rPr>
        <w:t>甲</w:t>
      </w:r>
      <w:r>
        <w:rPr>
          <w:rFonts w:hint="eastAsia" w:ascii="楷体" w:hAnsi="楷体" w:eastAsia="楷体" w:cs="楷体"/>
          <w:spacing w:val="17"/>
          <w:sz w:val="24"/>
          <w:szCs w:val="24"/>
        </w:rPr>
        <w:t xml:space="preserve">  </w:t>
      </w:r>
      <w:r>
        <w:rPr>
          <w:rFonts w:hint="eastAsia" w:ascii="楷体" w:hAnsi="楷体" w:eastAsia="楷体" w:cs="楷体"/>
          <w:spacing w:val="-9"/>
          <w:sz w:val="24"/>
          <w:szCs w:val="24"/>
        </w:rPr>
        <w:t>方：</w:t>
      </w:r>
    </w:p>
    <w:p w14:paraId="62DDE50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12"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地  址：</w:t>
      </w:r>
    </w:p>
    <w:p w14:paraId="147CF31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联系人：</w:t>
      </w:r>
    </w:p>
    <w:p w14:paraId="7E0DE23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0" w:firstLineChars="200"/>
        <w:textAlignment w:val="baseline"/>
        <w:rPr>
          <w:rFonts w:hint="eastAsia" w:ascii="楷体" w:hAnsi="楷体" w:eastAsia="楷体" w:cs="楷体"/>
          <w:sz w:val="24"/>
          <w:szCs w:val="24"/>
        </w:rPr>
      </w:pPr>
      <w:r>
        <w:rPr>
          <w:rFonts w:hint="eastAsia" w:ascii="楷体" w:hAnsi="楷体" w:eastAsia="楷体" w:cs="楷体"/>
          <w:spacing w:val="-16"/>
          <w:sz w:val="24"/>
          <w:szCs w:val="24"/>
        </w:rPr>
        <w:t>电话：</w:t>
      </w:r>
    </w:p>
    <w:p w14:paraId="5789827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20" w:firstLineChars="200"/>
        <w:textAlignment w:val="baseline"/>
        <w:rPr>
          <w:rFonts w:hint="eastAsia" w:ascii="楷体" w:hAnsi="楷体" w:eastAsia="楷体" w:cs="楷体"/>
          <w:sz w:val="24"/>
          <w:szCs w:val="24"/>
        </w:rPr>
      </w:pPr>
      <w:r>
        <w:rPr>
          <w:rFonts w:hint="eastAsia" w:ascii="楷体" w:hAnsi="楷体" w:eastAsia="楷体" w:cs="楷体"/>
          <w:spacing w:val="-21"/>
          <w:sz w:val="24"/>
          <w:szCs w:val="24"/>
        </w:rPr>
        <w:t>乙</w:t>
      </w:r>
      <w:r>
        <w:rPr>
          <w:rFonts w:hint="eastAsia" w:ascii="楷体" w:hAnsi="楷体" w:eastAsia="楷体" w:cs="楷体"/>
          <w:spacing w:val="13"/>
          <w:sz w:val="24"/>
          <w:szCs w:val="24"/>
        </w:rPr>
        <w:t xml:space="preserve">  </w:t>
      </w:r>
      <w:r>
        <w:rPr>
          <w:rFonts w:hint="eastAsia" w:ascii="楷体" w:hAnsi="楷体" w:eastAsia="楷体" w:cs="楷体"/>
          <w:spacing w:val="-21"/>
          <w:sz w:val="24"/>
          <w:szCs w:val="24"/>
        </w:rPr>
        <w:t>方：</w:t>
      </w:r>
    </w:p>
    <w:p w14:paraId="63FB462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8" w:firstLineChars="200"/>
        <w:textAlignment w:val="baseline"/>
        <w:rPr>
          <w:rFonts w:hint="eastAsia" w:ascii="楷体" w:hAnsi="楷体" w:eastAsia="楷体" w:cs="楷体"/>
          <w:sz w:val="24"/>
          <w:szCs w:val="24"/>
        </w:rPr>
      </w:pPr>
      <w:r>
        <w:rPr>
          <w:rFonts w:hint="eastAsia" w:ascii="楷体" w:hAnsi="楷体" w:eastAsia="楷体" w:cs="楷体"/>
          <w:spacing w:val="-14"/>
          <w:sz w:val="24"/>
          <w:szCs w:val="24"/>
        </w:rPr>
        <w:t>地</w:t>
      </w:r>
      <w:r>
        <w:rPr>
          <w:rFonts w:hint="eastAsia" w:ascii="楷体" w:hAnsi="楷体" w:eastAsia="楷体" w:cs="楷体"/>
          <w:spacing w:val="12"/>
          <w:sz w:val="24"/>
          <w:szCs w:val="24"/>
        </w:rPr>
        <w:t xml:space="preserve">  </w:t>
      </w:r>
      <w:r>
        <w:rPr>
          <w:rFonts w:hint="eastAsia" w:ascii="楷体" w:hAnsi="楷体" w:eastAsia="楷体" w:cs="楷体"/>
          <w:spacing w:val="-14"/>
          <w:sz w:val="24"/>
          <w:szCs w:val="24"/>
        </w:rPr>
        <w:t>址：</w:t>
      </w:r>
    </w:p>
    <w:p w14:paraId="18277B9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联系人：</w:t>
      </w:r>
    </w:p>
    <w:p w14:paraId="14F63AF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40" w:firstLineChars="200"/>
        <w:textAlignment w:val="baseline"/>
        <w:rPr>
          <w:rFonts w:hint="eastAsia" w:ascii="楷体" w:hAnsi="楷体" w:eastAsia="楷体" w:cs="楷体"/>
          <w:sz w:val="24"/>
          <w:szCs w:val="24"/>
        </w:rPr>
      </w:pPr>
      <w:r>
        <w:rPr>
          <w:rFonts w:hint="eastAsia" w:ascii="楷体" w:hAnsi="楷体" w:eastAsia="楷体" w:cs="楷体"/>
          <w:spacing w:val="-16"/>
          <w:sz w:val="24"/>
          <w:szCs w:val="24"/>
        </w:rPr>
        <w:t>电话：</w:t>
      </w:r>
    </w:p>
    <w:p w14:paraId="657A2D7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jc w:val="both"/>
        <w:textAlignment w:val="baseline"/>
        <w:rPr>
          <w:rFonts w:hint="eastAsia" w:ascii="楷体" w:hAnsi="楷体" w:eastAsia="楷体" w:cs="楷体"/>
          <w:sz w:val="24"/>
          <w:szCs w:val="24"/>
        </w:rPr>
      </w:pPr>
      <w:r>
        <w:rPr>
          <w:rFonts w:hint="eastAsia" w:ascii="楷体" w:hAnsi="楷体" w:eastAsia="楷体" w:cs="楷体"/>
          <w:spacing w:val="-2"/>
          <w:sz w:val="24"/>
          <w:szCs w:val="24"/>
        </w:rPr>
        <w:t>依据《中华人民共和国政府采购法》、《中华人民共和国</w:t>
      </w:r>
      <w:r>
        <w:rPr>
          <w:rFonts w:hint="eastAsia" w:ascii="楷体" w:hAnsi="楷体" w:eastAsia="楷体" w:cs="楷体"/>
          <w:spacing w:val="-3"/>
          <w:sz w:val="24"/>
          <w:szCs w:val="24"/>
        </w:rPr>
        <w:t>民法典》，</w:t>
      </w:r>
      <w:r>
        <w:rPr>
          <w:rFonts w:hint="eastAsia" w:ascii="楷体" w:hAnsi="楷体" w:eastAsia="楷体" w:cs="楷体"/>
          <w:b/>
          <w:bCs/>
          <w:spacing w:val="-3"/>
          <w:sz w:val="24"/>
          <w:szCs w:val="24"/>
          <w:u w:val="single"/>
          <w:lang w:eastAsia="zh-CN"/>
        </w:rPr>
        <w:t>安康市疾病预防控制中心（市卫生监督所）前置软件单位数字证书服务项目</w:t>
      </w:r>
      <w:r>
        <w:rPr>
          <w:rFonts w:hint="eastAsia" w:ascii="楷体" w:hAnsi="楷体" w:eastAsia="楷体" w:cs="楷体"/>
          <w:spacing w:val="-6"/>
          <w:sz w:val="24"/>
          <w:szCs w:val="24"/>
        </w:rPr>
        <w:t>甲、乙双</w:t>
      </w:r>
      <w:r>
        <w:rPr>
          <w:rFonts w:hint="eastAsia" w:ascii="楷体" w:hAnsi="楷体" w:eastAsia="楷体" w:cs="楷体"/>
          <w:spacing w:val="-1"/>
          <w:sz w:val="24"/>
          <w:szCs w:val="24"/>
        </w:rPr>
        <w:t>方同意按照下面条款和条件，签署本合同。</w:t>
      </w:r>
    </w:p>
    <w:p w14:paraId="4C47AEE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b/>
          <w:bCs/>
          <w:spacing w:val="-4"/>
          <w:sz w:val="24"/>
          <w:szCs w:val="24"/>
        </w:rPr>
        <w:t>一、合同标的物内容及数量</w:t>
      </w:r>
      <w:r>
        <w:rPr>
          <w:rFonts w:hint="eastAsia" w:ascii="楷体" w:hAnsi="楷体" w:eastAsia="楷体" w:cs="楷体"/>
          <w:b/>
          <w:bCs/>
          <w:spacing w:val="-4"/>
          <w:sz w:val="24"/>
          <w:szCs w:val="24"/>
          <w:u w:val="single"/>
          <w:lang w:val="en-US" w:eastAsia="zh-CN"/>
        </w:rPr>
        <w:t xml:space="preserve">                                 </w:t>
      </w:r>
      <w:r>
        <w:rPr>
          <w:rFonts w:hint="eastAsia" w:ascii="楷体" w:hAnsi="楷体" w:eastAsia="楷体" w:cs="楷体"/>
          <w:spacing w:val="-5"/>
          <w:sz w:val="24"/>
          <w:szCs w:val="24"/>
        </w:rPr>
        <w:t>。</w:t>
      </w:r>
    </w:p>
    <w:p w14:paraId="466C083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hint="eastAsia" w:ascii="楷体" w:hAnsi="楷体" w:eastAsia="楷体" w:cs="楷体"/>
          <w:sz w:val="24"/>
          <w:szCs w:val="24"/>
        </w:rPr>
      </w:pPr>
      <w:r>
        <w:rPr>
          <w:rFonts w:hint="eastAsia" w:ascii="楷体" w:hAnsi="楷体" w:eastAsia="楷体" w:cs="楷体"/>
          <w:b/>
          <w:bCs/>
          <w:spacing w:val="-6"/>
          <w:sz w:val="24"/>
          <w:szCs w:val="24"/>
        </w:rPr>
        <w:t>二、服务条件：</w:t>
      </w:r>
    </w:p>
    <w:p w14:paraId="7CFB037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1.服务地点：甲方指定地点。</w:t>
      </w:r>
    </w:p>
    <w:p w14:paraId="3C1E8F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2.服务期：</w:t>
      </w:r>
    </w:p>
    <w:p w14:paraId="0A716C6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hint="eastAsia" w:ascii="楷体" w:hAnsi="楷体" w:eastAsia="楷体" w:cs="楷体"/>
          <w:sz w:val="24"/>
          <w:szCs w:val="24"/>
        </w:rPr>
      </w:pPr>
      <w:r>
        <w:rPr>
          <w:rFonts w:hint="eastAsia" w:ascii="楷体" w:hAnsi="楷体" w:eastAsia="楷体" w:cs="楷体"/>
          <w:b/>
          <w:bCs/>
          <w:spacing w:val="-7"/>
          <w:sz w:val="24"/>
          <w:szCs w:val="24"/>
        </w:rPr>
        <w:t>三、合同价款</w:t>
      </w:r>
    </w:p>
    <w:p w14:paraId="0FDB7207">
      <w:pPr>
        <w:pStyle w:val="12"/>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1.合同总价款为人民币（大写</w:t>
      </w:r>
      <w:r>
        <w:rPr>
          <w:rFonts w:hint="eastAsia" w:ascii="楷体" w:hAnsi="楷体" w:eastAsia="楷体" w:cs="楷体"/>
          <w:spacing w:val="-19"/>
          <w:sz w:val="24"/>
          <w:szCs w:val="24"/>
        </w:rPr>
        <w:t>）</w:t>
      </w:r>
      <w:r>
        <w:rPr>
          <w:rFonts w:hint="eastAsia" w:ascii="楷体" w:hAnsi="楷体" w:eastAsia="楷体" w:cs="楷体"/>
          <w:spacing w:val="20"/>
          <w:sz w:val="24"/>
          <w:szCs w:val="24"/>
          <w:u w:val="single" w:color="auto"/>
        </w:rPr>
        <w:t xml:space="preserve">       </w:t>
      </w:r>
      <w:r>
        <w:rPr>
          <w:rFonts w:hint="eastAsia" w:ascii="楷体" w:hAnsi="楷体" w:eastAsia="楷体" w:cs="楷体"/>
          <w:spacing w:val="-102"/>
          <w:sz w:val="24"/>
          <w:szCs w:val="24"/>
        </w:rPr>
        <w:t xml:space="preserve"> </w:t>
      </w:r>
      <w:r>
        <w:rPr>
          <w:rFonts w:hint="eastAsia" w:ascii="楷体" w:hAnsi="楷体" w:eastAsia="楷体" w:cs="楷体"/>
          <w:spacing w:val="-19"/>
          <w:sz w:val="24"/>
          <w:szCs w:val="24"/>
        </w:rPr>
        <w:t>；</w:t>
      </w:r>
      <w:r>
        <w:rPr>
          <w:rFonts w:hint="eastAsia" w:ascii="楷体" w:hAnsi="楷体" w:eastAsia="楷体" w:cs="楷体"/>
          <w:spacing w:val="-1"/>
          <w:sz w:val="24"/>
          <w:szCs w:val="24"/>
        </w:rPr>
        <w:t>¥</w:t>
      </w:r>
      <w:r>
        <w:rPr>
          <w:rFonts w:hint="eastAsia" w:ascii="楷体" w:hAnsi="楷体" w:eastAsia="楷体" w:cs="楷体"/>
          <w:spacing w:val="-1"/>
          <w:sz w:val="24"/>
          <w:szCs w:val="24"/>
          <w:u w:val="single" w:color="auto"/>
        </w:rPr>
        <w:t xml:space="preserve">             </w:t>
      </w:r>
      <w:r>
        <w:rPr>
          <w:rFonts w:hint="eastAsia" w:ascii="楷体" w:hAnsi="楷体" w:eastAsia="楷体" w:cs="楷体"/>
          <w:spacing w:val="-2"/>
          <w:sz w:val="24"/>
          <w:szCs w:val="24"/>
          <w:u w:val="single" w:color="auto"/>
        </w:rPr>
        <w:t xml:space="preserve">   </w:t>
      </w:r>
      <w:r>
        <w:rPr>
          <w:rFonts w:hint="eastAsia" w:ascii="楷体" w:hAnsi="楷体" w:eastAsia="楷体" w:cs="楷体"/>
          <w:spacing w:val="-55"/>
          <w:sz w:val="24"/>
          <w:szCs w:val="24"/>
        </w:rPr>
        <w:t xml:space="preserve"> </w:t>
      </w:r>
      <w:r>
        <w:rPr>
          <w:rFonts w:hint="eastAsia" w:ascii="楷体" w:hAnsi="楷体" w:eastAsia="楷体" w:cs="楷体"/>
          <w:spacing w:val="-2"/>
          <w:sz w:val="24"/>
          <w:szCs w:val="24"/>
        </w:rPr>
        <w:t>元。</w:t>
      </w:r>
    </w:p>
    <w:p w14:paraId="470BB70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2.合同总价包括：</w:t>
      </w:r>
    </w:p>
    <w:p w14:paraId="0EF6AEE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3.合同总价一次性包死，不受市场价格变化因素的影响。</w:t>
      </w:r>
    </w:p>
    <w:p w14:paraId="051FBE5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0" w:firstLineChars="200"/>
        <w:textAlignment w:val="baseline"/>
        <w:rPr>
          <w:rFonts w:hint="eastAsia" w:ascii="楷体" w:hAnsi="楷体" w:eastAsia="楷体" w:cs="楷体"/>
          <w:sz w:val="24"/>
          <w:szCs w:val="24"/>
        </w:rPr>
      </w:pPr>
      <w:r>
        <w:rPr>
          <w:rFonts w:hint="eastAsia" w:ascii="楷体" w:hAnsi="楷体" w:eastAsia="楷体" w:cs="楷体"/>
          <w:b/>
          <w:bCs/>
          <w:spacing w:val="-11"/>
          <w:sz w:val="24"/>
          <w:szCs w:val="24"/>
        </w:rPr>
        <w:t>四、款项结算</w:t>
      </w:r>
    </w:p>
    <w:p w14:paraId="6EBB34BB">
      <w:pPr>
        <w:keepNext w:val="0"/>
        <w:keepLines w:val="0"/>
        <w:pageBreakBefore w:val="0"/>
        <w:widowControl/>
        <w:numPr>
          <w:ilvl w:val="0"/>
          <w:numId w:val="4"/>
        </w:numPr>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pacing w:val="-2"/>
          <w:sz w:val="24"/>
          <w:szCs w:val="24"/>
        </w:rPr>
      </w:pPr>
      <w:r>
        <w:rPr>
          <w:rFonts w:hint="eastAsia" w:ascii="楷体" w:hAnsi="楷体" w:eastAsia="楷体" w:cs="楷体"/>
          <w:spacing w:val="-2"/>
          <w:sz w:val="24"/>
          <w:szCs w:val="24"/>
        </w:rPr>
        <w:t>结算比例:</w:t>
      </w:r>
    </w:p>
    <w:p w14:paraId="54C9BDD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200" w:right="0" w:rightChars="0"/>
        <w:textAlignment w:val="baseline"/>
        <w:rPr>
          <w:rFonts w:hint="eastAsia" w:ascii="楷体" w:hAnsi="楷体" w:eastAsia="楷体" w:cs="楷体"/>
          <w:sz w:val="24"/>
          <w:szCs w:val="24"/>
        </w:rPr>
      </w:pPr>
      <w:r>
        <w:rPr>
          <w:rFonts w:hint="eastAsia" w:ascii="楷体" w:hAnsi="楷体" w:eastAsia="楷体" w:cs="楷体"/>
          <w:spacing w:val="-2"/>
          <w:sz w:val="24"/>
          <w:szCs w:val="24"/>
        </w:rPr>
        <w:t>2.支付方式：银行转账。</w:t>
      </w:r>
    </w:p>
    <w:p w14:paraId="179003C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hint="eastAsia" w:ascii="楷体" w:hAnsi="楷体" w:eastAsia="楷体" w:cs="楷体"/>
          <w:sz w:val="24"/>
          <w:szCs w:val="24"/>
        </w:rPr>
      </w:pPr>
      <w:r>
        <w:rPr>
          <w:rFonts w:hint="eastAsia" w:ascii="楷体" w:hAnsi="楷体" w:eastAsia="楷体" w:cs="楷体"/>
          <w:spacing w:val="-8"/>
          <w:sz w:val="24"/>
          <w:szCs w:val="24"/>
        </w:rPr>
        <w:t>甲方开票信息：</w:t>
      </w:r>
    </w:p>
    <w:p w14:paraId="29D87D5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单位名称：</w:t>
      </w:r>
    </w:p>
    <w:p w14:paraId="0C1F0E9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统一社会信用代码：</w:t>
      </w:r>
    </w:p>
    <w:p w14:paraId="17DCF1A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16"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地址：</w:t>
      </w:r>
    </w:p>
    <w:p w14:paraId="267C174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电话：</w:t>
      </w:r>
    </w:p>
    <w:p w14:paraId="27D4439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开户行：</w:t>
      </w:r>
    </w:p>
    <w:p w14:paraId="356C4E0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账号：</w:t>
      </w:r>
    </w:p>
    <w:p w14:paraId="6BD437D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hint="eastAsia" w:ascii="楷体" w:hAnsi="楷体" w:eastAsia="楷体" w:cs="楷体"/>
          <w:sz w:val="24"/>
          <w:szCs w:val="24"/>
        </w:rPr>
      </w:pPr>
      <w:r>
        <w:rPr>
          <w:rFonts w:hint="eastAsia" w:ascii="楷体" w:hAnsi="楷体" w:eastAsia="楷体" w:cs="楷体"/>
          <w:spacing w:val="-6"/>
          <w:sz w:val="24"/>
          <w:szCs w:val="24"/>
        </w:rPr>
        <w:t>乙方信息如下：</w:t>
      </w:r>
    </w:p>
    <w:p w14:paraId="4C41045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开户行：[</w:t>
      </w:r>
      <w:r>
        <w:rPr>
          <w:rFonts w:hint="eastAsia" w:ascii="楷体" w:hAnsi="楷体" w:eastAsia="楷体" w:cs="楷体"/>
          <w:spacing w:val="8"/>
          <w:sz w:val="24"/>
          <w:szCs w:val="24"/>
        </w:rPr>
        <w:t xml:space="preserve">  </w:t>
      </w:r>
      <w:r>
        <w:rPr>
          <w:rFonts w:hint="eastAsia" w:ascii="楷体" w:hAnsi="楷体" w:eastAsia="楷体" w:cs="楷体"/>
          <w:spacing w:val="-3"/>
          <w:sz w:val="24"/>
          <w:szCs w:val="24"/>
        </w:rPr>
        <w:t>]</w:t>
      </w:r>
    </w:p>
    <w:p w14:paraId="3993863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户名：[</w:t>
      </w:r>
      <w:r>
        <w:rPr>
          <w:rFonts w:hint="eastAsia" w:ascii="楷体" w:hAnsi="楷体" w:eastAsia="楷体" w:cs="楷体"/>
          <w:spacing w:val="9"/>
          <w:sz w:val="24"/>
          <w:szCs w:val="24"/>
        </w:rPr>
        <w:t xml:space="preserve">  </w:t>
      </w:r>
      <w:r>
        <w:rPr>
          <w:rFonts w:hint="eastAsia" w:ascii="楷体" w:hAnsi="楷体" w:eastAsia="楷体" w:cs="楷体"/>
          <w:spacing w:val="-4"/>
          <w:sz w:val="24"/>
          <w:szCs w:val="24"/>
        </w:rPr>
        <w:t>]</w:t>
      </w:r>
    </w:p>
    <w:p w14:paraId="341742A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账号：[</w:t>
      </w:r>
      <w:r>
        <w:rPr>
          <w:rFonts w:hint="eastAsia" w:ascii="楷体" w:hAnsi="楷体" w:eastAsia="楷体" w:cs="楷体"/>
          <w:spacing w:val="18"/>
          <w:sz w:val="24"/>
          <w:szCs w:val="24"/>
        </w:rPr>
        <w:t xml:space="preserve"> </w:t>
      </w:r>
      <w:r>
        <w:rPr>
          <w:rFonts w:hint="eastAsia" w:ascii="楷体" w:hAnsi="楷体" w:eastAsia="楷体" w:cs="楷体"/>
          <w:spacing w:val="-3"/>
          <w:sz w:val="24"/>
          <w:szCs w:val="24"/>
        </w:rPr>
        <w:t>]</w:t>
      </w:r>
    </w:p>
    <w:p w14:paraId="5F77D73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纳税人识别号：[  ]</w:t>
      </w:r>
    </w:p>
    <w:p w14:paraId="542EB6C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地址：[</w:t>
      </w:r>
      <w:r>
        <w:rPr>
          <w:rFonts w:hint="eastAsia" w:ascii="楷体" w:hAnsi="楷体" w:eastAsia="楷体" w:cs="楷体"/>
          <w:spacing w:val="8"/>
          <w:sz w:val="24"/>
          <w:szCs w:val="24"/>
        </w:rPr>
        <w:t xml:space="preserve">  </w:t>
      </w:r>
      <w:r>
        <w:rPr>
          <w:rFonts w:hint="eastAsia" w:ascii="楷体" w:hAnsi="楷体" w:eastAsia="楷体" w:cs="楷体"/>
          <w:spacing w:val="-4"/>
          <w:sz w:val="24"/>
          <w:szCs w:val="24"/>
        </w:rPr>
        <w:t>]</w:t>
      </w:r>
    </w:p>
    <w:p w14:paraId="59721FF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4" w:firstLineChars="200"/>
        <w:textAlignment w:val="baseline"/>
        <w:rPr>
          <w:rFonts w:hint="eastAsia" w:ascii="楷体" w:hAnsi="楷体" w:eastAsia="楷体" w:cs="楷体"/>
          <w:sz w:val="24"/>
          <w:szCs w:val="24"/>
        </w:rPr>
      </w:pPr>
      <w:r>
        <w:rPr>
          <w:rFonts w:hint="eastAsia" w:ascii="楷体" w:hAnsi="楷体" w:eastAsia="楷体" w:cs="楷体"/>
          <w:spacing w:val="-10"/>
          <w:sz w:val="24"/>
          <w:szCs w:val="24"/>
        </w:rPr>
        <w:t>电话：[</w:t>
      </w:r>
      <w:r>
        <w:rPr>
          <w:rFonts w:hint="eastAsia" w:ascii="楷体" w:hAnsi="楷体" w:eastAsia="楷体" w:cs="楷体"/>
          <w:spacing w:val="8"/>
          <w:sz w:val="24"/>
          <w:szCs w:val="24"/>
        </w:rPr>
        <w:t xml:space="preserve">  </w:t>
      </w:r>
      <w:r>
        <w:rPr>
          <w:rFonts w:hint="eastAsia" w:ascii="楷体" w:hAnsi="楷体" w:eastAsia="楷体" w:cs="楷体"/>
          <w:spacing w:val="-10"/>
          <w:sz w:val="24"/>
          <w:szCs w:val="24"/>
        </w:rPr>
        <w:t>]</w:t>
      </w:r>
    </w:p>
    <w:p w14:paraId="402A8D8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3.结算方式：验收合格后，乙方持成交通知书、服务合同、正式发票、</w:t>
      </w:r>
      <w:r>
        <w:rPr>
          <w:rFonts w:hint="eastAsia" w:ascii="楷体" w:hAnsi="楷体" w:eastAsia="楷体" w:cs="楷体"/>
          <w:spacing w:val="-3"/>
          <w:sz w:val="24"/>
          <w:szCs w:val="24"/>
        </w:rPr>
        <w:t>项目</w:t>
      </w:r>
      <w:r>
        <w:rPr>
          <w:rFonts w:hint="eastAsia" w:ascii="楷体" w:hAnsi="楷体" w:eastAsia="楷体" w:cs="楷体"/>
          <w:spacing w:val="-2"/>
          <w:sz w:val="24"/>
          <w:szCs w:val="24"/>
        </w:rPr>
        <w:t>验收单，与甲方结算。</w:t>
      </w:r>
    </w:p>
    <w:p w14:paraId="4B64A7F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rPr>
          <w:rFonts w:hint="eastAsia" w:ascii="楷体" w:hAnsi="楷体" w:eastAsia="楷体" w:cs="楷体"/>
          <w:sz w:val="24"/>
          <w:szCs w:val="24"/>
        </w:rPr>
      </w:pPr>
      <w:r>
        <w:rPr>
          <w:rFonts w:hint="eastAsia" w:ascii="楷体" w:hAnsi="楷体" w:eastAsia="楷体" w:cs="楷体"/>
          <w:b/>
          <w:bCs/>
          <w:spacing w:val="-5"/>
          <w:sz w:val="24"/>
          <w:szCs w:val="24"/>
        </w:rPr>
        <w:t>五、双方的权利和义务</w:t>
      </w:r>
    </w:p>
    <w:p w14:paraId="63ED3EB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1.甲方的权利和义务</w:t>
      </w:r>
    </w:p>
    <w:p w14:paraId="4B12573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2.乙方的权利和义务</w:t>
      </w:r>
    </w:p>
    <w:p w14:paraId="722BCCA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hint="eastAsia" w:ascii="楷体" w:hAnsi="楷体" w:eastAsia="楷体" w:cs="楷体"/>
          <w:sz w:val="24"/>
          <w:szCs w:val="24"/>
        </w:rPr>
      </w:pPr>
      <w:r>
        <w:rPr>
          <w:rFonts w:hint="eastAsia" w:ascii="楷体" w:hAnsi="楷体" w:eastAsia="楷体" w:cs="楷体"/>
          <w:b/>
          <w:bCs/>
          <w:spacing w:val="-6"/>
          <w:sz w:val="24"/>
          <w:szCs w:val="24"/>
        </w:rPr>
        <w:t>六、质量保证</w:t>
      </w:r>
    </w:p>
    <w:p w14:paraId="13EE888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1.乙方应保证所提供的服务符合合同规定的服务标准。若服务不符合上述标</w:t>
      </w:r>
      <w:r>
        <w:rPr>
          <w:rFonts w:hint="eastAsia" w:ascii="楷体" w:hAnsi="楷体" w:eastAsia="楷体" w:cs="楷体"/>
          <w:spacing w:val="-2"/>
          <w:sz w:val="24"/>
          <w:szCs w:val="24"/>
        </w:rPr>
        <w:t>准时，乙方应承担全部责任并立即采取措施予以解决，由此给甲方</w:t>
      </w:r>
      <w:r>
        <w:rPr>
          <w:rFonts w:hint="eastAsia" w:ascii="楷体" w:hAnsi="楷体" w:eastAsia="楷体" w:cs="楷体"/>
          <w:spacing w:val="-3"/>
          <w:sz w:val="24"/>
          <w:szCs w:val="24"/>
        </w:rPr>
        <w:t>造成的损失和相关费用由乙方负责，</w:t>
      </w:r>
      <w:r>
        <w:rPr>
          <w:rFonts w:hint="eastAsia" w:ascii="楷体" w:hAnsi="楷体" w:eastAsia="楷体" w:cs="楷体"/>
          <w:spacing w:val="-83"/>
          <w:sz w:val="24"/>
          <w:szCs w:val="24"/>
        </w:rPr>
        <w:t xml:space="preserve"> </w:t>
      </w:r>
      <w:r>
        <w:rPr>
          <w:rFonts w:hint="eastAsia" w:ascii="楷体" w:hAnsi="楷体" w:eastAsia="楷体" w:cs="楷体"/>
          <w:spacing w:val="-3"/>
          <w:sz w:val="24"/>
          <w:szCs w:val="24"/>
        </w:rPr>
        <w:t>甲方保留终止合同及索赔</w:t>
      </w:r>
      <w:r>
        <w:rPr>
          <w:rFonts w:hint="eastAsia" w:ascii="楷体" w:hAnsi="楷体" w:eastAsia="楷体" w:cs="楷体"/>
          <w:spacing w:val="-4"/>
          <w:sz w:val="24"/>
          <w:szCs w:val="24"/>
        </w:rPr>
        <w:t>的权利。</w:t>
      </w:r>
    </w:p>
    <w:p w14:paraId="40527E9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2.乙方应保证通过执行合同中全部方案后，能够实现本合同规定的结果并达</w:t>
      </w:r>
      <w:r>
        <w:rPr>
          <w:rFonts w:hint="eastAsia" w:ascii="楷体" w:hAnsi="楷体" w:eastAsia="楷体" w:cs="楷体"/>
          <w:spacing w:val="-1"/>
          <w:sz w:val="24"/>
          <w:szCs w:val="24"/>
        </w:rPr>
        <w:t>到预期目标。若在方案执行过程中出现任何问题，乙方应尽快提出解决方案。</w:t>
      </w:r>
    </w:p>
    <w:p w14:paraId="1C5D199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3.若乙方提供的服务和解决方案不符合本合同约定及甲方要求，或未在</w:t>
      </w:r>
      <w:r>
        <w:rPr>
          <w:rFonts w:hint="eastAsia" w:ascii="楷体" w:hAnsi="楷体" w:eastAsia="楷体" w:cs="楷体"/>
          <w:spacing w:val="-3"/>
          <w:sz w:val="24"/>
          <w:szCs w:val="24"/>
        </w:rPr>
        <w:t>规定的时间内弥补缺陷，甲方有权采取一切必要的补救措施，由此产生的全部费用由</w:t>
      </w:r>
      <w:r>
        <w:rPr>
          <w:rFonts w:hint="eastAsia" w:ascii="楷体" w:hAnsi="楷体" w:eastAsia="楷体" w:cs="楷体"/>
          <w:spacing w:val="-7"/>
          <w:sz w:val="24"/>
          <w:szCs w:val="24"/>
        </w:rPr>
        <w:t>乙方负责。</w:t>
      </w:r>
    </w:p>
    <w:p w14:paraId="696A027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12"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4.乙方应保证所提供的服务不会引发第三方就其知识产权(包括但不限于专利权、商标权、版权等)提出的主张或诉讼。如因乙方侵害他人知识产权</w:t>
      </w:r>
      <w:r>
        <w:rPr>
          <w:rFonts w:hint="eastAsia" w:ascii="楷体" w:hAnsi="楷体" w:eastAsia="楷体" w:cs="楷体"/>
          <w:spacing w:val="1"/>
          <w:sz w:val="24"/>
          <w:szCs w:val="24"/>
        </w:rPr>
        <w:t>而产生</w:t>
      </w:r>
      <w:r>
        <w:rPr>
          <w:rFonts w:hint="eastAsia" w:ascii="楷体" w:hAnsi="楷体" w:eastAsia="楷体" w:cs="楷体"/>
          <w:spacing w:val="-2"/>
          <w:sz w:val="24"/>
          <w:szCs w:val="24"/>
        </w:rPr>
        <w:t>的法律责任，全部由乙方承担。</w:t>
      </w:r>
    </w:p>
    <w:p w14:paraId="719CC3E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68" w:firstLineChars="200"/>
        <w:textAlignment w:val="baseline"/>
        <w:rPr>
          <w:rFonts w:hint="eastAsia" w:ascii="楷体" w:hAnsi="楷体" w:eastAsia="楷体" w:cs="楷体"/>
          <w:sz w:val="24"/>
          <w:szCs w:val="24"/>
        </w:rPr>
      </w:pPr>
      <w:r>
        <w:rPr>
          <w:rFonts w:hint="eastAsia" w:ascii="楷体" w:hAnsi="楷体" w:eastAsia="楷体" w:cs="楷体"/>
          <w:b/>
          <w:bCs/>
          <w:spacing w:val="-9"/>
          <w:sz w:val="24"/>
          <w:szCs w:val="24"/>
        </w:rPr>
        <w:t>七、验收</w:t>
      </w:r>
    </w:p>
    <w:p w14:paraId="1D37502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1.乙方开通服务后，由乙方进行自检，自检合格后邀请甲方进行验收。甲方</w:t>
      </w:r>
      <w:r>
        <w:rPr>
          <w:rFonts w:hint="eastAsia" w:ascii="楷体" w:hAnsi="楷体" w:eastAsia="楷体" w:cs="楷体"/>
          <w:spacing w:val="-8"/>
          <w:sz w:val="24"/>
          <w:szCs w:val="24"/>
        </w:rPr>
        <w:t>确认乙方的自检内容后，组织乙方（必要时请有关专家）进行验收，验收合格后，</w:t>
      </w:r>
      <w:r>
        <w:rPr>
          <w:rFonts w:hint="eastAsia" w:ascii="楷体" w:hAnsi="楷体" w:eastAsia="楷体" w:cs="楷体"/>
          <w:spacing w:val="-2"/>
          <w:sz w:val="24"/>
          <w:szCs w:val="24"/>
        </w:rPr>
        <w:t>项目验收单作为对服务的最终认可。</w:t>
      </w:r>
    </w:p>
    <w:p w14:paraId="3BD361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2.验收依据：</w:t>
      </w:r>
    </w:p>
    <w:p w14:paraId="0ACCBBF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2.1、本合同及附件文本；</w:t>
      </w:r>
    </w:p>
    <w:p w14:paraId="46F899B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2.2、合同签订时国家及行业现行的标准和技术规范。</w:t>
      </w:r>
    </w:p>
    <w:p w14:paraId="19CA432C">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4" w:firstLineChars="200"/>
        <w:jc w:val="both"/>
        <w:textAlignment w:val="baseline"/>
        <w:rPr>
          <w:rFonts w:hint="eastAsia" w:ascii="楷体" w:hAnsi="楷体" w:eastAsia="楷体" w:cs="楷体"/>
          <w:sz w:val="24"/>
          <w:szCs w:val="24"/>
        </w:rPr>
      </w:pPr>
      <w:r>
        <w:rPr>
          <w:rFonts w:hint="eastAsia" w:ascii="楷体" w:hAnsi="楷体" w:eastAsia="楷体" w:cs="楷体"/>
          <w:sz w:val="24"/>
          <w:szCs w:val="24"/>
        </w:rPr>
        <w:t>3.乙方向甲方提交服务实施过程中的所有</w:t>
      </w:r>
      <w:r>
        <w:rPr>
          <w:rFonts w:hint="eastAsia" w:ascii="楷体" w:hAnsi="楷体" w:eastAsia="楷体" w:cs="楷体"/>
          <w:spacing w:val="-1"/>
          <w:sz w:val="24"/>
          <w:szCs w:val="24"/>
        </w:rPr>
        <w:t>资料。以便甲方日后管理和维护。</w:t>
      </w:r>
    </w:p>
    <w:p w14:paraId="0BCE8EF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rPr>
          <w:rFonts w:hint="eastAsia" w:ascii="楷体" w:hAnsi="楷体" w:eastAsia="楷体" w:cs="楷体"/>
          <w:sz w:val="24"/>
          <w:szCs w:val="24"/>
        </w:rPr>
      </w:pPr>
      <w:r>
        <w:rPr>
          <w:rFonts w:hint="eastAsia" w:ascii="楷体" w:hAnsi="楷体" w:eastAsia="楷体" w:cs="楷体"/>
          <w:b/>
          <w:bCs/>
          <w:spacing w:val="-5"/>
          <w:sz w:val="24"/>
          <w:szCs w:val="24"/>
        </w:rPr>
        <w:t>八、违约责任</w:t>
      </w:r>
    </w:p>
    <w:p w14:paraId="7972A2C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1.按《中华人民共和国民法典》中的相关条款执行。</w:t>
      </w:r>
    </w:p>
    <w:p w14:paraId="3C7F558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2.乙方未按合同要求提供服务或服务质量不能满足合同及甲方要求，且未在甲方规定时间内完成整改，则甲方有权单方面解除合同，并有权</w:t>
      </w:r>
      <w:r>
        <w:rPr>
          <w:rFonts w:hint="eastAsia" w:ascii="楷体" w:hAnsi="楷体" w:eastAsia="楷体" w:cs="楷体"/>
          <w:spacing w:val="-3"/>
          <w:sz w:val="24"/>
          <w:szCs w:val="24"/>
        </w:rPr>
        <w:t>拒付相应款项，</w:t>
      </w:r>
      <w:r>
        <w:rPr>
          <w:rFonts w:hint="eastAsia" w:ascii="楷体" w:hAnsi="楷体" w:eastAsia="楷体" w:cs="楷体"/>
          <w:spacing w:val="2"/>
          <w:sz w:val="24"/>
          <w:szCs w:val="24"/>
        </w:rPr>
        <w:t>且乙方应向甲方支付本合同总价款30%的违约金。</w:t>
      </w:r>
    </w:p>
    <w:p w14:paraId="4111F01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3.乙方未能按照本合同约定时间提供服务或完成约定的项目服务内容的</w:t>
      </w:r>
      <w:r>
        <w:rPr>
          <w:rFonts w:hint="eastAsia" w:ascii="楷体" w:hAnsi="楷体" w:eastAsia="楷体" w:cs="楷体"/>
          <w:spacing w:val="-3"/>
          <w:sz w:val="24"/>
          <w:szCs w:val="24"/>
        </w:rPr>
        <w:t>，从</w:t>
      </w:r>
      <w:r>
        <w:rPr>
          <w:rFonts w:hint="eastAsia" w:ascii="楷体" w:hAnsi="楷体" w:eastAsia="楷体" w:cs="楷体"/>
          <w:spacing w:val="-2"/>
          <w:sz w:val="24"/>
          <w:szCs w:val="24"/>
        </w:rPr>
        <w:t>逾期之日起每日按本合同总价款百分之一的数额向甲方支付违约金；逾期7日以上的，甲方有权单方解除本合同，合同自书面解除通知送达（即使拒收）</w:t>
      </w:r>
      <w:r>
        <w:rPr>
          <w:rFonts w:hint="eastAsia" w:ascii="楷体" w:hAnsi="楷体" w:eastAsia="楷体" w:cs="楷体"/>
          <w:spacing w:val="-3"/>
          <w:sz w:val="24"/>
          <w:szCs w:val="24"/>
        </w:rPr>
        <w:t>乙方之</w:t>
      </w:r>
      <w:r>
        <w:rPr>
          <w:rFonts w:hint="eastAsia" w:ascii="楷体" w:hAnsi="楷体" w:eastAsia="楷体" w:cs="楷体"/>
          <w:spacing w:val="-1"/>
          <w:sz w:val="24"/>
          <w:szCs w:val="24"/>
        </w:rPr>
        <w:t>日起解除，由此造成的甲方经济损失全部由乙方承担。</w:t>
      </w:r>
    </w:p>
    <w:p w14:paraId="6B5E49F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4.未经甲方同意，乙方不得擅自将本合同服务转包或分包第三方承担，否则</w:t>
      </w:r>
      <w:r>
        <w:rPr>
          <w:rFonts w:hint="eastAsia" w:ascii="楷体" w:hAnsi="楷体" w:eastAsia="楷体" w:cs="楷体"/>
          <w:sz w:val="24"/>
          <w:szCs w:val="24"/>
        </w:rPr>
        <w:t>甲方有权解除本合同，乙方应向甲方支付本合同总价款30%的违约金。</w:t>
      </w:r>
    </w:p>
    <w:p w14:paraId="09C8F92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5.在本合同履行过程中，若乙方因违约或造成甲方经济、社会效益等损</w:t>
      </w:r>
      <w:r>
        <w:rPr>
          <w:rFonts w:hint="eastAsia" w:ascii="楷体" w:hAnsi="楷体" w:eastAsia="楷体" w:cs="楷体"/>
          <w:spacing w:val="-3"/>
          <w:sz w:val="24"/>
          <w:szCs w:val="24"/>
        </w:rPr>
        <w:t>失的应当全部赔偿。</w:t>
      </w:r>
    </w:p>
    <w:p w14:paraId="05B7FB9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hint="eastAsia" w:ascii="楷体" w:hAnsi="楷体" w:eastAsia="楷体" w:cs="楷体"/>
          <w:sz w:val="24"/>
          <w:szCs w:val="24"/>
        </w:rPr>
      </w:pPr>
      <w:r>
        <w:rPr>
          <w:rFonts w:hint="eastAsia" w:ascii="楷体" w:hAnsi="楷体" w:eastAsia="楷体" w:cs="楷体"/>
          <w:b/>
          <w:bCs/>
          <w:spacing w:val="-7"/>
          <w:sz w:val="24"/>
          <w:szCs w:val="24"/>
        </w:rPr>
        <w:t>九、保密条款</w:t>
      </w:r>
    </w:p>
    <w:p w14:paraId="5EAF710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1.乙方及其工作人员应遵守国家保密法律法规及规章制度，履行保密义务。工作人员自觉遵守保密审查，不违规记录、存储、复制工作秘密信息</w:t>
      </w:r>
      <w:r>
        <w:rPr>
          <w:rFonts w:hint="eastAsia" w:ascii="楷体" w:hAnsi="楷体" w:eastAsia="楷体" w:cs="楷体"/>
          <w:spacing w:val="-3"/>
          <w:sz w:val="24"/>
          <w:szCs w:val="24"/>
        </w:rPr>
        <w:t>，不以任何</w:t>
      </w:r>
      <w:r>
        <w:rPr>
          <w:rFonts w:hint="eastAsia" w:ascii="楷体" w:hAnsi="楷体" w:eastAsia="楷体" w:cs="楷体"/>
          <w:spacing w:val="-2"/>
          <w:sz w:val="24"/>
          <w:szCs w:val="24"/>
        </w:rPr>
        <w:t>方式泄露所接和知悉的工作秘密。未经对方书面许可，任何一方不得</w:t>
      </w:r>
      <w:r>
        <w:rPr>
          <w:rFonts w:hint="eastAsia" w:ascii="楷体" w:hAnsi="楷体" w:eastAsia="楷体" w:cs="楷体"/>
          <w:spacing w:val="-3"/>
          <w:sz w:val="24"/>
          <w:szCs w:val="24"/>
        </w:rPr>
        <w:t>向第三方提</w:t>
      </w:r>
      <w:r>
        <w:rPr>
          <w:rFonts w:hint="eastAsia" w:ascii="楷体" w:hAnsi="楷体" w:eastAsia="楷体" w:cs="楷体"/>
          <w:spacing w:val="-2"/>
          <w:sz w:val="24"/>
          <w:szCs w:val="24"/>
        </w:rPr>
        <w:t>供或者披露因本合同的签订和履行而得知的与对方业务有关的资料和</w:t>
      </w:r>
      <w:r>
        <w:rPr>
          <w:rFonts w:hint="eastAsia" w:ascii="楷体" w:hAnsi="楷体" w:eastAsia="楷体" w:cs="楷体"/>
          <w:spacing w:val="-3"/>
          <w:sz w:val="24"/>
          <w:szCs w:val="24"/>
        </w:rPr>
        <w:t>信息，法律</w:t>
      </w:r>
      <w:r>
        <w:rPr>
          <w:rFonts w:hint="eastAsia" w:ascii="楷体" w:hAnsi="楷体" w:eastAsia="楷体" w:cs="楷体"/>
          <w:spacing w:val="-2"/>
          <w:sz w:val="24"/>
          <w:szCs w:val="24"/>
        </w:rPr>
        <w:t>另有规定或本合同另有约定的除外。乙方向其关联公司提供或披露与</w:t>
      </w:r>
      <w:r>
        <w:rPr>
          <w:rFonts w:hint="eastAsia" w:ascii="楷体" w:hAnsi="楷体" w:eastAsia="楷体" w:cs="楷体"/>
          <w:spacing w:val="-3"/>
          <w:sz w:val="24"/>
          <w:szCs w:val="24"/>
        </w:rPr>
        <w:t>甲方业务有</w:t>
      </w:r>
      <w:r>
        <w:rPr>
          <w:rFonts w:hint="eastAsia" w:ascii="楷体" w:hAnsi="楷体" w:eastAsia="楷体" w:cs="楷体"/>
          <w:spacing w:val="-2"/>
          <w:sz w:val="24"/>
          <w:szCs w:val="24"/>
        </w:rPr>
        <w:t>关的资料和信息的，不受此限。</w:t>
      </w:r>
    </w:p>
    <w:p w14:paraId="7B0CE46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rPr>
          <w:rFonts w:hint="eastAsia" w:ascii="楷体" w:hAnsi="楷体" w:eastAsia="楷体" w:cs="楷体"/>
          <w:sz w:val="24"/>
          <w:szCs w:val="24"/>
        </w:rPr>
      </w:pPr>
      <w:r>
        <w:rPr>
          <w:rFonts w:hint="eastAsia" w:ascii="楷体" w:hAnsi="楷体" w:eastAsia="楷体" w:cs="楷体"/>
          <w:spacing w:val="-5"/>
          <w:sz w:val="24"/>
          <w:szCs w:val="24"/>
        </w:rPr>
        <w:t>2.本合同一方(“资料披露方</w:t>
      </w:r>
      <w:r>
        <w:rPr>
          <w:rFonts w:hint="eastAsia" w:ascii="楷体" w:hAnsi="楷体" w:eastAsia="楷体" w:cs="楷体"/>
          <w:spacing w:val="-95"/>
          <w:sz w:val="24"/>
          <w:szCs w:val="24"/>
        </w:rPr>
        <w:t xml:space="preserve"> </w:t>
      </w:r>
      <w:r>
        <w:rPr>
          <w:rFonts w:hint="eastAsia" w:ascii="楷体" w:hAnsi="楷体" w:eastAsia="楷体" w:cs="楷体"/>
          <w:spacing w:val="-5"/>
          <w:sz w:val="24"/>
          <w:szCs w:val="24"/>
        </w:rPr>
        <w:t>”)对其向本合同另一方(“</w:t>
      </w:r>
      <w:r>
        <w:rPr>
          <w:rFonts w:hint="eastAsia" w:ascii="楷体" w:hAnsi="楷体" w:eastAsia="楷体" w:cs="楷体"/>
          <w:spacing w:val="-107"/>
          <w:sz w:val="24"/>
          <w:szCs w:val="24"/>
        </w:rPr>
        <w:t xml:space="preserve"> </w:t>
      </w:r>
      <w:r>
        <w:rPr>
          <w:rFonts w:hint="eastAsia" w:ascii="楷体" w:hAnsi="楷体" w:eastAsia="楷体" w:cs="楷体"/>
          <w:spacing w:val="-5"/>
          <w:sz w:val="24"/>
          <w:szCs w:val="24"/>
        </w:rPr>
        <w:t>资料接受方</w:t>
      </w:r>
      <w:r>
        <w:rPr>
          <w:rFonts w:hint="eastAsia" w:ascii="楷体" w:hAnsi="楷体" w:eastAsia="楷体" w:cs="楷体"/>
          <w:spacing w:val="-105"/>
          <w:sz w:val="24"/>
          <w:szCs w:val="24"/>
        </w:rPr>
        <w:t xml:space="preserve"> </w:t>
      </w:r>
      <w:r>
        <w:rPr>
          <w:rFonts w:hint="eastAsia" w:ascii="楷体" w:hAnsi="楷体" w:eastAsia="楷体" w:cs="楷体"/>
          <w:spacing w:val="-5"/>
          <w:sz w:val="24"/>
          <w:szCs w:val="24"/>
        </w:rPr>
        <w:t>”)按照</w:t>
      </w:r>
      <w:r>
        <w:rPr>
          <w:rFonts w:hint="eastAsia" w:ascii="楷体" w:hAnsi="楷体" w:eastAsia="楷体" w:cs="楷体"/>
          <w:spacing w:val="-2"/>
          <w:sz w:val="24"/>
          <w:szCs w:val="24"/>
        </w:rPr>
        <w:t>本合同规定所提供的各类技术和商业资料、规格说明、图纸、文件及</w:t>
      </w:r>
      <w:r>
        <w:rPr>
          <w:rFonts w:hint="eastAsia" w:ascii="楷体" w:hAnsi="楷体" w:eastAsia="楷体" w:cs="楷体"/>
          <w:spacing w:val="-3"/>
          <w:sz w:val="24"/>
          <w:szCs w:val="24"/>
        </w:rPr>
        <w:t>专有技术等(以下简称“保密资料</w:t>
      </w:r>
      <w:r>
        <w:rPr>
          <w:rFonts w:hint="eastAsia" w:ascii="楷体" w:hAnsi="楷体" w:eastAsia="楷体" w:cs="楷体"/>
          <w:spacing w:val="-88"/>
          <w:sz w:val="24"/>
          <w:szCs w:val="24"/>
        </w:rPr>
        <w:t xml:space="preserve"> </w:t>
      </w:r>
      <w:r>
        <w:rPr>
          <w:rFonts w:hint="eastAsia" w:ascii="楷体" w:hAnsi="楷体" w:eastAsia="楷体" w:cs="楷体"/>
          <w:spacing w:val="-3"/>
          <w:sz w:val="24"/>
          <w:szCs w:val="24"/>
        </w:rPr>
        <w:t>”)享有合法、完整的所有权。</w:t>
      </w:r>
    </w:p>
    <w:p w14:paraId="67005D8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3.除本合同授权实施的行为外，资料接受方应将保密资料作为商业秘密</w:t>
      </w:r>
      <w:r>
        <w:rPr>
          <w:rFonts w:hint="eastAsia" w:ascii="楷体" w:hAnsi="楷体" w:eastAsia="楷体" w:cs="楷体"/>
          <w:spacing w:val="-3"/>
          <w:sz w:val="24"/>
          <w:szCs w:val="24"/>
        </w:rPr>
        <w:t>予以</w:t>
      </w:r>
      <w:r>
        <w:rPr>
          <w:rFonts w:hint="eastAsia" w:ascii="楷体" w:hAnsi="楷体" w:eastAsia="楷体" w:cs="楷体"/>
          <w:spacing w:val="-2"/>
          <w:sz w:val="24"/>
          <w:szCs w:val="24"/>
        </w:rPr>
        <w:t>保护，且不得将该保密资料任何部分或全部进行复制或向第三方（乙</w:t>
      </w:r>
      <w:r>
        <w:rPr>
          <w:rFonts w:hint="eastAsia" w:ascii="楷体" w:hAnsi="楷体" w:eastAsia="楷体" w:cs="楷体"/>
          <w:spacing w:val="-3"/>
          <w:sz w:val="24"/>
          <w:szCs w:val="24"/>
        </w:rPr>
        <w:t>方关联公司</w:t>
      </w:r>
      <w:r>
        <w:rPr>
          <w:rFonts w:hint="eastAsia" w:ascii="楷体" w:hAnsi="楷体" w:eastAsia="楷体" w:cs="楷体"/>
          <w:spacing w:val="-2"/>
          <w:sz w:val="24"/>
          <w:szCs w:val="24"/>
        </w:rPr>
        <w:t>除外）披露。资料接受方可仅为本合同的目的向其确有知悉必要的雇</w:t>
      </w:r>
      <w:r>
        <w:rPr>
          <w:rFonts w:hint="eastAsia" w:ascii="楷体" w:hAnsi="楷体" w:eastAsia="楷体" w:cs="楷体"/>
          <w:spacing w:val="-3"/>
          <w:sz w:val="24"/>
          <w:szCs w:val="24"/>
        </w:rPr>
        <w:t>员披露对方</w:t>
      </w:r>
      <w:r>
        <w:rPr>
          <w:rFonts w:hint="eastAsia" w:ascii="楷体" w:hAnsi="楷体" w:eastAsia="楷体" w:cs="楷体"/>
          <w:spacing w:val="-2"/>
          <w:sz w:val="24"/>
          <w:szCs w:val="24"/>
        </w:rPr>
        <w:t>提供的保密资料，但同时须指示其雇员遵守本条规定的保密及不披露</w:t>
      </w:r>
      <w:r>
        <w:rPr>
          <w:rFonts w:hint="eastAsia" w:ascii="楷体" w:hAnsi="楷体" w:eastAsia="楷体" w:cs="楷体"/>
          <w:spacing w:val="-3"/>
          <w:sz w:val="24"/>
          <w:szCs w:val="24"/>
        </w:rPr>
        <w:t>义务。资料</w:t>
      </w:r>
      <w:r>
        <w:rPr>
          <w:rFonts w:hint="eastAsia" w:ascii="楷体" w:hAnsi="楷体" w:eastAsia="楷体" w:cs="楷体"/>
          <w:spacing w:val="-2"/>
          <w:sz w:val="24"/>
          <w:szCs w:val="24"/>
        </w:rPr>
        <w:t>接受方应对根据本合同接受的保密资料妥善保管，向其提供不低于向</w:t>
      </w:r>
      <w:r>
        <w:rPr>
          <w:rFonts w:hint="eastAsia" w:ascii="楷体" w:hAnsi="楷体" w:eastAsia="楷体" w:cs="楷体"/>
          <w:spacing w:val="-3"/>
          <w:sz w:val="24"/>
          <w:szCs w:val="24"/>
        </w:rPr>
        <w:t>接受方自有</w:t>
      </w:r>
      <w:r>
        <w:rPr>
          <w:rFonts w:hint="eastAsia" w:ascii="楷体" w:hAnsi="楷体" w:eastAsia="楷体" w:cs="楷体"/>
          <w:spacing w:val="-2"/>
          <w:sz w:val="24"/>
          <w:szCs w:val="24"/>
        </w:rPr>
        <w:t>商业秘密提供的保护之保护。</w:t>
      </w:r>
    </w:p>
    <w:p w14:paraId="0AD6FCC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4" w:firstLineChars="200"/>
        <w:textAlignment w:val="baseline"/>
        <w:rPr>
          <w:rFonts w:hint="eastAsia" w:ascii="楷体" w:hAnsi="楷体" w:eastAsia="楷体" w:cs="楷体"/>
          <w:sz w:val="24"/>
          <w:szCs w:val="24"/>
        </w:rPr>
      </w:pPr>
      <w:r>
        <w:rPr>
          <w:rFonts w:hint="eastAsia" w:ascii="楷体" w:hAnsi="楷体" w:eastAsia="楷体" w:cs="楷体"/>
          <w:sz w:val="24"/>
          <w:szCs w:val="24"/>
        </w:rPr>
        <w:t>4.当出现下述情况时，本条对保密资料的限制不</w:t>
      </w:r>
      <w:r>
        <w:rPr>
          <w:rFonts w:hint="eastAsia" w:ascii="楷体" w:hAnsi="楷体" w:eastAsia="楷体" w:cs="楷体"/>
          <w:spacing w:val="-1"/>
          <w:sz w:val="24"/>
          <w:szCs w:val="24"/>
        </w:rPr>
        <w:t>适用。当保密资料：</w:t>
      </w:r>
    </w:p>
    <w:p w14:paraId="60324E6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4.1、并非因资料接受方的过错而已经进入公有领域的；</w:t>
      </w:r>
    </w:p>
    <w:p w14:paraId="6EFA5371">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4.2、已通过该方的有关记录证明是由资料接受</w:t>
      </w:r>
      <w:r>
        <w:rPr>
          <w:rFonts w:hint="eastAsia" w:ascii="楷体" w:hAnsi="楷体" w:eastAsia="楷体" w:cs="楷体"/>
          <w:spacing w:val="-3"/>
          <w:sz w:val="24"/>
          <w:szCs w:val="24"/>
        </w:rPr>
        <w:t>方独立开发的；</w:t>
      </w:r>
    </w:p>
    <w:p w14:paraId="3554866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4" w:firstLineChars="200"/>
        <w:textAlignment w:val="baseline"/>
        <w:rPr>
          <w:rFonts w:hint="eastAsia" w:ascii="楷体" w:hAnsi="楷体" w:eastAsia="楷体" w:cs="楷体"/>
          <w:sz w:val="24"/>
          <w:szCs w:val="24"/>
        </w:rPr>
      </w:pPr>
      <w:r>
        <w:rPr>
          <w:rFonts w:hint="eastAsia" w:ascii="楷体" w:hAnsi="楷体" w:eastAsia="楷体" w:cs="楷体"/>
          <w:sz w:val="24"/>
          <w:szCs w:val="24"/>
        </w:rPr>
        <w:t>4.3、由资料接受方从没有违反对资料披露方的保</w:t>
      </w:r>
      <w:r>
        <w:rPr>
          <w:rFonts w:hint="eastAsia" w:ascii="楷体" w:hAnsi="楷体" w:eastAsia="楷体" w:cs="楷体"/>
          <w:spacing w:val="-1"/>
          <w:sz w:val="24"/>
          <w:szCs w:val="24"/>
        </w:rPr>
        <w:t>密义务的人处取得；</w:t>
      </w:r>
    </w:p>
    <w:p w14:paraId="54D886C6">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0" w:firstLineChars="200"/>
        <w:textAlignment w:val="baseline"/>
        <w:rPr>
          <w:rFonts w:hint="eastAsia" w:ascii="楷体" w:hAnsi="楷体" w:eastAsia="楷体" w:cs="楷体"/>
          <w:sz w:val="24"/>
          <w:szCs w:val="24"/>
        </w:rPr>
      </w:pPr>
      <w:r>
        <w:rPr>
          <w:rFonts w:hint="eastAsia" w:ascii="楷体" w:hAnsi="楷体" w:eastAsia="楷体" w:cs="楷体"/>
          <w:spacing w:val="-1"/>
          <w:sz w:val="24"/>
          <w:szCs w:val="24"/>
        </w:rPr>
        <w:t>4.4</w:t>
      </w:r>
      <w:r>
        <w:rPr>
          <w:rFonts w:hint="eastAsia" w:ascii="楷体" w:hAnsi="楷体" w:eastAsia="楷体" w:cs="楷体"/>
          <w:spacing w:val="-31"/>
          <w:sz w:val="24"/>
          <w:szCs w:val="24"/>
        </w:rPr>
        <w:t xml:space="preserve"> </w:t>
      </w:r>
      <w:r>
        <w:rPr>
          <w:rFonts w:hint="eastAsia" w:ascii="楷体" w:hAnsi="楷体" w:eastAsia="楷体" w:cs="楷体"/>
          <w:spacing w:val="-1"/>
          <w:sz w:val="24"/>
          <w:szCs w:val="24"/>
        </w:rPr>
        <w:t>法律要求资料接受方披露的，但资料接受方应在合理的时间提前通知资料披露方，使其得以采取其认为必要的保护措施。</w:t>
      </w:r>
    </w:p>
    <w:p w14:paraId="4C13FBE7">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04" w:firstLineChars="200"/>
        <w:textAlignment w:val="baseline"/>
        <w:rPr>
          <w:rFonts w:hint="eastAsia" w:ascii="楷体" w:hAnsi="楷体" w:eastAsia="楷体" w:cs="楷体"/>
          <w:spacing w:val="-1"/>
          <w:sz w:val="24"/>
          <w:szCs w:val="24"/>
          <w:lang w:eastAsia="zh-CN"/>
        </w:rPr>
      </w:pPr>
      <w:r>
        <w:rPr>
          <w:rFonts w:hint="eastAsia" w:ascii="楷体" w:hAnsi="楷体" w:eastAsia="楷体" w:cs="楷体"/>
          <w:sz w:val="24"/>
          <w:szCs w:val="24"/>
        </w:rPr>
        <w:t>5.本合同保密期限为自本合同生效之日起</w:t>
      </w:r>
      <w:r>
        <w:rPr>
          <w:rFonts w:hint="eastAsia" w:ascii="楷体" w:hAnsi="楷体" w:eastAsia="楷体" w:cs="楷体"/>
          <w:spacing w:val="-1"/>
          <w:sz w:val="24"/>
          <w:szCs w:val="24"/>
        </w:rPr>
        <w:t>至本合同终止</w:t>
      </w:r>
      <w:r>
        <w:rPr>
          <w:rFonts w:hint="eastAsia" w:ascii="楷体" w:hAnsi="楷体" w:eastAsia="楷体" w:cs="楷体"/>
          <w:spacing w:val="-1"/>
          <w:sz w:val="24"/>
          <w:szCs w:val="24"/>
          <w:lang w:eastAsia="zh-CN"/>
        </w:rPr>
        <w:t>。</w:t>
      </w:r>
    </w:p>
    <w:p w14:paraId="26B85AF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textAlignment w:val="baseline"/>
        <w:rPr>
          <w:rFonts w:hint="eastAsia" w:ascii="楷体" w:hAnsi="楷体" w:eastAsia="楷体" w:cs="楷体"/>
          <w:sz w:val="24"/>
          <w:szCs w:val="24"/>
        </w:rPr>
      </w:pPr>
      <w:r>
        <w:rPr>
          <w:rFonts w:hint="eastAsia" w:ascii="楷体" w:hAnsi="楷体" w:eastAsia="楷体" w:cs="楷体"/>
          <w:b/>
          <w:bCs/>
          <w:spacing w:val="-7"/>
          <w:sz w:val="24"/>
          <w:szCs w:val="24"/>
        </w:rPr>
        <w:t>十、争议解决</w:t>
      </w:r>
    </w:p>
    <w:p w14:paraId="2B08B233">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pacing w:val="-3"/>
          <w:sz w:val="24"/>
          <w:szCs w:val="24"/>
        </w:rPr>
      </w:pPr>
      <w:r>
        <w:rPr>
          <w:rFonts w:hint="eastAsia" w:ascii="楷体" w:hAnsi="楷体" w:eastAsia="楷体" w:cs="楷体"/>
          <w:spacing w:val="-3"/>
          <w:sz w:val="24"/>
          <w:szCs w:val="24"/>
        </w:rPr>
        <w:t xml:space="preserve">1.本合同在履行过程中发生的争议，由甲、乙双方当事人协商解决，协商不成的按下列第  </w:t>
      </w:r>
    </w:p>
    <w:p w14:paraId="148FD00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2</w:t>
      </w:r>
      <w:r>
        <w:rPr>
          <w:rFonts w:hint="eastAsia" w:ascii="楷体" w:hAnsi="楷体" w:eastAsia="楷体" w:cs="楷体"/>
          <w:spacing w:val="11"/>
          <w:sz w:val="24"/>
          <w:szCs w:val="24"/>
        </w:rPr>
        <w:t xml:space="preserve"> </w:t>
      </w:r>
      <w:r>
        <w:rPr>
          <w:rFonts w:hint="eastAsia" w:ascii="楷体" w:hAnsi="楷体" w:eastAsia="楷体" w:cs="楷体"/>
          <w:spacing w:val="11"/>
          <w:sz w:val="24"/>
          <w:szCs w:val="24"/>
          <w:lang w:eastAsia="zh-CN"/>
        </w:rPr>
        <w:t>第</w:t>
      </w:r>
      <w:r>
        <w:rPr>
          <w:rFonts w:hint="eastAsia" w:ascii="楷体" w:hAnsi="楷体" w:eastAsia="楷体" w:cs="楷体"/>
          <w:spacing w:val="11"/>
          <w:sz w:val="24"/>
          <w:szCs w:val="24"/>
          <w:u w:val="single"/>
          <w:lang w:val="en-US" w:eastAsia="zh-CN"/>
        </w:rPr>
        <w:t xml:space="preserve">   </w:t>
      </w:r>
      <w:r>
        <w:rPr>
          <w:rFonts w:hint="eastAsia" w:ascii="楷体" w:hAnsi="楷体" w:eastAsia="楷体" w:cs="楷体"/>
          <w:spacing w:val="-3"/>
          <w:sz w:val="24"/>
          <w:szCs w:val="24"/>
        </w:rPr>
        <w:t>种方式解决：</w:t>
      </w:r>
    </w:p>
    <w:p w14:paraId="0F7E27C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1.1、提交</w:t>
      </w:r>
      <w:r>
        <w:rPr>
          <w:rFonts w:hint="eastAsia" w:ascii="楷体" w:hAnsi="楷体" w:eastAsia="楷体" w:cs="楷体"/>
          <w:spacing w:val="-2"/>
          <w:sz w:val="24"/>
          <w:szCs w:val="24"/>
          <w:lang w:eastAsia="zh-CN"/>
        </w:rPr>
        <w:t>安康市</w:t>
      </w:r>
      <w:r>
        <w:rPr>
          <w:rFonts w:hint="eastAsia" w:ascii="楷体" w:hAnsi="楷体" w:eastAsia="楷体" w:cs="楷体"/>
          <w:spacing w:val="-2"/>
          <w:sz w:val="24"/>
          <w:szCs w:val="24"/>
        </w:rPr>
        <w:t>仲裁委员会仲裁；</w:t>
      </w:r>
    </w:p>
    <w:p w14:paraId="1DED504B">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1.2、依法向甲方所在地人民法院起诉。</w:t>
      </w:r>
    </w:p>
    <w:p w14:paraId="20085605">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2.本条款为独立条款，本合同的无效、变更、解除和终止均不影响本条款的</w:t>
      </w:r>
      <w:r>
        <w:rPr>
          <w:rFonts w:hint="eastAsia" w:ascii="楷体" w:hAnsi="楷体" w:eastAsia="楷体" w:cs="楷体"/>
          <w:spacing w:val="-8"/>
          <w:sz w:val="24"/>
          <w:szCs w:val="24"/>
        </w:rPr>
        <w:t>效力。</w:t>
      </w:r>
    </w:p>
    <w:p w14:paraId="37C269A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rPr>
          <w:rFonts w:hint="eastAsia" w:ascii="楷体" w:hAnsi="楷体" w:eastAsia="楷体" w:cs="楷体"/>
          <w:sz w:val="24"/>
          <w:szCs w:val="24"/>
        </w:rPr>
      </w:pPr>
      <w:r>
        <w:rPr>
          <w:rFonts w:hint="eastAsia" w:ascii="楷体" w:hAnsi="楷体" w:eastAsia="楷体" w:cs="楷体"/>
          <w:b/>
          <w:bCs/>
          <w:spacing w:val="-5"/>
          <w:sz w:val="24"/>
          <w:szCs w:val="24"/>
        </w:rPr>
        <w:t>十一、不可抗力及免责</w:t>
      </w:r>
    </w:p>
    <w:p w14:paraId="6EDAAF7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1.如由于战争、骚乱、恐怖主义、</w:t>
      </w:r>
      <w:r>
        <w:rPr>
          <w:rFonts w:hint="eastAsia" w:ascii="楷体" w:hAnsi="楷体" w:eastAsia="楷体" w:cs="楷体"/>
          <w:spacing w:val="-78"/>
          <w:sz w:val="24"/>
          <w:szCs w:val="24"/>
        </w:rPr>
        <w:t xml:space="preserve"> </w:t>
      </w:r>
      <w:r>
        <w:rPr>
          <w:rFonts w:hint="eastAsia" w:ascii="楷体" w:hAnsi="楷体" w:eastAsia="楷体" w:cs="楷体"/>
          <w:spacing w:val="-4"/>
          <w:sz w:val="24"/>
          <w:szCs w:val="24"/>
        </w:rPr>
        <w:t>自然灾害、国家</w:t>
      </w:r>
      <w:r>
        <w:rPr>
          <w:rFonts w:hint="eastAsia" w:ascii="楷体" w:hAnsi="楷体" w:eastAsia="楷体" w:cs="楷体"/>
          <w:spacing w:val="-5"/>
          <w:sz w:val="24"/>
          <w:szCs w:val="24"/>
        </w:rPr>
        <w:t>法律法规或规章变动、网</w:t>
      </w:r>
      <w:r>
        <w:rPr>
          <w:rFonts w:hint="eastAsia" w:ascii="楷体" w:hAnsi="楷体" w:eastAsia="楷体" w:cs="楷体"/>
          <w:spacing w:val="-2"/>
          <w:sz w:val="24"/>
          <w:szCs w:val="24"/>
        </w:rPr>
        <w:t>络安全、网络无法覆盖、停电、通信线路被人为破坏，导致甲乙双方或一方不能履行或不能完全履行本合同项下有关义务时，受影响方不承担违约责任，但应于该等情形发生后[十五]日内将情况告知对方，并提供有关部门的证明。在影响消除后的合理时间内，一方或双方应当继续履行合同。如因此导致合同不能或者没</w:t>
      </w:r>
      <w:r>
        <w:rPr>
          <w:rFonts w:hint="eastAsia" w:ascii="楷体" w:hAnsi="楷体" w:eastAsia="楷体" w:cs="楷体"/>
          <w:spacing w:val="-1"/>
          <w:sz w:val="24"/>
          <w:szCs w:val="24"/>
        </w:rPr>
        <w:t>有必要继续履行的，本合同可协商解除。</w:t>
      </w:r>
    </w:p>
    <w:p w14:paraId="6A7FAE0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2.如政府管理部门提出要求的，乙方将暂停或终止提供相应服务，且不承担</w:t>
      </w:r>
      <w:r>
        <w:rPr>
          <w:rFonts w:hint="eastAsia" w:ascii="楷体" w:hAnsi="楷体" w:eastAsia="楷体" w:cs="楷体"/>
          <w:spacing w:val="-1"/>
          <w:sz w:val="24"/>
          <w:szCs w:val="24"/>
        </w:rPr>
        <w:t>任何责任，未提供服务部分费用应予以退回。</w:t>
      </w:r>
    </w:p>
    <w:p w14:paraId="7575BE6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520"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3.</w:t>
      </w:r>
      <w:r>
        <w:rPr>
          <w:rFonts w:hint="eastAsia" w:ascii="楷体" w:hAnsi="楷体" w:eastAsia="楷体" w:cs="楷体"/>
          <w:spacing w:val="-62"/>
          <w:sz w:val="24"/>
          <w:szCs w:val="24"/>
        </w:rPr>
        <w:t xml:space="preserve"> </w:t>
      </w:r>
      <w:r>
        <w:rPr>
          <w:rFonts w:hint="eastAsia" w:ascii="楷体" w:hAnsi="楷体" w:eastAsia="楷体" w:cs="楷体"/>
          <w:spacing w:val="4"/>
          <w:sz w:val="24"/>
          <w:szCs w:val="24"/>
        </w:rPr>
        <w:t>由以下任一原因使得乙方对甲方指定防护目标所提供的服务的实施或服</w:t>
      </w:r>
      <w:r>
        <w:rPr>
          <w:rFonts w:hint="eastAsia" w:ascii="楷体" w:hAnsi="楷体" w:eastAsia="楷体" w:cs="楷体"/>
          <w:spacing w:val="-2"/>
          <w:sz w:val="24"/>
          <w:szCs w:val="24"/>
        </w:rPr>
        <w:t>务效果受到影响，乙方不承担责任：</w:t>
      </w:r>
    </w:p>
    <w:p w14:paraId="7E43142A">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hint="eastAsia" w:ascii="楷体" w:hAnsi="楷体" w:eastAsia="楷体" w:cs="楷体"/>
          <w:sz w:val="24"/>
          <w:szCs w:val="24"/>
        </w:rPr>
      </w:pPr>
      <w:r>
        <w:rPr>
          <w:rFonts w:hint="eastAsia" w:ascii="楷体" w:hAnsi="楷体" w:eastAsia="楷体" w:cs="楷体"/>
          <w:spacing w:val="-6"/>
          <w:sz w:val="24"/>
          <w:szCs w:val="24"/>
        </w:rPr>
        <w:t>3.1、</w:t>
      </w:r>
      <w:r>
        <w:rPr>
          <w:rFonts w:hint="eastAsia" w:ascii="楷体" w:hAnsi="楷体" w:eastAsia="楷体" w:cs="楷体"/>
          <w:spacing w:val="-83"/>
          <w:sz w:val="24"/>
          <w:szCs w:val="24"/>
        </w:rPr>
        <w:t xml:space="preserve"> </w:t>
      </w:r>
      <w:r>
        <w:rPr>
          <w:rFonts w:hint="eastAsia" w:ascii="楷体" w:hAnsi="楷体" w:eastAsia="楷体" w:cs="楷体"/>
          <w:spacing w:val="-6"/>
          <w:sz w:val="24"/>
          <w:szCs w:val="24"/>
        </w:rPr>
        <w:t>甲方的设备故障；</w:t>
      </w:r>
    </w:p>
    <w:p w14:paraId="5EC5476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rPr>
          <w:rFonts w:hint="eastAsia" w:ascii="楷体" w:hAnsi="楷体" w:eastAsia="楷体" w:cs="楷体"/>
          <w:sz w:val="24"/>
          <w:szCs w:val="24"/>
        </w:rPr>
      </w:pPr>
      <w:r>
        <w:rPr>
          <w:rFonts w:hint="eastAsia" w:ascii="楷体" w:hAnsi="楷体" w:eastAsia="楷体" w:cs="楷体"/>
          <w:spacing w:val="-5"/>
          <w:sz w:val="24"/>
          <w:szCs w:val="24"/>
        </w:rPr>
        <w:t>3.2、</w:t>
      </w:r>
      <w:r>
        <w:rPr>
          <w:rFonts w:hint="eastAsia" w:ascii="楷体" w:hAnsi="楷体" w:eastAsia="楷体" w:cs="楷体"/>
          <w:spacing w:val="-71"/>
          <w:sz w:val="24"/>
          <w:szCs w:val="24"/>
        </w:rPr>
        <w:t xml:space="preserve"> </w:t>
      </w:r>
      <w:r>
        <w:rPr>
          <w:rFonts w:hint="eastAsia" w:ascii="楷体" w:hAnsi="楷体" w:eastAsia="楷体" w:cs="楷体"/>
          <w:spacing w:val="-5"/>
          <w:sz w:val="24"/>
          <w:szCs w:val="24"/>
        </w:rPr>
        <w:t>甲方的应用程序或安装活动；</w:t>
      </w:r>
    </w:p>
    <w:p w14:paraId="6351FEA4">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8" w:firstLineChars="200"/>
        <w:textAlignment w:val="baseline"/>
        <w:rPr>
          <w:rFonts w:hint="eastAsia" w:ascii="楷体" w:hAnsi="楷体" w:eastAsia="楷体" w:cs="楷体"/>
          <w:sz w:val="24"/>
          <w:szCs w:val="24"/>
        </w:rPr>
      </w:pPr>
      <w:r>
        <w:rPr>
          <w:rFonts w:hint="eastAsia" w:ascii="楷体" w:hAnsi="楷体" w:eastAsia="楷体" w:cs="楷体"/>
          <w:spacing w:val="-4"/>
          <w:sz w:val="24"/>
          <w:szCs w:val="24"/>
        </w:rPr>
        <w:t>3.3、</w:t>
      </w:r>
      <w:r>
        <w:rPr>
          <w:rFonts w:hint="eastAsia" w:ascii="楷体" w:hAnsi="楷体" w:eastAsia="楷体" w:cs="楷体"/>
          <w:spacing w:val="-78"/>
          <w:sz w:val="24"/>
          <w:szCs w:val="24"/>
        </w:rPr>
        <w:t xml:space="preserve"> </w:t>
      </w:r>
      <w:r>
        <w:rPr>
          <w:rFonts w:hint="eastAsia" w:ascii="楷体" w:hAnsi="楷体" w:eastAsia="楷体" w:cs="楷体"/>
          <w:spacing w:val="-4"/>
          <w:sz w:val="24"/>
          <w:szCs w:val="24"/>
        </w:rPr>
        <w:t>甲方的疏忽或由甲方授权的操作；</w:t>
      </w:r>
    </w:p>
    <w:p w14:paraId="380D2282">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4" w:firstLineChars="200"/>
        <w:textAlignment w:val="baseline"/>
        <w:rPr>
          <w:rFonts w:hint="eastAsia" w:ascii="楷体" w:hAnsi="楷体" w:eastAsia="楷体" w:cs="楷体"/>
          <w:sz w:val="24"/>
          <w:szCs w:val="24"/>
        </w:rPr>
      </w:pPr>
      <w:r>
        <w:rPr>
          <w:rFonts w:hint="eastAsia" w:ascii="楷体" w:hAnsi="楷体" w:eastAsia="楷体" w:cs="楷体"/>
          <w:spacing w:val="-5"/>
          <w:sz w:val="24"/>
          <w:szCs w:val="24"/>
        </w:rPr>
        <w:t>3.4、</w:t>
      </w:r>
      <w:r>
        <w:rPr>
          <w:rFonts w:hint="eastAsia" w:ascii="楷体" w:hAnsi="楷体" w:eastAsia="楷体" w:cs="楷体"/>
          <w:spacing w:val="-80"/>
          <w:sz w:val="24"/>
          <w:szCs w:val="24"/>
        </w:rPr>
        <w:t xml:space="preserve"> </w:t>
      </w:r>
      <w:r>
        <w:rPr>
          <w:rFonts w:hint="eastAsia" w:ascii="楷体" w:hAnsi="楷体" w:eastAsia="楷体" w:cs="楷体"/>
          <w:spacing w:val="-5"/>
          <w:sz w:val="24"/>
          <w:szCs w:val="24"/>
        </w:rPr>
        <w:t>甲方接入电路自身故障；</w:t>
      </w:r>
    </w:p>
    <w:p w14:paraId="601DC0A0">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4.乙方应当提前书面通知甲方，甲方接到乙方通知后应当做好数据备份并承</w:t>
      </w:r>
      <w:r>
        <w:rPr>
          <w:rFonts w:hint="eastAsia" w:ascii="楷体" w:hAnsi="楷体" w:eastAsia="楷体" w:cs="楷体"/>
          <w:spacing w:val="-1"/>
          <w:sz w:val="24"/>
          <w:szCs w:val="24"/>
        </w:rPr>
        <w:t>担数据丢失、遗漏、毁损的风险，乙方对此无需承担责任。</w:t>
      </w:r>
    </w:p>
    <w:p w14:paraId="1345C90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hint="eastAsia" w:ascii="楷体" w:hAnsi="楷体" w:eastAsia="楷体" w:cs="楷体"/>
          <w:sz w:val="24"/>
          <w:szCs w:val="24"/>
        </w:rPr>
      </w:pPr>
      <w:r>
        <w:rPr>
          <w:rFonts w:hint="eastAsia" w:ascii="楷体" w:hAnsi="楷体" w:eastAsia="楷体" w:cs="楷体"/>
          <w:b/>
          <w:bCs/>
          <w:spacing w:val="-6"/>
          <w:sz w:val="24"/>
          <w:szCs w:val="24"/>
        </w:rPr>
        <w:t>十二、合同生效</w:t>
      </w:r>
    </w:p>
    <w:p w14:paraId="5E81F50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2" w:firstLineChars="200"/>
        <w:textAlignment w:val="baseline"/>
        <w:rPr>
          <w:rFonts w:hint="eastAsia" w:ascii="楷体" w:hAnsi="楷体" w:eastAsia="楷体" w:cs="楷体"/>
          <w:sz w:val="24"/>
          <w:szCs w:val="24"/>
        </w:rPr>
      </w:pPr>
      <w:r>
        <w:rPr>
          <w:rFonts w:hint="eastAsia" w:ascii="楷体" w:hAnsi="楷体" w:eastAsia="楷体" w:cs="楷体"/>
          <w:spacing w:val="-3"/>
          <w:sz w:val="24"/>
          <w:szCs w:val="24"/>
        </w:rPr>
        <w:t>1.本合同一式陆份，甲方持肆份，乙方持贰份，本合同甲、乙方签字盖章后</w:t>
      </w:r>
      <w:r>
        <w:rPr>
          <w:rFonts w:hint="eastAsia" w:ascii="楷体" w:hAnsi="楷体" w:eastAsia="楷体" w:cs="楷体"/>
          <w:spacing w:val="-12"/>
          <w:sz w:val="24"/>
          <w:szCs w:val="24"/>
        </w:rPr>
        <w:t>生效。</w:t>
      </w:r>
    </w:p>
    <w:p w14:paraId="2BD7313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2.如果本合同的任何条款在任何时候变成不合法、无效或不可强制执行而不</w:t>
      </w:r>
      <w:r>
        <w:rPr>
          <w:rFonts w:hint="eastAsia" w:ascii="楷体" w:hAnsi="楷体" w:eastAsia="楷体" w:cs="楷体"/>
          <w:spacing w:val="-1"/>
          <w:sz w:val="24"/>
          <w:szCs w:val="24"/>
        </w:rPr>
        <w:t>从根本上影响本合同的效力时，本合同的其他条款不受影响。</w:t>
      </w:r>
    </w:p>
    <w:p w14:paraId="295FDF67">
      <w:pPr>
        <w:keepNext w:val="0"/>
        <w:keepLines w:val="0"/>
        <w:pageBreakBefore w:val="0"/>
        <w:widowControl/>
        <w:kinsoku w:val="0"/>
        <w:wordWrap/>
        <w:overflowPunct/>
        <w:topLinePunct w:val="0"/>
        <w:autoSpaceDE w:val="0"/>
        <w:autoSpaceDN w:val="0"/>
        <w:bidi w:val="0"/>
        <w:adjustRightInd w:val="0"/>
        <w:snapToGrid w:val="0"/>
        <w:spacing w:line="360" w:lineRule="auto"/>
        <w:ind w:right="0"/>
        <w:textAlignment w:val="baseline"/>
        <w:rPr>
          <w:rFonts w:hint="eastAsia" w:ascii="楷体" w:hAnsi="楷体" w:eastAsia="楷体" w:cs="楷体"/>
          <w:sz w:val="24"/>
          <w:szCs w:val="24"/>
        </w:rPr>
      </w:pPr>
      <w:r>
        <w:rPr>
          <w:rFonts w:hint="eastAsia" w:ascii="楷体" w:hAnsi="楷体" w:eastAsia="楷体" w:cs="楷体"/>
          <w:spacing w:val="-2"/>
          <w:sz w:val="24"/>
          <w:szCs w:val="24"/>
        </w:rPr>
        <w:t>3.除本合同另有约定外，未经甲乙双方书面确认，任何一方不得自行变</w:t>
      </w:r>
      <w:r>
        <w:rPr>
          <w:rFonts w:hint="eastAsia" w:ascii="楷体" w:hAnsi="楷体" w:eastAsia="楷体" w:cs="楷体"/>
          <w:spacing w:val="-3"/>
          <w:sz w:val="24"/>
          <w:szCs w:val="24"/>
        </w:rPr>
        <w:t>更或修改本合同。</w:t>
      </w:r>
    </w:p>
    <w:p w14:paraId="4F41F1E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4.未得到对方的书面许可，一方均不得以广告或在公共场合使用或摹仿对方的商业名称、商标、图案、服务标志、符号、代码、型号或缩写，任何一方均不得声称对对方的商业名称、商标、图案、服务标志、符号、代码、型号或缩写拥</w:t>
      </w:r>
      <w:r>
        <w:rPr>
          <w:rFonts w:hint="eastAsia" w:ascii="楷体" w:hAnsi="楷体" w:eastAsia="楷体" w:cs="楷体"/>
          <w:spacing w:val="-3"/>
          <w:sz w:val="24"/>
          <w:szCs w:val="24"/>
        </w:rPr>
        <w:t>有所有权。</w:t>
      </w:r>
    </w:p>
    <w:p w14:paraId="6107AB5D">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2" w:firstLineChars="200"/>
        <w:textAlignment w:val="baseline"/>
        <w:rPr>
          <w:rFonts w:hint="eastAsia" w:ascii="楷体" w:hAnsi="楷体" w:eastAsia="楷体" w:cs="楷体"/>
          <w:sz w:val="24"/>
          <w:szCs w:val="24"/>
        </w:rPr>
      </w:pPr>
      <w:r>
        <w:rPr>
          <w:rFonts w:hint="eastAsia" w:ascii="楷体" w:hAnsi="楷体" w:eastAsia="楷体" w:cs="楷体"/>
          <w:spacing w:val="-8"/>
          <w:sz w:val="24"/>
          <w:szCs w:val="24"/>
        </w:rPr>
        <w:t>5.双方同意，附件为本合同不可分割的部分。若附件与合同正文有任何冲突，</w:t>
      </w:r>
      <w:r>
        <w:rPr>
          <w:rFonts w:hint="eastAsia" w:ascii="楷体" w:hAnsi="楷体" w:eastAsia="楷体" w:cs="楷体"/>
          <w:spacing w:val="-6"/>
          <w:sz w:val="24"/>
          <w:szCs w:val="24"/>
        </w:rPr>
        <w:t>以合同正文为准。</w:t>
      </w:r>
    </w:p>
    <w:p w14:paraId="5F64212E">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80" w:firstLineChars="200"/>
        <w:textAlignment w:val="baseline"/>
        <w:rPr>
          <w:rFonts w:hint="eastAsia" w:ascii="楷体" w:hAnsi="楷体" w:eastAsia="楷体" w:cs="楷体"/>
          <w:sz w:val="24"/>
          <w:szCs w:val="24"/>
        </w:rPr>
      </w:pPr>
      <w:r>
        <w:rPr>
          <w:rFonts w:hint="eastAsia" w:ascii="楷体" w:hAnsi="楷体" w:eastAsia="楷体" w:cs="楷体"/>
          <w:b/>
          <w:bCs/>
          <w:spacing w:val="-6"/>
          <w:sz w:val="24"/>
          <w:szCs w:val="24"/>
        </w:rPr>
        <w:t>十三、其他事项</w:t>
      </w:r>
    </w:p>
    <w:p w14:paraId="616BB589">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96" w:firstLineChars="200"/>
        <w:textAlignment w:val="baseline"/>
        <w:rPr>
          <w:rFonts w:hint="eastAsia" w:ascii="楷体" w:hAnsi="楷体" w:eastAsia="楷体" w:cs="楷体"/>
          <w:sz w:val="24"/>
          <w:szCs w:val="24"/>
        </w:rPr>
      </w:pPr>
      <w:r>
        <w:rPr>
          <w:rFonts w:hint="eastAsia" w:ascii="楷体" w:hAnsi="楷体" w:eastAsia="楷体" w:cs="楷体"/>
          <w:spacing w:val="-2"/>
          <w:sz w:val="24"/>
          <w:szCs w:val="24"/>
        </w:rPr>
        <w:t>1.合同附件均成为合同不可分割的部分。</w:t>
      </w:r>
    </w:p>
    <w:p w14:paraId="1AF6DABF">
      <w:pPr>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476" w:firstLineChars="200"/>
        <w:jc w:val="left"/>
        <w:textAlignment w:val="baseline"/>
        <w:rPr>
          <w:rFonts w:hint="eastAsia" w:ascii="楷体" w:hAnsi="楷体" w:eastAsia="楷体" w:cs="楷体"/>
          <w:sz w:val="24"/>
          <w:szCs w:val="24"/>
        </w:rPr>
      </w:pPr>
      <w:r>
        <w:rPr>
          <w:rFonts w:hint="eastAsia" w:ascii="楷体" w:hAnsi="楷体" w:eastAsia="楷体" w:cs="楷体"/>
          <w:spacing w:val="-7"/>
          <w:sz w:val="24"/>
          <w:szCs w:val="24"/>
        </w:rPr>
        <w:t>2.合同未尽事宜，由甲、乙双方协商补充合同，与原合同具有同等法律效力。</w:t>
      </w:r>
    </w:p>
    <w:p w14:paraId="1CA2633E">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5606469A">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6EB185DF">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0596910C">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54666DBA">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6C80ECFA">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4BF49786">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13C12757">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611B4D72">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74BC7512">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0A61CD1E">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5D87EE6F">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76D3AC3D">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215CC403">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p w14:paraId="565BA526">
      <w:pPr>
        <w:keepNext w:val="0"/>
        <w:keepLines w:val="0"/>
        <w:pageBreakBefore w:val="0"/>
        <w:widowControl w:val="0"/>
        <w:shd w:val="clear" w:color="auto" w:fill="FFFFFF"/>
        <w:kinsoku/>
        <w:overflowPunct/>
        <w:topLinePunct w:val="0"/>
        <w:bidi w:val="0"/>
        <w:adjustRightInd w:val="0"/>
        <w:snapToGrid w:val="0"/>
        <w:spacing w:beforeAutospacing="0" w:afterAutospacing="0" w:line="360" w:lineRule="auto"/>
        <w:jc w:val="both"/>
        <w:textAlignment w:val="auto"/>
        <w:rPr>
          <w:rFonts w:hint="eastAsia" w:ascii="楷体" w:hAnsi="楷体" w:eastAsia="楷体" w:cs="楷体"/>
          <w:b w:val="0"/>
          <w:bCs w:val="0"/>
          <w:sz w:val="24"/>
          <w:szCs w:val="24"/>
          <w:lang w:eastAsia="zh-CN"/>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0"/>
        <w:gridCol w:w="4441"/>
      </w:tblGrid>
      <w:tr w14:paraId="27B1B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005ACB94">
            <w:pPr>
              <w:rPr>
                <w:rFonts w:hint="eastAsia" w:ascii="楷体" w:hAnsi="楷体" w:eastAsia="楷体" w:cs="楷体"/>
                <w:b w:val="0"/>
                <w:bCs w:val="0"/>
                <w:sz w:val="24"/>
              </w:rPr>
            </w:pPr>
            <w:r>
              <w:rPr>
                <w:rFonts w:hint="eastAsia" w:ascii="楷体" w:hAnsi="楷体" w:eastAsia="楷体" w:cs="楷体"/>
                <w:b w:val="0"/>
                <w:bCs w:val="0"/>
                <w:sz w:val="24"/>
                <w:szCs w:val="24"/>
              </w:rPr>
              <w:br w:type="page"/>
            </w:r>
            <w:r>
              <w:rPr>
                <w:rFonts w:hint="eastAsia" w:ascii="楷体" w:hAnsi="楷体" w:eastAsia="楷体" w:cs="楷体"/>
                <w:b w:val="0"/>
                <w:bCs w:val="0"/>
                <w:sz w:val="24"/>
              </w:rPr>
              <w:t>甲  方</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3E1AB3B5">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乙  方</w:t>
            </w:r>
          </w:p>
        </w:tc>
      </w:tr>
      <w:tr w14:paraId="2CF60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27166A09">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（盖章）</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6E926C40">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成交供应商全称</w:t>
            </w:r>
          </w:p>
          <w:p w14:paraId="678BC85F">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（盖章）</w:t>
            </w:r>
          </w:p>
        </w:tc>
      </w:tr>
      <w:tr w14:paraId="14DCF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7E346A41">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地址：</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18118F3D">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地址：</w:t>
            </w:r>
          </w:p>
        </w:tc>
      </w:tr>
      <w:tr w14:paraId="40367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7AC41E76">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邮编：</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5B36E687">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邮编：</w:t>
            </w:r>
          </w:p>
        </w:tc>
      </w:tr>
      <w:tr w14:paraId="10149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vMerge w:val="restart"/>
            <w:tcBorders>
              <w:top w:val="single" w:color="auto" w:sz="4" w:space="0"/>
              <w:left w:val="single" w:color="auto" w:sz="4" w:space="0"/>
              <w:right w:val="single" w:color="auto" w:sz="4" w:space="0"/>
            </w:tcBorders>
            <w:noWrap w:val="0"/>
            <w:vAlign w:val="center"/>
          </w:tcPr>
          <w:p w14:paraId="5D6147E8">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全权代表：（签字）</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7DF3A43E">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法定代表人：</w:t>
            </w:r>
          </w:p>
        </w:tc>
      </w:tr>
      <w:tr w14:paraId="63995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vMerge w:val="continue"/>
            <w:tcBorders>
              <w:left w:val="single" w:color="auto" w:sz="4" w:space="0"/>
              <w:bottom w:val="single" w:color="auto" w:sz="4" w:space="0"/>
              <w:right w:val="single" w:color="auto" w:sz="4" w:space="0"/>
            </w:tcBorders>
            <w:noWrap w:val="0"/>
            <w:vAlign w:val="center"/>
          </w:tcPr>
          <w:p w14:paraId="7C63A9B5">
            <w:pPr>
              <w:spacing w:line="360" w:lineRule="auto"/>
              <w:jc w:val="left"/>
              <w:rPr>
                <w:rFonts w:hint="eastAsia" w:ascii="楷体" w:hAnsi="楷体" w:eastAsia="楷体" w:cs="楷体"/>
                <w:b w:val="0"/>
                <w:bCs w:val="0"/>
                <w:sz w:val="24"/>
              </w:rPr>
            </w:pPr>
          </w:p>
        </w:tc>
        <w:tc>
          <w:tcPr>
            <w:tcW w:w="4441" w:type="dxa"/>
            <w:tcBorders>
              <w:top w:val="single" w:color="auto" w:sz="4" w:space="0"/>
              <w:left w:val="single" w:color="auto" w:sz="4" w:space="0"/>
              <w:bottom w:val="single" w:color="auto" w:sz="4" w:space="0"/>
              <w:right w:val="single" w:color="auto" w:sz="4" w:space="0"/>
            </w:tcBorders>
            <w:noWrap w:val="0"/>
            <w:vAlign w:val="center"/>
          </w:tcPr>
          <w:p w14:paraId="204DD4ED">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被授权代表：（签字）</w:t>
            </w:r>
          </w:p>
        </w:tc>
      </w:tr>
      <w:tr w14:paraId="11EF7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0750AB5C">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电话：</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29523D2E">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电话：</w:t>
            </w:r>
          </w:p>
        </w:tc>
      </w:tr>
      <w:tr w14:paraId="2D84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5EA9E3B4">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传真：</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12E47224">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传真：</w:t>
            </w:r>
          </w:p>
        </w:tc>
      </w:tr>
      <w:tr w14:paraId="07573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0BF41D4D">
            <w:pPr>
              <w:spacing w:line="360" w:lineRule="auto"/>
              <w:jc w:val="left"/>
              <w:rPr>
                <w:rFonts w:hint="eastAsia" w:ascii="楷体" w:hAnsi="楷体" w:eastAsia="楷体" w:cs="楷体"/>
                <w:b w:val="0"/>
                <w:bCs w:val="0"/>
                <w:sz w:val="24"/>
              </w:rPr>
            </w:pPr>
          </w:p>
        </w:tc>
        <w:tc>
          <w:tcPr>
            <w:tcW w:w="4441" w:type="dxa"/>
            <w:tcBorders>
              <w:top w:val="single" w:color="auto" w:sz="4" w:space="0"/>
              <w:left w:val="single" w:color="auto" w:sz="4" w:space="0"/>
              <w:bottom w:val="single" w:color="auto" w:sz="4" w:space="0"/>
              <w:right w:val="single" w:color="auto" w:sz="4" w:space="0"/>
            </w:tcBorders>
            <w:noWrap w:val="0"/>
            <w:vAlign w:val="center"/>
          </w:tcPr>
          <w:p w14:paraId="63EBB6C5">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开户银行：</w:t>
            </w:r>
          </w:p>
        </w:tc>
      </w:tr>
      <w:tr w14:paraId="3823D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7ACF2BB3">
            <w:pPr>
              <w:spacing w:line="360" w:lineRule="auto"/>
              <w:jc w:val="left"/>
              <w:rPr>
                <w:rFonts w:hint="eastAsia" w:ascii="楷体" w:hAnsi="楷体" w:eastAsia="楷体" w:cs="楷体"/>
                <w:b w:val="0"/>
                <w:bCs w:val="0"/>
                <w:sz w:val="24"/>
              </w:rPr>
            </w:pPr>
          </w:p>
        </w:tc>
        <w:tc>
          <w:tcPr>
            <w:tcW w:w="4441" w:type="dxa"/>
            <w:tcBorders>
              <w:top w:val="single" w:color="auto" w:sz="4" w:space="0"/>
              <w:left w:val="single" w:color="auto" w:sz="4" w:space="0"/>
              <w:bottom w:val="single" w:color="auto" w:sz="4" w:space="0"/>
              <w:right w:val="single" w:color="auto" w:sz="4" w:space="0"/>
            </w:tcBorders>
            <w:noWrap w:val="0"/>
            <w:vAlign w:val="center"/>
          </w:tcPr>
          <w:p w14:paraId="68F72671">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账号:</w:t>
            </w:r>
          </w:p>
        </w:tc>
      </w:tr>
      <w:tr w14:paraId="0B177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440" w:type="dxa"/>
            <w:tcBorders>
              <w:top w:val="single" w:color="auto" w:sz="4" w:space="0"/>
              <w:left w:val="single" w:color="auto" w:sz="4" w:space="0"/>
              <w:bottom w:val="single" w:color="auto" w:sz="4" w:space="0"/>
              <w:right w:val="single" w:color="auto" w:sz="4" w:space="0"/>
            </w:tcBorders>
            <w:noWrap w:val="0"/>
            <w:vAlign w:val="center"/>
          </w:tcPr>
          <w:p w14:paraId="4378ED0A">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日期：  年   月   日</w:t>
            </w:r>
          </w:p>
        </w:tc>
        <w:tc>
          <w:tcPr>
            <w:tcW w:w="4441" w:type="dxa"/>
            <w:tcBorders>
              <w:top w:val="single" w:color="auto" w:sz="4" w:space="0"/>
              <w:left w:val="single" w:color="auto" w:sz="4" w:space="0"/>
              <w:bottom w:val="single" w:color="auto" w:sz="4" w:space="0"/>
              <w:right w:val="single" w:color="auto" w:sz="4" w:space="0"/>
            </w:tcBorders>
            <w:noWrap w:val="0"/>
            <w:vAlign w:val="center"/>
          </w:tcPr>
          <w:p w14:paraId="19AC6A1B">
            <w:pPr>
              <w:spacing w:line="360" w:lineRule="auto"/>
              <w:jc w:val="left"/>
              <w:rPr>
                <w:rFonts w:hint="eastAsia" w:ascii="楷体" w:hAnsi="楷体" w:eastAsia="楷体" w:cs="楷体"/>
                <w:b w:val="0"/>
                <w:bCs w:val="0"/>
                <w:sz w:val="24"/>
              </w:rPr>
            </w:pPr>
            <w:r>
              <w:rPr>
                <w:rFonts w:hint="eastAsia" w:ascii="楷体" w:hAnsi="楷体" w:eastAsia="楷体" w:cs="楷体"/>
                <w:b w:val="0"/>
                <w:bCs w:val="0"/>
                <w:sz w:val="24"/>
              </w:rPr>
              <w:t>日期：  年   月   日</w:t>
            </w:r>
          </w:p>
        </w:tc>
      </w:tr>
    </w:tbl>
    <w:p w14:paraId="152C3406">
      <w:pPr>
        <w:tabs>
          <w:tab w:val="left" w:pos="840"/>
        </w:tabs>
        <w:kinsoku w:val="0"/>
        <w:spacing w:line="360" w:lineRule="auto"/>
        <w:rPr>
          <w:rFonts w:hint="eastAsia" w:ascii="楷体" w:hAnsi="楷体" w:eastAsia="楷体" w:cs="楷体"/>
          <w:b w:val="0"/>
          <w:bCs w:val="0"/>
          <w:sz w:val="24"/>
        </w:rPr>
      </w:pPr>
    </w:p>
    <w:p w14:paraId="559F290D">
      <w:pPr>
        <w:rPr>
          <w:rFonts w:hint="eastAsia" w:ascii="楷体" w:hAnsi="楷体" w:eastAsia="楷体" w:cs="楷体"/>
          <w:b w:val="0"/>
          <w:bCs w:val="0"/>
        </w:rPr>
      </w:pPr>
      <w:r>
        <w:rPr>
          <w:rFonts w:hint="eastAsia" w:ascii="楷体" w:hAnsi="楷体" w:eastAsia="楷体" w:cs="楷体"/>
          <w:b w:val="0"/>
          <w:bCs w:val="0"/>
          <w:color w:val="auto"/>
          <w:sz w:val="44"/>
          <w:szCs w:val="44"/>
          <w:highlight w:val="none"/>
        </w:rPr>
        <w:br w:type="page"/>
      </w:r>
    </w:p>
    <w:p w14:paraId="4B485D2F">
      <w:pPr>
        <w:pStyle w:val="2"/>
        <w:rPr>
          <w:rFonts w:hint="eastAsia" w:ascii="楷体" w:hAnsi="楷体" w:eastAsia="楷体" w:cs="楷体"/>
          <w:color w:val="auto"/>
          <w:sz w:val="36"/>
          <w:szCs w:val="36"/>
          <w:highlight w:val="none"/>
        </w:rPr>
      </w:pPr>
      <w:bookmarkStart w:id="161" w:name="_Toc20180"/>
      <w:bookmarkStart w:id="162" w:name="_Toc19317"/>
      <w:bookmarkStart w:id="163" w:name="_Toc18466_WPSOffice_Level1"/>
      <w:bookmarkStart w:id="164" w:name="_Toc12628"/>
      <w:bookmarkStart w:id="165" w:name="_Toc495014613"/>
      <w:bookmarkStart w:id="166" w:name="_Toc495014956"/>
      <w:bookmarkStart w:id="167" w:name="_Toc495014587"/>
      <w:bookmarkStart w:id="168" w:name="_Toc445306495"/>
      <w:bookmarkStart w:id="169" w:name="_Toc18484_WPSOffice_Level1"/>
      <w:bookmarkStart w:id="170" w:name="_Toc784_WPSOffice_Level1"/>
      <w:bookmarkStart w:id="171" w:name="_Toc495012823"/>
      <w:bookmarkStart w:id="172" w:name="_Toc495014651"/>
      <w:bookmarkStart w:id="173" w:name="_Toc495012773"/>
      <w:bookmarkStart w:id="174" w:name="_Toc495014922"/>
    </w:p>
    <w:p w14:paraId="2998F96F">
      <w:pPr>
        <w:pStyle w:val="2"/>
        <w:rPr>
          <w:rFonts w:hint="eastAsia" w:ascii="楷体" w:hAnsi="楷体" w:eastAsia="楷体" w:cs="楷体"/>
          <w:color w:val="auto"/>
          <w:sz w:val="36"/>
          <w:szCs w:val="36"/>
          <w:highlight w:val="none"/>
        </w:rPr>
      </w:pPr>
    </w:p>
    <w:p w14:paraId="38761740">
      <w:pPr>
        <w:pStyle w:val="2"/>
        <w:rPr>
          <w:rFonts w:hint="eastAsia" w:ascii="楷体" w:hAnsi="楷体" w:eastAsia="楷体" w:cs="楷体"/>
          <w:color w:val="auto"/>
          <w:sz w:val="36"/>
          <w:szCs w:val="36"/>
          <w:highlight w:val="none"/>
        </w:rPr>
      </w:pPr>
    </w:p>
    <w:p w14:paraId="495C086D">
      <w:pPr>
        <w:pStyle w:val="2"/>
        <w:rPr>
          <w:rFonts w:hint="eastAsia" w:ascii="楷体" w:hAnsi="楷体" w:eastAsia="楷体" w:cs="楷体"/>
          <w:color w:val="auto"/>
          <w:sz w:val="36"/>
          <w:szCs w:val="36"/>
          <w:highlight w:val="none"/>
        </w:rPr>
      </w:pPr>
    </w:p>
    <w:p w14:paraId="5C8F9C4B">
      <w:pPr>
        <w:pStyle w:val="2"/>
        <w:rPr>
          <w:rFonts w:hint="eastAsia" w:ascii="楷体" w:hAnsi="楷体" w:eastAsia="楷体" w:cs="楷体"/>
          <w:color w:val="auto"/>
          <w:sz w:val="36"/>
          <w:szCs w:val="36"/>
          <w:highlight w:val="none"/>
        </w:rPr>
      </w:pPr>
    </w:p>
    <w:p w14:paraId="12AED951">
      <w:pPr>
        <w:pStyle w:val="2"/>
        <w:rPr>
          <w:rFonts w:hint="eastAsia" w:ascii="楷体" w:hAnsi="楷体" w:eastAsia="楷体" w:cs="楷体"/>
          <w:color w:val="auto"/>
          <w:sz w:val="36"/>
          <w:szCs w:val="36"/>
          <w:highlight w:val="none"/>
        </w:rPr>
      </w:pPr>
    </w:p>
    <w:p w14:paraId="3262D6E6">
      <w:pPr>
        <w:pStyle w:val="2"/>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t>第五章  响应文件构成及格式</w:t>
      </w:r>
      <w:bookmarkEnd w:id="161"/>
      <w:bookmarkEnd w:id="162"/>
      <w:bookmarkEnd w:id="163"/>
      <w:bookmarkEnd w:id="164"/>
    </w:p>
    <w:p w14:paraId="5ADF8E97">
      <w:pPr>
        <w:pStyle w:val="61"/>
        <w:rPr>
          <w:rFonts w:hint="eastAsia" w:ascii="楷体" w:hAnsi="楷体" w:eastAsia="楷体" w:cs="楷体"/>
          <w:color w:val="auto"/>
          <w:highlight w:val="none"/>
        </w:rPr>
      </w:pPr>
      <w:r>
        <w:rPr>
          <w:rFonts w:hint="eastAsia" w:ascii="楷体" w:hAnsi="楷体" w:eastAsia="楷体" w:cs="楷体"/>
          <w:color w:val="auto"/>
          <w:highlight w:val="none"/>
        </w:rPr>
        <w:t xml:space="preserve">  </w:t>
      </w:r>
    </w:p>
    <w:p w14:paraId="12AD9F65">
      <w:pPr>
        <w:pStyle w:val="61"/>
        <w:rPr>
          <w:rFonts w:hint="eastAsia" w:ascii="楷体" w:hAnsi="楷体" w:eastAsia="楷体" w:cs="楷体"/>
          <w:color w:val="auto"/>
          <w:sz w:val="20"/>
          <w:highlight w:val="none"/>
        </w:rPr>
      </w:pPr>
    </w:p>
    <w:p w14:paraId="2375F630">
      <w:pPr>
        <w:pStyle w:val="59"/>
        <w:spacing w:line="240" w:lineRule="auto"/>
        <w:ind w:firstLine="259" w:firstLineChars="70"/>
        <w:jc w:val="center"/>
        <w:rPr>
          <w:rFonts w:hint="eastAsia" w:ascii="楷体" w:hAnsi="楷体" w:eastAsia="楷体" w:cs="楷体"/>
          <w:sz w:val="36"/>
          <w:szCs w:val="36"/>
          <w:highlight w:val="none"/>
        </w:rPr>
      </w:pPr>
    </w:p>
    <w:p w14:paraId="1161D5A2">
      <w:pPr>
        <w:pStyle w:val="26"/>
        <w:ind w:firstLine="0" w:firstLineChars="0"/>
        <w:outlineLvl w:val="2"/>
        <w:rPr>
          <w:rFonts w:hint="eastAsia" w:ascii="楷体" w:hAnsi="楷体" w:eastAsia="楷体" w:cs="楷体"/>
          <w:sz w:val="36"/>
          <w:szCs w:val="36"/>
          <w:highlight w:val="none"/>
        </w:rPr>
      </w:pPr>
      <w:r>
        <w:rPr>
          <w:rFonts w:hint="eastAsia" w:ascii="楷体" w:hAnsi="楷体" w:eastAsia="楷体" w:cs="楷体"/>
          <w:sz w:val="36"/>
          <w:szCs w:val="36"/>
          <w:highlight w:val="none"/>
        </w:rPr>
        <w:br w:type="page"/>
      </w:r>
      <w:bookmarkEnd w:id="165"/>
      <w:bookmarkEnd w:id="166"/>
      <w:bookmarkEnd w:id="167"/>
      <w:bookmarkEnd w:id="168"/>
      <w:bookmarkEnd w:id="169"/>
      <w:bookmarkEnd w:id="170"/>
      <w:bookmarkEnd w:id="171"/>
      <w:bookmarkEnd w:id="172"/>
      <w:bookmarkEnd w:id="173"/>
      <w:bookmarkEnd w:id="174"/>
    </w:p>
    <w:p w14:paraId="22E40045">
      <w:pPr>
        <w:pStyle w:val="26"/>
        <w:ind w:firstLine="0" w:firstLineChars="0"/>
        <w:outlineLvl w:val="2"/>
        <w:rPr>
          <w:rFonts w:hint="eastAsia" w:ascii="楷体" w:hAnsi="楷体" w:eastAsia="楷体" w:cs="楷体"/>
          <w:b/>
          <w:kern w:val="1"/>
          <w:sz w:val="24"/>
          <w:szCs w:val="24"/>
          <w:highlight w:val="none"/>
        </w:rPr>
      </w:pPr>
    </w:p>
    <w:p w14:paraId="722266DC">
      <w:pPr>
        <w:pStyle w:val="26"/>
        <w:ind w:firstLine="0" w:firstLineChars="0"/>
        <w:outlineLvl w:val="2"/>
        <w:rPr>
          <w:rFonts w:hint="eastAsia" w:ascii="楷体" w:hAnsi="楷体" w:eastAsia="楷体" w:cs="楷体"/>
          <w:b/>
          <w:kern w:val="1"/>
          <w:sz w:val="24"/>
          <w:szCs w:val="24"/>
          <w:highlight w:val="none"/>
        </w:rPr>
      </w:pPr>
      <w:r>
        <w:rPr>
          <w:rFonts w:hint="eastAsia" w:ascii="楷体" w:hAnsi="楷体" w:eastAsia="楷体" w:cs="楷体"/>
          <w:b/>
          <w:kern w:val="1"/>
          <w:sz w:val="24"/>
          <w:szCs w:val="24"/>
          <w:highlight w:val="none"/>
        </w:rPr>
        <w:t>一、磋商报价表格式</w:t>
      </w:r>
    </w:p>
    <w:p w14:paraId="3F1E36F2">
      <w:pPr>
        <w:spacing w:line="360" w:lineRule="auto"/>
        <w:jc w:val="center"/>
        <w:rPr>
          <w:rFonts w:hint="eastAsia" w:ascii="楷体" w:hAnsi="楷体" w:eastAsia="楷体" w:cs="楷体"/>
          <w:b/>
          <w:sz w:val="24"/>
          <w:szCs w:val="24"/>
          <w:highlight w:val="none"/>
        </w:rPr>
      </w:pPr>
      <w:r>
        <w:rPr>
          <w:rFonts w:hint="eastAsia" w:ascii="楷体" w:hAnsi="楷体" w:eastAsia="楷体" w:cs="楷体"/>
          <w:b/>
          <w:sz w:val="24"/>
          <w:szCs w:val="24"/>
          <w:highlight w:val="none"/>
        </w:rPr>
        <w:t>磋商报价表（第一次）</w:t>
      </w:r>
    </w:p>
    <w:p w14:paraId="60137E7F">
      <w:pPr>
        <w:spacing w:line="360" w:lineRule="auto"/>
        <w:rPr>
          <w:rFonts w:hint="eastAsia" w:ascii="楷体" w:hAnsi="楷体" w:eastAsia="楷体" w:cs="楷体"/>
          <w:sz w:val="24"/>
          <w:szCs w:val="24"/>
          <w:highlight w:val="none"/>
          <w:shd w:val="clear" w:color="auto" w:fill="FFFFFF"/>
        </w:rPr>
      </w:pPr>
      <w:r>
        <w:rPr>
          <w:rFonts w:hint="eastAsia" w:ascii="楷体" w:hAnsi="楷体" w:eastAsia="楷体" w:cs="楷体"/>
          <w:sz w:val="24"/>
          <w:szCs w:val="24"/>
          <w:highlight w:val="none"/>
          <w:shd w:val="clear" w:color="auto" w:fill="FFFFFF"/>
        </w:rPr>
        <w:t>项目名称：</w:t>
      </w:r>
    </w:p>
    <w:p w14:paraId="000EEC28">
      <w:pPr>
        <w:pStyle w:val="24"/>
        <w:wordWrap w:val="0"/>
        <w:spacing w:beforeAutospacing="0" w:afterAutospacing="0" w:line="360" w:lineRule="auto"/>
        <w:rPr>
          <w:rFonts w:hint="eastAsia" w:ascii="楷体" w:hAnsi="楷体" w:eastAsia="楷体" w:cs="楷体"/>
          <w:sz w:val="24"/>
          <w:szCs w:val="24"/>
          <w:highlight w:val="none"/>
          <w:shd w:val="clear" w:color="auto" w:fill="FFFFFF"/>
        </w:rPr>
      </w:pPr>
      <w:r>
        <w:rPr>
          <w:rFonts w:hint="eastAsia" w:ascii="楷体" w:hAnsi="楷体" w:eastAsia="楷体" w:cs="楷体"/>
          <w:sz w:val="24"/>
          <w:szCs w:val="24"/>
          <w:highlight w:val="none"/>
          <w:shd w:val="clear" w:color="auto" w:fill="FFFFFF"/>
        </w:rPr>
        <w:t>项目编号：</w:t>
      </w:r>
    </w:p>
    <w:p w14:paraId="24438A5C">
      <w:pPr>
        <w:pStyle w:val="24"/>
        <w:wordWrap w:val="0"/>
        <w:spacing w:beforeAutospacing="0" w:afterAutospacing="0" w:line="360" w:lineRule="auto"/>
        <w:rPr>
          <w:rFonts w:hint="eastAsia" w:ascii="楷体" w:hAnsi="楷体" w:eastAsia="楷体" w:cs="楷体"/>
          <w:sz w:val="24"/>
          <w:szCs w:val="24"/>
          <w:highlight w:val="none"/>
          <w:shd w:val="clear" w:color="auto" w:fill="FFFFFF"/>
          <w:lang w:eastAsia="zh-CN"/>
        </w:rPr>
      </w:pPr>
      <w:r>
        <w:rPr>
          <w:rFonts w:hint="eastAsia" w:ascii="楷体" w:hAnsi="楷体" w:eastAsia="楷体" w:cs="楷体"/>
          <w:sz w:val="24"/>
          <w:szCs w:val="24"/>
          <w:highlight w:val="none"/>
          <w:shd w:val="clear" w:color="auto" w:fill="FFFFFF"/>
          <w:lang w:eastAsia="zh-CN"/>
        </w:rPr>
        <w:t>标段名称：</w:t>
      </w:r>
    </w:p>
    <w:p w14:paraId="343C474A">
      <w:pPr>
        <w:pStyle w:val="24"/>
        <w:wordWrap w:val="0"/>
        <w:spacing w:beforeAutospacing="0" w:afterAutospacing="0" w:line="360" w:lineRule="auto"/>
        <w:rPr>
          <w:rFonts w:hint="eastAsia" w:ascii="楷体" w:hAnsi="楷体" w:eastAsia="楷体" w:cs="楷体"/>
          <w:sz w:val="24"/>
          <w:szCs w:val="24"/>
          <w:highlight w:val="none"/>
          <w:shd w:val="clear" w:color="auto" w:fill="FFFFFF"/>
          <w:lang w:eastAsia="zh-CN"/>
        </w:rPr>
      </w:pPr>
      <w:r>
        <w:rPr>
          <w:rFonts w:hint="eastAsia" w:ascii="楷体" w:hAnsi="楷体" w:eastAsia="楷体" w:cs="楷体"/>
          <w:sz w:val="24"/>
          <w:szCs w:val="24"/>
          <w:highlight w:val="none"/>
          <w:shd w:val="clear" w:color="auto" w:fill="FFFFFF"/>
          <w:lang w:eastAsia="zh-CN"/>
        </w:rPr>
        <w:t>标段编号：</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171"/>
        <w:gridCol w:w="5868"/>
      </w:tblGrid>
      <w:tr w14:paraId="3D1E0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02" w:hRule="atLeast"/>
          <w:jc w:val="center"/>
        </w:trPr>
        <w:tc>
          <w:tcPr>
            <w:tcW w:w="3171" w:type="dxa"/>
            <w:vMerge w:val="restart"/>
            <w:noWrap w:val="0"/>
            <w:vAlign w:val="center"/>
          </w:tcPr>
          <w:p w14:paraId="7C3D04E8">
            <w:pPr>
              <w:pStyle w:val="4"/>
              <w:spacing w:line="360" w:lineRule="auto"/>
              <w:ind w:firstLine="0"/>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磋商报价</w:t>
            </w:r>
          </w:p>
        </w:tc>
        <w:tc>
          <w:tcPr>
            <w:tcW w:w="5868" w:type="dxa"/>
            <w:noWrap w:val="0"/>
            <w:vAlign w:val="center"/>
          </w:tcPr>
          <w:p w14:paraId="43B8DA3D">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内容</w:t>
            </w:r>
          </w:p>
        </w:tc>
      </w:tr>
      <w:tr w14:paraId="2A054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898" w:hRule="atLeast"/>
          <w:jc w:val="center"/>
        </w:trPr>
        <w:tc>
          <w:tcPr>
            <w:tcW w:w="3171" w:type="dxa"/>
            <w:vMerge w:val="continue"/>
            <w:noWrap w:val="0"/>
            <w:vAlign w:val="center"/>
          </w:tcPr>
          <w:p w14:paraId="5C3DC0E1">
            <w:pPr>
              <w:pStyle w:val="4"/>
              <w:spacing w:line="360" w:lineRule="auto"/>
              <w:ind w:firstLine="0"/>
              <w:jc w:val="center"/>
              <w:rPr>
                <w:rFonts w:hint="eastAsia" w:ascii="楷体" w:hAnsi="楷体" w:eastAsia="楷体" w:cs="楷体"/>
                <w:sz w:val="24"/>
                <w:szCs w:val="24"/>
                <w:highlight w:val="none"/>
              </w:rPr>
            </w:pPr>
          </w:p>
        </w:tc>
        <w:tc>
          <w:tcPr>
            <w:tcW w:w="5868" w:type="dxa"/>
            <w:noWrap w:val="0"/>
            <w:vAlign w:val="center"/>
          </w:tcPr>
          <w:p w14:paraId="6897A092">
            <w:pPr>
              <w:autoSpaceDE w:val="0"/>
              <w:autoSpaceDN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小写：</w:t>
            </w:r>
          </w:p>
          <w:p w14:paraId="44B2744A">
            <w:pPr>
              <w:pStyle w:val="26"/>
              <w:ind w:firstLine="243"/>
              <w:rPr>
                <w:rFonts w:hint="eastAsia" w:ascii="楷体" w:hAnsi="楷体" w:eastAsia="楷体" w:cs="楷体"/>
                <w:kern w:val="0"/>
                <w:sz w:val="24"/>
                <w:szCs w:val="24"/>
                <w:highlight w:val="none"/>
                <w:lang w:val="zh-CN"/>
              </w:rPr>
            </w:pPr>
          </w:p>
          <w:p w14:paraId="5EE2DD8F">
            <w:pPr>
              <w:pStyle w:val="26"/>
              <w:ind w:firstLine="0" w:firstLineChars="0"/>
              <w:rPr>
                <w:rFonts w:hint="eastAsia" w:ascii="楷体" w:hAnsi="楷体" w:eastAsia="楷体" w:cs="楷体"/>
                <w:kern w:val="0"/>
                <w:sz w:val="24"/>
                <w:szCs w:val="24"/>
                <w:highlight w:val="none"/>
                <w:lang w:val="zh-CN"/>
              </w:rPr>
            </w:pPr>
            <w:r>
              <w:rPr>
                <w:rFonts w:hint="eastAsia" w:ascii="楷体" w:hAnsi="楷体" w:eastAsia="楷体" w:cs="楷体"/>
                <w:kern w:val="0"/>
                <w:sz w:val="24"/>
                <w:szCs w:val="24"/>
                <w:highlight w:val="none"/>
                <w:lang w:val="zh-CN"/>
              </w:rPr>
              <w:t>大写：</w:t>
            </w:r>
          </w:p>
          <w:p w14:paraId="7D565858">
            <w:pPr>
              <w:autoSpaceDE w:val="0"/>
              <w:autoSpaceDN w:val="0"/>
              <w:spacing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单位：元</w:t>
            </w:r>
          </w:p>
        </w:tc>
      </w:tr>
    </w:tbl>
    <w:p w14:paraId="60DF1262">
      <w:pPr>
        <w:spacing w:line="500" w:lineRule="exact"/>
        <w:ind w:right="560"/>
        <w:rPr>
          <w:rFonts w:hint="eastAsia" w:ascii="楷体" w:hAnsi="楷体" w:eastAsia="楷体" w:cs="楷体"/>
          <w:b/>
          <w:bCs/>
          <w:sz w:val="24"/>
          <w:szCs w:val="24"/>
          <w:highlight w:val="none"/>
          <w:lang w:val="zh-CN"/>
        </w:rPr>
      </w:pPr>
      <w:r>
        <w:rPr>
          <w:rFonts w:hint="eastAsia" w:ascii="楷体" w:hAnsi="楷体" w:eastAsia="楷体" w:cs="楷体"/>
          <w:b/>
          <w:bCs/>
          <w:sz w:val="24"/>
          <w:szCs w:val="24"/>
          <w:highlight w:val="none"/>
        </w:rPr>
        <w:t>备注</w:t>
      </w:r>
      <w:r>
        <w:rPr>
          <w:rFonts w:hint="eastAsia" w:ascii="楷体" w:hAnsi="楷体" w:eastAsia="楷体" w:cs="楷体"/>
          <w:b/>
          <w:bCs/>
          <w:sz w:val="24"/>
          <w:szCs w:val="24"/>
          <w:highlight w:val="none"/>
          <w:lang w:val="zh-CN"/>
        </w:rPr>
        <w:t>：</w:t>
      </w:r>
    </w:p>
    <w:p w14:paraId="71AB7624">
      <w:pPr>
        <w:keepNext w:val="0"/>
        <w:keepLines w:val="0"/>
        <w:pageBreakBefore w:val="0"/>
        <w:widowControl/>
        <w:numPr>
          <w:ilvl w:val="0"/>
          <w:numId w:val="5"/>
        </w:numPr>
        <w:kinsoku/>
        <w:wordWrap/>
        <w:overflowPunct/>
        <w:topLinePunct w:val="0"/>
        <w:autoSpaceDE/>
        <w:autoSpaceDN/>
        <w:bidi w:val="0"/>
        <w:adjustRightInd/>
        <w:snapToGrid/>
        <w:spacing w:line="240" w:lineRule="auto"/>
        <w:ind w:right="0"/>
        <w:textAlignment w:val="auto"/>
        <w:rPr>
          <w:rFonts w:hint="eastAsia" w:ascii="楷体" w:hAnsi="楷体" w:eastAsia="楷体" w:cs="楷体"/>
          <w:b/>
          <w:bCs/>
          <w:sz w:val="24"/>
          <w:szCs w:val="24"/>
          <w:highlight w:val="none"/>
          <w:lang w:val="zh-CN"/>
        </w:rPr>
      </w:pPr>
      <w:r>
        <w:rPr>
          <w:rFonts w:hint="eastAsia" w:ascii="楷体" w:hAnsi="楷体" w:eastAsia="楷体" w:cs="楷体"/>
          <w:b/>
          <w:bCs/>
          <w:sz w:val="24"/>
          <w:szCs w:val="24"/>
          <w:highlight w:val="none"/>
          <w:lang w:val="zh-CN"/>
        </w:rPr>
        <w:t>“磋商报价”为投标总价。</w:t>
      </w:r>
    </w:p>
    <w:p w14:paraId="7BEA4920">
      <w:pPr>
        <w:keepNext w:val="0"/>
        <w:keepLines w:val="0"/>
        <w:pageBreakBefore w:val="0"/>
        <w:widowControl/>
        <w:numPr>
          <w:ilvl w:val="0"/>
          <w:numId w:val="5"/>
        </w:numPr>
        <w:kinsoku/>
        <w:wordWrap/>
        <w:overflowPunct/>
        <w:topLinePunct w:val="0"/>
        <w:autoSpaceDE/>
        <w:autoSpaceDN/>
        <w:bidi w:val="0"/>
        <w:adjustRightInd/>
        <w:snapToGrid/>
        <w:spacing w:line="240" w:lineRule="auto"/>
        <w:ind w:right="0"/>
        <w:textAlignment w:val="auto"/>
        <w:rPr>
          <w:rFonts w:hint="eastAsia" w:ascii="楷体" w:hAnsi="楷体" w:eastAsia="楷体" w:cs="楷体"/>
          <w:b/>
          <w:bCs/>
          <w:sz w:val="24"/>
          <w:szCs w:val="24"/>
          <w:highlight w:val="none"/>
          <w:lang w:val="zh-CN"/>
        </w:rPr>
      </w:pPr>
      <w:r>
        <w:rPr>
          <w:rFonts w:hint="eastAsia" w:ascii="楷体" w:hAnsi="楷体" w:eastAsia="楷体" w:cs="楷体"/>
          <w:b/>
          <w:bCs/>
          <w:sz w:val="24"/>
          <w:szCs w:val="24"/>
          <w:highlight w:val="none"/>
          <w:lang w:val="zh-CN"/>
        </w:rPr>
        <w:t>磋商报价必须包括本项目所需全部费用。</w:t>
      </w:r>
    </w:p>
    <w:p w14:paraId="67FA304F">
      <w:pPr>
        <w:spacing w:line="500" w:lineRule="exact"/>
        <w:rPr>
          <w:rFonts w:hint="eastAsia" w:ascii="楷体" w:hAnsi="楷体" w:eastAsia="楷体" w:cs="楷体"/>
          <w:sz w:val="24"/>
          <w:szCs w:val="24"/>
          <w:highlight w:val="none"/>
        </w:rPr>
      </w:pPr>
    </w:p>
    <w:p w14:paraId="7E7160E4">
      <w:pPr>
        <w:pStyle w:val="26"/>
        <w:rPr>
          <w:rFonts w:hint="eastAsia" w:ascii="楷体" w:hAnsi="楷体" w:eastAsia="楷体" w:cs="楷体"/>
          <w:highlight w:val="none"/>
        </w:rPr>
      </w:pPr>
    </w:p>
    <w:p w14:paraId="17184116">
      <w:pPr>
        <w:spacing w:line="360" w:lineRule="auto"/>
        <w:ind w:firstLine="4788" w:firstLineChars="1900"/>
        <w:rPr>
          <w:rFonts w:hint="eastAsia" w:ascii="楷体" w:hAnsi="楷体" w:eastAsia="楷体" w:cs="楷体"/>
          <w:sz w:val="24"/>
          <w:szCs w:val="24"/>
          <w:highlight w:val="none"/>
        </w:rPr>
      </w:pPr>
      <w:r>
        <w:rPr>
          <w:rFonts w:hint="eastAsia" w:ascii="楷体" w:hAnsi="楷体" w:eastAsia="楷体" w:cs="楷体"/>
          <w:sz w:val="24"/>
          <w:szCs w:val="24"/>
          <w:highlight w:val="none"/>
        </w:rPr>
        <w:t>供应商：</w:t>
      </w:r>
      <w:r>
        <w:rPr>
          <w:rFonts w:hint="eastAsia" w:ascii="楷体" w:hAnsi="楷体" w:eastAsia="楷体" w:cs="楷体"/>
          <w:sz w:val="24"/>
          <w:szCs w:val="24"/>
          <w:highlight w:val="none"/>
          <w:u w:val="single"/>
        </w:rPr>
        <w:t>名称</w:t>
      </w:r>
      <w:r>
        <w:rPr>
          <w:rFonts w:hint="eastAsia" w:ascii="楷体" w:hAnsi="楷体" w:eastAsia="楷体" w:cs="楷体"/>
          <w:sz w:val="24"/>
          <w:szCs w:val="24"/>
          <w:highlight w:val="none"/>
        </w:rPr>
        <w:t>（加盖公章）</w:t>
      </w:r>
    </w:p>
    <w:p w14:paraId="4D285F85">
      <w:pPr>
        <w:pStyle w:val="12"/>
        <w:spacing w:line="360" w:lineRule="auto"/>
        <w:ind w:firstLine="4788" w:firstLineChars="1900"/>
        <w:rPr>
          <w:rFonts w:hint="eastAsia" w:ascii="楷体" w:hAnsi="楷体" w:eastAsia="楷体" w:cs="楷体"/>
          <w:sz w:val="24"/>
          <w:szCs w:val="24"/>
          <w:highlight w:val="none"/>
        </w:rPr>
        <w:sectPr>
          <w:footerReference r:id="rId7" w:type="default"/>
          <w:type w:val="continuous"/>
          <w:pgSz w:w="11906" w:h="16838"/>
          <w:pgMar w:top="1417" w:right="1417" w:bottom="1417" w:left="1417" w:header="850" w:footer="992" w:gutter="0"/>
          <w:pgNumType w:fmt="decimal"/>
          <w:cols w:space="0" w:num="1"/>
          <w:rtlGutter w:val="0"/>
          <w:docGrid w:type="linesAndChars" w:linePitch="394" w:charSpace="2589"/>
        </w:sectPr>
      </w:pPr>
      <w:r>
        <w:rPr>
          <w:rFonts w:hint="eastAsia" w:ascii="楷体" w:hAnsi="楷体" w:eastAsia="楷体" w:cs="楷体"/>
          <w:sz w:val="24"/>
          <w:szCs w:val="24"/>
          <w:highlight w:val="none"/>
        </w:rPr>
        <w:t xml:space="preserve">日期：　　年　月　日   </w:t>
      </w:r>
    </w:p>
    <w:p w14:paraId="525B873E">
      <w:pPr>
        <w:pStyle w:val="27"/>
        <w:ind w:firstLine="640"/>
        <w:rPr>
          <w:rFonts w:hint="eastAsia" w:ascii="楷体" w:hAnsi="楷体" w:eastAsia="楷体" w:cs="楷体"/>
          <w:highlight w:val="none"/>
        </w:rPr>
      </w:pPr>
      <w:bookmarkStart w:id="175" w:name="_Toc26938_WPSOffice_Level1"/>
      <w:bookmarkStart w:id="176" w:name="_Toc10415_WPSOffice_Level1"/>
    </w:p>
    <w:p w14:paraId="73178534">
      <w:pPr>
        <w:spacing w:line="360" w:lineRule="auto"/>
        <w:jc w:val="center"/>
        <w:rPr>
          <w:rFonts w:hint="eastAsia" w:ascii="楷体" w:hAnsi="楷体" w:eastAsia="楷体" w:cs="楷体"/>
          <w:b/>
          <w:kern w:val="1"/>
          <w:sz w:val="24"/>
          <w:szCs w:val="24"/>
          <w:highlight w:val="none"/>
        </w:rPr>
      </w:pPr>
    </w:p>
    <w:p w14:paraId="7EAA9AD1">
      <w:pPr>
        <w:spacing w:line="360" w:lineRule="auto"/>
        <w:jc w:val="center"/>
        <w:rPr>
          <w:rFonts w:hint="eastAsia" w:ascii="楷体" w:hAnsi="楷体" w:eastAsia="楷体" w:cs="楷体"/>
          <w:b/>
          <w:kern w:val="1"/>
          <w:sz w:val="24"/>
          <w:szCs w:val="24"/>
          <w:highlight w:val="none"/>
        </w:rPr>
      </w:pPr>
    </w:p>
    <w:p w14:paraId="6B9D18A8">
      <w:pPr>
        <w:spacing w:line="360" w:lineRule="auto"/>
        <w:jc w:val="center"/>
        <w:rPr>
          <w:rFonts w:hint="eastAsia" w:ascii="楷体" w:hAnsi="楷体" w:eastAsia="楷体" w:cs="楷体"/>
          <w:b/>
          <w:kern w:val="1"/>
          <w:sz w:val="24"/>
          <w:szCs w:val="24"/>
          <w:highlight w:val="none"/>
        </w:rPr>
      </w:pPr>
    </w:p>
    <w:p w14:paraId="4E7ABDE2">
      <w:pPr>
        <w:spacing w:line="360" w:lineRule="auto"/>
        <w:jc w:val="center"/>
        <w:rPr>
          <w:rFonts w:hint="eastAsia" w:ascii="楷体" w:hAnsi="楷体" w:eastAsia="楷体" w:cs="楷体"/>
          <w:b/>
          <w:kern w:val="1"/>
          <w:sz w:val="24"/>
          <w:szCs w:val="24"/>
          <w:highlight w:val="none"/>
        </w:rPr>
      </w:pPr>
    </w:p>
    <w:p w14:paraId="40F3AB67">
      <w:pPr>
        <w:spacing w:line="360" w:lineRule="auto"/>
        <w:jc w:val="center"/>
        <w:rPr>
          <w:rFonts w:hint="eastAsia" w:ascii="楷体" w:hAnsi="楷体" w:eastAsia="楷体" w:cs="楷体"/>
          <w:b/>
          <w:kern w:val="1"/>
          <w:sz w:val="24"/>
          <w:szCs w:val="24"/>
          <w:highlight w:val="none"/>
        </w:rPr>
      </w:pPr>
      <w:r>
        <w:rPr>
          <w:rFonts w:hint="eastAsia" w:ascii="楷体" w:hAnsi="楷体" w:eastAsia="楷体" w:cs="楷体"/>
          <w:b/>
          <w:kern w:val="1"/>
          <w:sz w:val="24"/>
          <w:szCs w:val="24"/>
          <w:highlight w:val="none"/>
        </w:rPr>
        <w:t>磋商分项报价表</w:t>
      </w:r>
    </w:p>
    <w:p w14:paraId="449B4FAC">
      <w:pPr>
        <w:pStyle w:val="26"/>
        <w:jc w:val="right"/>
        <w:rPr>
          <w:rFonts w:hint="eastAsia" w:ascii="楷体" w:hAnsi="楷体" w:eastAsia="楷体" w:cs="楷体"/>
          <w:b/>
          <w:kern w:val="1"/>
          <w:sz w:val="24"/>
          <w:szCs w:val="24"/>
          <w:highlight w:val="none"/>
          <w:lang w:eastAsia="zh-CN"/>
        </w:rPr>
      </w:pPr>
    </w:p>
    <w:p w14:paraId="2D3BD1AC">
      <w:pPr>
        <w:pStyle w:val="26"/>
        <w:jc w:val="right"/>
        <w:rPr>
          <w:rFonts w:hint="eastAsia" w:ascii="楷体" w:hAnsi="楷体" w:eastAsia="楷体" w:cs="楷体"/>
          <w:b/>
          <w:kern w:val="1"/>
          <w:sz w:val="24"/>
          <w:szCs w:val="24"/>
          <w:highlight w:val="none"/>
          <w:lang w:eastAsia="zh-CN"/>
        </w:rPr>
      </w:pPr>
    </w:p>
    <w:p w14:paraId="222ECB97">
      <w:pPr>
        <w:pStyle w:val="26"/>
        <w:jc w:val="center"/>
        <w:rPr>
          <w:rFonts w:hint="eastAsia" w:ascii="楷体" w:hAnsi="楷体" w:eastAsia="楷体" w:cs="楷体"/>
          <w:b/>
          <w:kern w:val="1"/>
          <w:sz w:val="32"/>
          <w:szCs w:val="32"/>
          <w:highlight w:val="none"/>
          <w:lang w:eastAsia="zh-CN"/>
        </w:rPr>
      </w:pPr>
      <w:r>
        <w:rPr>
          <w:rFonts w:hint="eastAsia" w:ascii="楷体" w:hAnsi="楷体" w:eastAsia="楷体" w:cs="楷体"/>
          <w:b/>
          <w:kern w:val="1"/>
          <w:sz w:val="32"/>
          <w:szCs w:val="32"/>
          <w:highlight w:val="none"/>
          <w:lang w:eastAsia="zh-CN"/>
        </w:rPr>
        <w:t>格式请自行拟定</w:t>
      </w:r>
    </w:p>
    <w:p w14:paraId="70F5EBFC">
      <w:pPr>
        <w:spacing w:line="360" w:lineRule="auto"/>
        <w:rPr>
          <w:rFonts w:hint="eastAsia" w:ascii="楷体" w:hAnsi="楷体" w:eastAsia="楷体" w:cs="楷体"/>
          <w:b/>
          <w:kern w:val="1"/>
          <w:highlight w:val="none"/>
        </w:rPr>
      </w:pPr>
    </w:p>
    <w:p w14:paraId="34B5CDFC">
      <w:pPr>
        <w:spacing w:line="360" w:lineRule="auto"/>
        <w:rPr>
          <w:rFonts w:hint="eastAsia" w:ascii="楷体" w:hAnsi="楷体" w:eastAsia="楷体" w:cs="楷体"/>
          <w:b/>
          <w:kern w:val="1"/>
          <w:highlight w:val="none"/>
        </w:rPr>
      </w:pPr>
    </w:p>
    <w:p w14:paraId="64AC406D">
      <w:pPr>
        <w:spacing w:line="360" w:lineRule="auto"/>
        <w:rPr>
          <w:rFonts w:hint="eastAsia" w:ascii="楷体" w:hAnsi="楷体" w:eastAsia="楷体" w:cs="楷体"/>
          <w:b/>
          <w:kern w:val="1"/>
          <w:highlight w:val="none"/>
        </w:rPr>
      </w:pPr>
    </w:p>
    <w:p w14:paraId="0CACAF12">
      <w:pPr>
        <w:spacing w:line="360" w:lineRule="auto"/>
        <w:rPr>
          <w:rFonts w:hint="eastAsia" w:ascii="楷体" w:hAnsi="楷体" w:eastAsia="楷体" w:cs="楷体"/>
          <w:b/>
          <w:kern w:val="1"/>
          <w:highlight w:val="none"/>
        </w:rPr>
      </w:pPr>
    </w:p>
    <w:p w14:paraId="2BFDFD32">
      <w:pPr>
        <w:spacing w:line="360" w:lineRule="auto"/>
        <w:rPr>
          <w:rFonts w:hint="eastAsia" w:ascii="楷体" w:hAnsi="楷体" w:eastAsia="楷体" w:cs="楷体"/>
          <w:b/>
          <w:kern w:val="1"/>
          <w:highlight w:val="none"/>
        </w:rPr>
      </w:pPr>
    </w:p>
    <w:p w14:paraId="65B2E757">
      <w:pPr>
        <w:spacing w:line="360" w:lineRule="auto"/>
        <w:rPr>
          <w:rFonts w:hint="eastAsia" w:ascii="楷体" w:hAnsi="楷体" w:eastAsia="楷体" w:cs="楷体"/>
          <w:b/>
          <w:kern w:val="1"/>
          <w:highlight w:val="none"/>
        </w:rPr>
      </w:pPr>
    </w:p>
    <w:p w14:paraId="6903F0D3">
      <w:pPr>
        <w:spacing w:line="360" w:lineRule="auto"/>
        <w:rPr>
          <w:rFonts w:hint="eastAsia" w:ascii="楷体" w:hAnsi="楷体" w:eastAsia="楷体" w:cs="楷体"/>
          <w:b/>
          <w:kern w:val="1"/>
          <w:highlight w:val="none"/>
        </w:rPr>
      </w:pPr>
    </w:p>
    <w:p w14:paraId="76DA2881">
      <w:pPr>
        <w:rPr>
          <w:rFonts w:hint="eastAsia" w:ascii="楷体" w:hAnsi="楷体" w:eastAsia="楷体" w:cs="楷体"/>
          <w:b/>
          <w:kern w:val="1"/>
          <w:sz w:val="24"/>
          <w:szCs w:val="24"/>
          <w:highlight w:val="none"/>
        </w:rPr>
      </w:pPr>
      <w:r>
        <w:rPr>
          <w:rFonts w:hint="eastAsia" w:ascii="楷体" w:hAnsi="楷体" w:eastAsia="楷体" w:cs="楷体"/>
          <w:b/>
          <w:kern w:val="1"/>
          <w:sz w:val="24"/>
          <w:szCs w:val="24"/>
          <w:highlight w:val="none"/>
        </w:rPr>
        <w:br w:type="page"/>
      </w:r>
    </w:p>
    <w:p w14:paraId="4116EA6C">
      <w:pPr>
        <w:spacing w:line="360" w:lineRule="auto"/>
        <w:rPr>
          <w:rFonts w:hint="eastAsia" w:ascii="楷体" w:hAnsi="楷体" w:eastAsia="楷体" w:cs="楷体"/>
          <w:sz w:val="24"/>
          <w:szCs w:val="24"/>
          <w:highlight w:val="none"/>
        </w:rPr>
      </w:pPr>
      <w:r>
        <w:rPr>
          <w:rFonts w:hint="eastAsia" w:ascii="楷体" w:hAnsi="楷体" w:eastAsia="楷体" w:cs="楷体"/>
          <w:b/>
          <w:kern w:val="1"/>
          <w:sz w:val="24"/>
          <w:szCs w:val="24"/>
          <w:highlight w:val="none"/>
        </w:rPr>
        <w:t>格式三、</w:t>
      </w:r>
      <w:bookmarkEnd w:id="175"/>
      <w:bookmarkEnd w:id="176"/>
      <w:bookmarkStart w:id="177" w:name="_Toc60421818"/>
      <w:bookmarkEnd w:id="177"/>
      <w:bookmarkStart w:id="178" w:name="_Toc11297_WPSOffice_Level1"/>
      <w:bookmarkStart w:id="179" w:name="_Toc20241_WPSOffice_Level1"/>
      <w:r>
        <w:rPr>
          <w:rFonts w:hint="eastAsia" w:ascii="楷体" w:hAnsi="楷体" w:eastAsia="楷体" w:cs="楷体"/>
          <w:b/>
          <w:bCs/>
          <w:sz w:val="24"/>
          <w:szCs w:val="24"/>
          <w:highlight w:val="none"/>
        </w:rPr>
        <w:t>响应函格式</w:t>
      </w:r>
    </w:p>
    <w:p w14:paraId="52D37A97">
      <w:pPr>
        <w:pStyle w:val="59"/>
        <w:spacing w:line="360" w:lineRule="auto"/>
        <w:ind w:left="0" w:leftChars="0" w:firstLine="0" w:firstLineChars="0"/>
        <w:rPr>
          <w:rFonts w:hint="eastAsia" w:ascii="楷体" w:hAnsi="楷体" w:eastAsia="楷体" w:cs="楷体"/>
          <w:b/>
          <w:bCs/>
          <w:sz w:val="24"/>
          <w:szCs w:val="24"/>
          <w:highlight w:val="none"/>
          <w:u w:val="none"/>
          <w:lang w:val="zh-CN"/>
        </w:rPr>
      </w:pPr>
      <w:r>
        <w:rPr>
          <w:rFonts w:hint="eastAsia" w:ascii="楷体" w:hAnsi="楷体" w:eastAsia="楷体" w:cs="楷体"/>
          <w:b/>
          <w:bCs/>
          <w:sz w:val="24"/>
          <w:szCs w:val="24"/>
          <w:highlight w:val="none"/>
          <w:u w:val="none"/>
          <w:lang w:eastAsia="zh-CN"/>
        </w:rPr>
        <w:t>致：</w:t>
      </w:r>
      <w:r>
        <w:rPr>
          <w:rFonts w:hint="eastAsia" w:ascii="楷体" w:hAnsi="楷体" w:eastAsia="楷体" w:cs="楷体"/>
          <w:b/>
          <w:bCs/>
          <w:sz w:val="24"/>
          <w:szCs w:val="24"/>
          <w:highlight w:val="none"/>
          <w:u w:val="none"/>
        </w:rPr>
        <w:t>（采购单位或代理机构）</w:t>
      </w:r>
    </w:p>
    <w:p w14:paraId="0AB36A0C">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我方收到贵方发布的</w:t>
      </w:r>
      <w:r>
        <w:rPr>
          <w:rFonts w:hint="eastAsia" w:ascii="楷体" w:hAnsi="楷体" w:eastAsia="楷体" w:cs="楷体"/>
          <w:sz w:val="24"/>
          <w:szCs w:val="24"/>
          <w:highlight w:val="none"/>
          <w:u w:val="single"/>
        </w:rPr>
        <w:t xml:space="preserve">          《项目名称》</w:t>
      </w:r>
      <w:r>
        <w:rPr>
          <w:rFonts w:hint="eastAsia" w:ascii="楷体" w:hAnsi="楷体" w:eastAsia="楷体" w:cs="楷体"/>
          <w:sz w:val="24"/>
          <w:szCs w:val="24"/>
          <w:highlight w:val="none"/>
        </w:rPr>
        <w:t>（项目编号：</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）磋商文件，经详细研究，我方决定参加该项目磋商活动。为此，我方郑重声明以下诸点，并负法律责任。</w:t>
      </w:r>
    </w:p>
    <w:p w14:paraId="10D41E0E">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一、我方已详细阅读了磋商文件，完全理解并同意磋商文件的所有事项及内容。</w:t>
      </w:r>
    </w:p>
    <w:p w14:paraId="10DA4D3C">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二、我方同意向贵方提供与本磋商有关的任何证明材料，保证所提交的证明材料真实、合法、有效。我方理解</w:t>
      </w:r>
      <w:r>
        <w:rPr>
          <w:rFonts w:hint="eastAsia" w:ascii="楷体" w:hAnsi="楷体" w:eastAsia="楷体" w:cs="楷体"/>
          <w:b/>
          <w:bCs/>
          <w:sz w:val="24"/>
          <w:szCs w:val="24"/>
          <w:highlight w:val="none"/>
        </w:rPr>
        <w:t>最低报价</w:t>
      </w:r>
      <w:r>
        <w:rPr>
          <w:rFonts w:hint="eastAsia" w:ascii="楷体" w:hAnsi="楷体" w:eastAsia="楷体" w:cs="楷体"/>
          <w:sz w:val="24"/>
          <w:szCs w:val="24"/>
          <w:highlight w:val="none"/>
        </w:rPr>
        <w:t>不是成交的唯一条件，并尊重磋商小组的评审结果。</w:t>
      </w:r>
    </w:p>
    <w:p w14:paraId="7B8E6064">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三、我方愿意按照磋商文件中的一切要求，完成本项目合同责任和义务。</w:t>
      </w:r>
    </w:p>
    <w:p w14:paraId="77A78134">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四、开标后在规定的投标有效期内撤回投标，我们愿接受政府采购的有关处罚决定。</w:t>
      </w:r>
    </w:p>
    <w:p w14:paraId="2CCAC6C5">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五、我方的响应文件在开标之日起</w:t>
      </w:r>
      <w:r>
        <w:rPr>
          <w:rFonts w:hint="eastAsia" w:ascii="楷体" w:hAnsi="楷体" w:eastAsia="楷体" w:cs="楷体"/>
          <w:b/>
          <w:bCs/>
          <w:sz w:val="24"/>
          <w:szCs w:val="24"/>
          <w:highlight w:val="none"/>
          <w:u w:val="single"/>
        </w:rPr>
        <w:t xml:space="preserve">     </w:t>
      </w:r>
      <w:r>
        <w:rPr>
          <w:rFonts w:hint="eastAsia" w:ascii="楷体" w:hAnsi="楷体" w:eastAsia="楷体" w:cs="楷体"/>
          <w:sz w:val="24"/>
          <w:szCs w:val="24"/>
          <w:highlight w:val="none"/>
        </w:rPr>
        <w:t>个日历日内有效，如成交，延长至合同执行完毕时止。</w:t>
      </w:r>
    </w:p>
    <w:p w14:paraId="0D4F0CEF">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六、所有关于此次磋商活动的函电，请按下列地址联系：</w:t>
      </w:r>
    </w:p>
    <w:p w14:paraId="451C3D00">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供应商：</w:t>
      </w:r>
      <w:r>
        <w:rPr>
          <w:rFonts w:hint="eastAsia" w:ascii="楷体" w:hAnsi="楷体" w:eastAsia="楷体" w:cs="楷体"/>
          <w:sz w:val="24"/>
          <w:szCs w:val="24"/>
          <w:highlight w:val="none"/>
          <w:u w:val="single"/>
        </w:rPr>
        <w:t>名称（加盖公章）</w:t>
      </w:r>
    </w:p>
    <w:p w14:paraId="6F09E598">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地址：</w:t>
      </w:r>
    </w:p>
    <w:p w14:paraId="2B4FB8C5">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开户银行：</w:t>
      </w:r>
    </w:p>
    <w:p w14:paraId="1FD880F3">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账号：</w:t>
      </w:r>
    </w:p>
    <w:p w14:paraId="001FA8FD">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电话：</w:t>
      </w:r>
    </w:p>
    <w:p w14:paraId="5218B72C">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传真：</w:t>
      </w:r>
    </w:p>
    <w:p w14:paraId="4C1BFE60">
      <w:pPr>
        <w:pStyle w:val="59"/>
        <w:spacing w:line="360" w:lineRule="auto"/>
        <w:ind w:firstLine="480"/>
        <w:rPr>
          <w:rFonts w:hint="eastAsia" w:ascii="楷体" w:hAnsi="楷体" w:eastAsia="楷体" w:cs="楷体"/>
          <w:sz w:val="24"/>
          <w:szCs w:val="24"/>
          <w:highlight w:val="none"/>
        </w:rPr>
      </w:pPr>
      <w:r>
        <w:rPr>
          <w:rFonts w:hint="eastAsia" w:ascii="楷体" w:hAnsi="楷体" w:eastAsia="楷体" w:cs="楷体"/>
          <w:sz w:val="24"/>
          <w:szCs w:val="24"/>
          <w:highlight w:val="none"/>
        </w:rPr>
        <w:t>邮编：</w:t>
      </w:r>
    </w:p>
    <w:p w14:paraId="55A9A85A">
      <w:pPr>
        <w:pStyle w:val="59"/>
        <w:spacing w:line="360" w:lineRule="auto"/>
        <w:ind w:firstLine="480"/>
        <w:rPr>
          <w:rFonts w:hint="eastAsia" w:ascii="楷体" w:hAnsi="楷体" w:eastAsia="楷体" w:cs="楷体"/>
          <w:b/>
          <w:bCs/>
          <w:sz w:val="24"/>
          <w:szCs w:val="24"/>
          <w:highlight w:val="none"/>
        </w:rPr>
      </w:pPr>
      <w:r>
        <w:rPr>
          <w:rFonts w:hint="eastAsia" w:ascii="楷体" w:hAnsi="楷体" w:eastAsia="楷体" w:cs="楷体"/>
          <w:sz w:val="24"/>
          <w:szCs w:val="24"/>
          <w:highlight w:val="none"/>
        </w:rPr>
        <w:t xml:space="preserve">电子邮箱：           </w:t>
      </w:r>
    </w:p>
    <w:p w14:paraId="6F291F29">
      <w:pPr>
        <w:pStyle w:val="59"/>
        <w:spacing w:line="360" w:lineRule="auto"/>
        <w:ind w:firstLine="480"/>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日期：　　年　月　日</w:t>
      </w:r>
    </w:p>
    <w:p w14:paraId="4240F385">
      <w:pPr>
        <w:pStyle w:val="59"/>
        <w:spacing w:line="360" w:lineRule="auto"/>
        <w:ind w:firstLine="480"/>
        <w:rPr>
          <w:rFonts w:hint="eastAsia" w:ascii="楷体" w:hAnsi="楷体" w:eastAsia="楷体" w:cs="楷体"/>
          <w:sz w:val="24"/>
          <w:highlight w:val="none"/>
        </w:rPr>
      </w:pPr>
      <w:r>
        <w:rPr>
          <w:rFonts w:hint="eastAsia" w:ascii="楷体" w:hAnsi="楷体" w:eastAsia="楷体" w:cs="楷体"/>
          <w:sz w:val="24"/>
          <w:szCs w:val="24"/>
          <w:highlight w:val="none"/>
        </w:rPr>
        <w:t>备注：1、除可填报项目外，对本响应函的任何实质性内容修改将被视为非实质性响应，在评审时将其视为无效响应。</w:t>
      </w:r>
    </w:p>
    <w:p w14:paraId="7B29537D">
      <w:pPr>
        <w:spacing w:line="360" w:lineRule="auto"/>
        <w:rPr>
          <w:rFonts w:hint="eastAsia" w:ascii="楷体" w:hAnsi="楷体" w:eastAsia="楷体" w:cs="楷体"/>
          <w:b/>
          <w:kern w:val="1"/>
          <w:highlight w:val="none"/>
        </w:rPr>
      </w:pPr>
    </w:p>
    <w:p w14:paraId="3B215D9A">
      <w:pPr>
        <w:spacing w:line="360" w:lineRule="auto"/>
        <w:rPr>
          <w:rFonts w:hint="eastAsia" w:ascii="楷体" w:hAnsi="楷体" w:eastAsia="楷体" w:cs="楷体"/>
          <w:b/>
          <w:kern w:val="1"/>
          <w:highlight w:val="none"/>
        </w:rPr>
      </w:pPr>
      <w:r>
        <w:rPr>
          <w:rFonts w:hint="eastAsia" w:ascii="楷体" w:hAnsi="楷体" w:eastAsia="楷体" w:cs="楷体"/>
          <w:b/>
          <w:kern w:val="1"/>
          <w:highlight w:val="none"/>
        </w:rPr>
        <w:br w:type="page"/>
      </w:r>
    </w:p>
    <w:p w14:paraId="36EA3D9F">
      <w:pPr>
        <w:spacing w:line="360" w:lineRule="auto"/>
        <w:rPr>
          <w:rFonts w:hint="eastAsia" w:ascii="楷体" w:hAnsi="楷体" w:eastAsia="楷体" w:cs="楷体"/>
          <w:b/>
          <w:kern w:val="1"/>
          <w:sz w:val="24"/>
          <w:szCs w:val="24"/>
          <w:highlight w:val="none"/>
        </w:rPr>
      </w:pPr>
      <w:r>
        <w:rPr>
          <w:rFonts w:hint="eastAsia" w:ascii="楷体" w:hAnsi="楷体" w:eastAsia="楷体" w:cs="楷体"/>
          <w:b/>
          <w:kern w:val="1"/>
          <w:sz w:val="24"/>
          <w:szCs w:val="24"/>
          <w:highlight w:val="none"/>
        </w:rPr>
        <w:t>格式四、服务</w:t>
      </w:r>
      <w:r>
        <w:rPr>
          <w:rFonts w:hint="eastAsia" w:ascii="楷体" w:hAnsi="楷体" w:eastAsia="楷体" w:cs="楷体"/>
          <w:b/>
          <w:kern w:val="1"/>
          <w:sz w:val="24"/>
          <w:szCs w:val="24"/>
          <w:highlight w:val="none"/>
          <w:lang w:eastAsia="zh-CN"/>
        </w:rPr>
        <w:t>偏差</w:t>
      </w:r>
      <w:r>
        <w:rPr>
          <w:rFonts w:hint="eastAsia" w:ascii="楷体" w:hAnsi="楷体" w:eastAsia="楷体" w:cs="楷体"/>
          <w:b/>
          <w:kern w:val="1"/>
          <w:sz w:val="24"/>
          <w:szCs w:val="24"/>
          <w:highlight w:val="none"/>
        </w:rPr>
        <w:t>表</w:t>
      </w:r>
      <w:bookmarkEnd w:id="178"/>
      <w:bookmarkEnd w:id="179"/>
    </w:p>
    <w:p w14:paraId="43A0C784">
      <w:pPr>
        <w:snapToGrid w:val="0"/>
        <w:spacing w:line="360" w:lineRule="auto"/>
        <w:ind w:left="-248" w:leftChars="-85" w:firstLine="189" w:firstLineChars="75"/>
        <w:jc w:val="left"/>
        <w:rPr>
          <w:rFonts w:hint="eastAsia" w:ascii="楷体" w:hAnsi="楷体" w:eastAsia="楷体" w:cs="楷体"/>
          <w:sz w:val="24"/>
          <w:szCs w:val="24"/>
          <w:highlight w:val="none"/>
        </w:rPr>
      </w:pPr>
      <w:r>
        <w:rPr>
          <w:rFonts w:hint="eastAsia" w:ascii="楷体" w:hAnsi="楷体" w:eastAsia="楷体" w:cs="楷体"/>
          <w:sz w:val="24"/>
          <w:szCs w:val="24"/>
          <w:highlight w:val="none"/>
        </w:rPr>
        <w:t>〔说明〕供应商应按照采购文件要求，根据“磋商内容及采购要求”内容做出全面响应。对响应有差异的，则说明差异的内容</w:t>
      </w:r>
    </w:p>
    <w:p w14:paraId="143AB7B0">
      <w:pPr>
        <w:spacing w:line="360" w:lineRule="auto"/>
        <w:rPr>
          <w:rFonts w:hint="eastAsia" w:ascii="楷体" w:hAnsi="楷体" w:eastAsia="楷体" w:cs="楷体"/>
          <w:kern w:val="1"/>
          <w:sz w:val="24"/>
          <w:szCs w:val="24"/>
          <w:highlight w:val="none"/>
          <w:lang w:val="en-US" w:eastAsia="zh-CN"/>
        </w:rPr>
      </w:pPr>
      <w:r>
        <w:rPr>
          <w:rFonts w:hint="eastAsia" w:ascii="楷体" w:hAnsi="楷体" w:eastAsia="楷体" w:cs="楷体"/>
          <w:kern w:val="1"/>
          <w:sz w:val="24"/>
          <w:szCs w:val="24"/>
          <w:highlight w:val="none"/>
        </w:rPr>
        <w:t>供应商名称：</w:t>
      </w:r>
      <w:r>
        <w:rPr>
          <w:rFonts w:hint="eastAsia" w:ascii="楷体" w:hAnsi="楷体" w:eastAsia="楷体" w:cs="楷体"/>
          <w:kern w:val="1"/>
          <w:sz w:val="24"/>
          <w:szCs w:val="24"/>
          <w:highlight w:val="none"/>
          <w:u w:val="single"/>
        </w:rPr>
        <w:t xml:space="preserve">          </w:t>
      </w:r>
      <w:r>
        <w:rPr>
          <w:rFonts w:hint="eastAsia" w:ascii="楷体" w:hAnsi="楷体" w:eastAsia="楷体" w:cs="楷体"/>
          <w:kern w:val="1"/>
          <w:sz w:val="24"/>
          <w:szCs w:val="24"/>
          <w:highlight w:val="none"/>
          <w:u w:val="single"/>
          <w:lang w:val="en-US" w:eastAsia="zh-CN"/>
        </w:rPr>
        <w:t xml:space="preserve">  </w:t>
      </w:r>
      <w:r>
        <w:rPr>
          <w:rFonts w:hint="eastAsia" w:ascii="楷体" w:hAnsi="楷体" w:eastAsia="楷体" w:cs="楷体"/>
          <w:kern w:val="1"/>
          <w:sz w:val="24"/>
          <w:szCs w:val="24"/>
          <w:highlight w:val="none"/>
        </w:rPr>
        <w:t xml:space="preserve">  </w:t>
      </w:r>
      <w:r>
        <w:rPr>
          <w:rFonts w:hint="eastAsia" w:ascii="楷体" w:hAnsi="楷体" w:eastAsia="楷体" w:cs="楷体"/>
          <w:kern w:val="1"/>
          <w:sz w:val="24"/>
          <w:szCs w:val="24"/>
          <w:highlight w:val="none"/>
          <w:lang w:eastAsia="zh-CN"/>
        </w:rPr>
        <w:t>项目</w:t>
      </w:r>
      <w:r>
        <w:rPr>
          <w:rFonts w:hint="eastAsia" w:ascii="楷体" w:hAnsi="楷体" w:eastAsia="楷体" w:cs="楷体"/>
          <w:kern w:val="1"/>
          <w:sz w:val="24"/>
          <w:szCs w:val="24"/>
          <w:highlight w:val="none"/>
        </w:rPr>
        <w:t>编号：</w:t>
      </w:r>
      <w:r>
        <w:rPr>
          <w:rFonts w:hint="eastAsia" w:ascii="楷体" w:hAnsi="楷体" w:eastAsia="楷体" w:cs="楷体"/>
          <w:kern w:val="1"/>
          <w:sz w:val="24"/>
          <w:szCs w:val="24"/>
          <w:highlight w:val="none"/>
          <w:u w:val="single"/>
        </w:rPr>
        <w:t xml:space="preserve">         </w:t>
      </w:r>
      <w:r>
        <w:rPr>
          <w:rFonts w:hint="eastAsia" w:ascii="楷体" w:hAnsi="楷体" w:eastAsia="楷体" w:cs="楷体"/>
          <w:kern w:val="1"/>
          <w:sz w:val="24"/>
          <w:szCs w:val="24"/>
          <w:highlight w:val="none"/>
          <w:u w:val="single"/>
          <w:lang w:val="en-US" w:eastAsia="zh-CN"/>
        </w:rPr>
        <w:t xml:space="preserve">  </w:t>
      </w:r>
      <w:r>
        <w:rPr>
          <w:rFonts w:hint="eastAsia" w:ascii="楷体" w:hAnsi="楷体" w:eastAsia="楷体" w:cs="楷体"/>
          <w:kern w:val="1"/>
          <w:sz w:val="24"/>
          <w:szCs w:val="24"/>
          <w:highlight w:val="none"/>
          <w:u w:val="none"/>
          <w:lang w:val="en-US" w:eastAsia="zh-CN"/>
        </w:rPr>
        <w:t xml:space="preserve"> 标段编号:</w:t>
      </w:r>
      <w:r>
        <w:rPr>
          <w:rFonts w:hint="eastAsia" w:ascii="楷体" w:hAnsi="楷体" w:eastAsia="楷体" w:cs="楷体"/>
          <w:kern w:val="1"/>
          <w:sz w:val="24"/>
          <w:szCs w:val="24"/>
          <w:highlight w:val="none"/>
          <w:u w:val="single"/>
          <w:lang w:val="en-US" w:eastAsia="zh-CN"/>
        </w:rPr>
        <w:t xml:space="preserve">                </w:t>
      </w:r>
    </w:p>
    <w:tbl>
      <w:tblPr>
        <w:tblStyle w:val="28"/>
        <w:tblW w:w="9150" w:type="dxa"/>
        <w:tblInd w:w="102" w:type="dxa"/>
        <w:tblLayout w:type="fixed"/>
        <w:tblCellMar>
          <w:top w:w="0" w:type="dxa"/>
          <w:left w:w="108" w:type="dxa"/>
          <w:bottom w:w="0" w:type="dxa"/>
          <w:right w:w="108" w:type="dxa"/>
        </w:tblCellMar>
      </w:tblPr>
      <w:tblGrid>
        <w:gridCol w:w="1184"/>
        <w:gridCol w:w="2743"/>
        <w:gridCol w:w="2809"/>
        <w:gridCol w:w="2414"/>
      </w:tblGrid>
      <w:tr w14:paraId="2EA8B47B">
        <w:tblPrEx>
          <w:tblCellMar>
            <w:top w:w="0" w:type="dxa"/>
            <w:left w:w="108" w:type="dxa"/>
            <w:bottom w:w="0" w:type="dxa"/>
            <w:right w:w="108" w:type="dxa"/>
          </w:tblCellMar>
        </w:tblPrEx>
        <w:trPr>
          <w:cantSplit/>
          <w:trHeight w:val="840" w:hRule="atLeast"/>
        </w:trPr>
        <w:tc>
          <w:tcPr>
            <w:tcW w:w="1184" w:type="dxa"/>
            <w:tcBorders>
              <w:top w:val="double" w:color="000000" w:sz="4" w:space="0"/>
              <w:left w:val="double" w:color="000000" w:sz="4" w:space="0"/>
              <w:bottom w:val="single" w:color="000000" w:sz="4" w:space="0"/>
              <w:right w:val="single" w:color="000000" w:sz="4" w:space="0"/>
            </w:tcBorders>
            <w:noWrap w:val="0"/>
            <w:vAlign w:val="center"/>
          </w:tcPr>
          <w:p w14:paraId="2A36CB2C">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序号</w:t>
            </w:r>
          </w:p>
        </w:tc>
        <w:tc>
          <w:tcPr>
            <w:tcW w:w="2743" w:type="dxa"/>
            <w:tcBorders>
              <w:top w:val="double" w:color="000000" w:sz="4" w:space="0"/>
              <w:left w:val="single" w:color="000000" w:sz="4" w:space="0"/>
              <w:bottom w:val="single" w:color="000000" w:sz="4" w:space="0"/>
              <w:right w:val="single" w:color="000000" w:sz="4" w:space="0"/>
            </w:tcBorders>
            <w:noWrap w:val="0"/>
            <w:vAlign w:val="center"/>
          </w:tcPr>
          <w:p w14:paraId="2F7E87E4">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采购文件要求</w:t>
            </w:r>
          </w:p>
        </w:tc>
        <w:tc>
          <w:tcPr>
            <w:tcW w:w="2809" w:type="dxa"/>
            <w:tcBorders>
              <w:top w:val="double" w:color="000000" w:sz="4" w:space="0"/>
              <w:left w:val="single" w:color="000000" w:sz="4" w:space="0"/>
              <w:bottom w:val="single" w:color="000000" w:sz="4" w:space="0"/>
              <w:right w:val="single" w:color="000000" w:sz="4" w:space="0"/>
            </w:tcBorders>
            <w:noWrap w:val="0"/>
            <w:vAlign w:val="center"/>
          </w:tcPr>
          <w:p w14:paraId="06A5D6FE">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投标文件响应</w:t>
            </w:r>
          </w:p>
        </w:tc>
        <w:tc>
          <w:tcPr>
            <w:tcW w:w="2414" w:type="dxa"/>
            <w:tcBorders>
              <w:top w:val="double" w:color="000000" w:sz="4" w:space="0"/>
              <w:left w:val="single" w:color="000000" w:sz="4" w:space="0"/>
              <w:bottom w:val="single" w:color="000000" w:sz="4" w:space="0"/>
              <w:right w:val="double" w:color="000000" w:sz="4" w:space="0"/>
            </w:tcBorders>
            <w:noWrap w:val="0"/>
            <w:vAlign w:val="center"/>
          </w:tcPr>
          <w:p w14:paraId="635E5855">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偏离</w:t>
            </w:r>
          </w:p>
        </w:tc>
      </w:tr>
      <w:tr w14:paraId="35BE331B">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single" w:color="000000" w:sz="4" w:space="0"/>
              <w:right w:val="single" w:color="000000" w:sz="4" w:space="0"/>
            </w:tcBorders>
            <w:noWrap w:val="0"/>
            <w:vAlign w:val="top"/>
          </w:tcPr>
          <w:p w14:paraId="57F408DA">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single" w:color="000000" w:sz="4" w:space="0"/>
              <w:right w:val="single" w:color="000000" w:sz="4" w:space="0"/>
            </w:tcBorders>
            <w:noWrap w:val="0"/>
            <w:vAlign w:val="top"/>
          </w:tcPr>
          <w:p w14:paraId="799B15F8">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single" w:color="000000" w:sz="4" w:space="0"/>
              <w:right w:val="single" w:color="000000" w:sz="4" w:space="0"/>
            </w:tcBorders>
            <w:noWrap w:val="0"/>
            <w:vAlign w:val="top"/>
          </w:tcPr>
          <w:p w14:paraId="02FC7C21">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single" w:color="000000" w:sz="4" w:space="0"/>
              <w:right w:val="double" w:color="000000" w:sz="4" w:space="0"/>
            </w:tcBorders>
            <w:noWrap w:val="0"/>
            <w:vAlign w:val="top"/>
          </w:tcPr>
          <w:p w14:paraId="0C675CF3">
            <w:pPr>
              <w:spacing w:line="440" w:lineRule="exact"/>
              <w:jc w:val="center"/>
              <w:rPr>
                <w:rFonts w:hint="eastAsia" w:ascii="楷体" w:hAnsi="楷体" w:eastAsia="楷体" w:cs="楷体"/>
                <w:sz w:val="24"/>
                <w:szCs w:val="24"/>
                <w:highlight w:val="none"/>
              </w:rPr>
            </w:pPr>
          </w:p>
        </w:tc>
      </w:tr>
      <w:tr w14:paraId="4E0AD38C">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single" w:color="000000" w:sz="4" w:space="0"/>
              <w:right w:val="single" w:color="000000" w:sz="4" w:space="0"/>
            </w:tcBorders>
            <w:noWrap w:val="0"/>
            <w:vAlign w:val="top"/>
          </w:tcPr>
          <w:p w14:paraId="1DC0331D">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single" w:color="000000" w:sz="4" w:space="0"/>
              <w:right w:val="single" w:color="000000" w:sz="4" w:space="0"/>
            </w:tcBorders>
            <w:noWrap w:val="0"/>
            <w:vAlign w:val="top"/>
          </w:tcPr>
          <w:p w14:paraId="50CE0339">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single" w:color="000000" w:sz="4" w:space="0"/>
              <w:right w:val="single" w:color="000000" w:sz="4" w:space="0"/>
            </w:tcBorders>
            <w:noWrap w:val="0"/>
            <w:vAlign w:val="top"/>
          </w:tcPr>
          <w:p w14:paraId="426F625C">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single" w:color="000000" w:sz="4" w:space="0"/>
              <w:right w:val="double" w:color="000000" w:sz="4" w:space="0"/>
            </w:tcBorders>
            <w:noWrap w:val="0"/>
            <w:vAlign w:val="top"/>
          </w:tcPr>
          <w:p w14:paraId="365C0E7B">
            <w:pPr>
              <w:spacing w:line="440" w:lineRule="exact"/>
              <w:jc w:val="center"/>
              <w:rPr>
                <w:rFonts w:hint="eastAsia" w:ascii="楷体" w:hAnsi="楷体" w:eastAsia="楷体" w:cs="楷体"/>
                <w:sz w:val="24"/>
                <w:szCs w:val="24"/>
                <w:highlight w:val="none"/>
              </w:rPr>
            </w:pPr>
          </w:p>
        </w:tc>
      </w:tr>
      <w:tr w14:paraId="0D6962D8">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single" w:color="000000" w:sz="4" w:space="0"/>
              <w:right w:val="single" w:color="000000" w:sz="4" w:space="0"/>
            </w:tcBorders>
            <w:noWrap w:val="0"/>
            <w:vAlign w:val="top"/>
          </w:tcPr>
          <w:p w14:paraId="3E6F1DC2">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single" w:color="000000" w:sz="4" w:space="0"/>
              <w:right w:val="single" w:color="000000" w:sz="4" w:space="0"/>
            </w:tcBorders>
            <w:noWrap w:val="0"/>
            <w:vAlign w:val="top"/>
          </w:tcPr>
          <w:p w14:paraId="32FE67CE">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single" w:color="000000" w:sz="4" w:space="0"/>
              <w:right w:val="single" w:color="000000" w:sz="4" w:space="0"/>
            </w:tcBorders>
            <w:noWrap w:val="0"/>
            <w:vAlign w:val="top"/>
          </w:tcPr>
          <w:p w14:paraId="5F0A10D8">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single" w:color="000000" w:sz="4" w:space="0"/>
              <w:right w:val="double" w:color="000000" w:sz="4" w:space="0"/>
            </w:tcBorders>
            <w:noWrap w:val="0"/>
            <w:vAlign w:val="top"/>
          </w:tcPr>
          <w:p w14:paraId="6DED922A">
            <w:pPr>
              <w:spacing w:line="440" w:lineRule="exact"/>
              <w:jc w:val="center"/>
              <w:rPr>
                <w:rFonts w:hint="eastAsia" w:ascii="楷体" w:hAnsi="楷体" w:eastAsia="楷体" w:cs="楷体"/>
                <w:sz w:val="24"/>
                <w:szCs w:val="24"/>
                <w:highlight w:val="none"/>
              </w:rPr>
            </w:pPr>
          </w:p>
        </w:tc>
      </w:tr>
      <w:tr w14:paraId="77BE538F">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single" w:color="000000" w:sz="4" w:space="0"/>
              <w:right w:val="single" w:color="000000" w:sz="4" w:space="0"/>
            </w:tcBorders>
            <w:noWrap w:val="0"/>
            <w:vAlign w:val="top"/>
          </w:tcPr>
          <w:p w14:paraId="774AD295">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single" w:color="000000" w:sz="4" w:space="0"/>
              <w:right w:val="single" w:color="000000" w:sz="4" w:space="0"/>
            </w:tcBorders>
            <w:noWrap w:val="0"/>
            <w:vAlign w:val="top"/>
          </w:tcPr>
          <w:p w14:paraId="476D8D09">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single" w:color="000000" w:sz="4" w:space="0"/>
              <w:right w:val="single" w:color="000000" w:sz="4" w:space="0"/>
            </w:tcBorders>
            <w:noWrap w:val="0"/>
            <w:vAlign w:val="top"/>
          </w:tcPr>
          <w:p w14:paraId="261A227E">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single" w:color="000000" w:sz="4" w:space="0"/>
              <w:right w:val="double" w:color="000000" w:sz="4" w:space="0"/>
            </w:tcBorders>
            <w:noWrap w:val="0"/>
            <w:vAlign w:val="top"/>
          </w:tcPr>
          <w:p w14:paraId="14D72FC5">
            <w:pPr>
              <w:spacing w:line="440" w:lineRule="exact"/>
              <w:jc w:val="center"/>
              <w:rPr>
                <w:rFonts w:hint="eastAsia" w:ascii="楷体" w:hAnsi="楷体" w:eastAsia="楷体" w:cs="楷体"/>
                <w:sz w:val="24"/>
                <w:szCs w:val="24"/>
                <w:highlight w:val="none"/>
              </w:rPr>
            </w:pPr>
          </w:p>
        </w:tc>
      </w:tr>
      <w:tr w14:paraId="6699A7E8">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single" w:color="000000" w:sz="4" w:space="0"/>
              <w:right w:val="single" w:color="000000" w:sz="4" w:space="0"/>
            </w:tcBorders>
            <w:noWrap w:val="0"/>
            <w:vAlign w:val="top"/>
          </w:tcPr>
          <w:p w14:paraId="785935C2">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single" w:color="000000" w:sz="4" w:space="0"/>
              <w:right w:val="single" w:color="000000" w:sz="4" w:space="0"/>
            </w:tcBorders>
            <w:noWrap w:val="0"/>
            <w:vAlign w:val="top"/>
          </w:tcPr>
          <w:p w14:paraId="5937EC1D">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single" w:color="000000" w:sz="4" w:space="0"/>
              <w:right w:val="single" w:color="000000" w:sz="4" w:space="0"/>
            </w:tcBorders>
            <w:noWrap w:val="0"/>
            <w:vAlign w:val="top"/>
          </w:tcPr>
          <w:p w14:paraId="6BD57257">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single" w:color="000000" w:sz="4" w:space="0"/>
              <w:right w:val="double" w:color="000000" w:sz="4" w:space="0"/>
            </w:tcBorders>
            <w:noWrap w:val="0"/>
            <w:vAlign w:val="top"/>
          </w:tcPr>
          <w:p w14:paraId="24B5299A">
            <w:pPr>
              <w:spacing w:line="440" w:lineRule="exact"/>
              <w:jc w:val="center"/>
              <w:rPr>
                <w:rFonts w:hint="eastAsia" w:ascii="楷体" w:hAnsi="楷体" w:eastAsia="楷体" w:cs="楷体"/>
                <w:sz w:val="24"/>
                <w:szCs w:val="24"/>
                <w:highlight w:val="none"/>
              </w:rPr>
            </w:pPr>
          </w:p>
        </w:tc>
      </w:tr>
      <w:tr w14:paraId="4F9E278D">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single" w:color="000000" w:sz="4" w:space="0"/>
              <w:right w:val="single" w:color="000000" w:sz="4" w:space="0"/>
            </w:tcBorders>
            <w:noWrap w:val="0"/>
            <w:vAlign w:val="top"/>
          </w:tcPr>
          <w:p w14:paraId="5B74DA2F">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single" w:color="000000" w:sz="4" w:space="0"/>
              <w:right w:val="single" w:color="000000" w:sz="4" w:space="0"/>
            </w:tcBorders>
            <w:noWrap w:val="0"/>
            <w:vAlign w:val="top"/>
          </w:tcPr>
          <w:p w14:paraId="37587522">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single" w:color="000000" w:sz="4" w:space="0"/>
              <w:right w:val="single" w:color="000000" w:sz="4" w:space="0"/>
            </w:tcBorders>
            <w:noWrap w:val="0"/>
            <w:vAlign w:val="top"/>
          </w:tcPr>
          <w:p w14:paraId="2A99C30D">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single" w:color="000000" w:sz="4" w:space="0"/>
              <w:right w:val="double" w:color="000000" w:sz="4" w:space="0"/>
            </w:tcBorders>
            <w:noWrap w:val="0"/>
            <w:vAlign w:val="top"/>
          </w:tcPr>
          <w:p w14:paraId="1D45A2F3">
            <w:pPr>
              <w:spacing w:line="440" w:lineRule="exact"/>
              <w:jc w:val="center"/>
              <w:rPr>
                <w:rFonts w:hint="eastAsia" w:ascii="楷体" w:hAnsi="楷体" w:eastAsia="楷体" w:cs="楷体"/>
                <w:sz w:val="24"/>
                <w:szCs w:val="24"/>
                <w:highlight w:val="none"/>
              </w:rPr>
            </w:pPr>
          </w:p>
        </w:tc>
      </w:tr>
      <w:tr w14:paraId="32A8A8D9">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single" w:color="000000" w:sz="4" w:space="0"/>
              <w:right w:val="single" w:color="000000" w:sz="4" w:space="0"/>
            </w:tcBorders>
            <w:noWrap w:val="0"/>
            <w:vAlign w:val="top"/>
          </w:tcPr>
          <w:p w14:paraId="29E0703B">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single" w:color="000000" w:sz="4" w:space="0"/>
              <w:right w:val="single" w:color="000000" w:sz="4" w:space="0"/>
            </w:tcBorders>
            <w:noWrap w:val="0"/>
            <w:vAlign w:val="top"/>
          </w:tcPr>
          <w:p w14:paraId="5E9A61CA">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single" w:color="000000" w:sz="4" w:space="0"/>
              <w:right w:val="single" w:color="000000" w:sz="4" w:space="0"/>
            </w:tcBorders>
            <w:noWrap w:val="0"/>
            <w:vAlign w:val="top"/>
          </w:tcPr>
          <w:p w14:paraId="436314DA">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single" w:color="000000" w:sz="4" w:space="0"/>
              <w:right w:val="double" w:color="000000" w:sz="4" w:space="0"/>
            </w:tcBorders>
            <w:noWrap w:val="0"/>
            <w:vAlign w:val="top"/>
          </w:tcPr>
          <w:p w14:paraId="14C31D1D">
            <w:pPr>
              <w:spacing w:line="440" w:lineRule="exact"/>
              <w:jc w:val="center"/>
              <w:rPr>
                <w:rFonts w:hint="eastAsia" w:ascii="楷体" w:hAnsi="楷体" w:eastAsia="楷体" w:cs="楷体"/>
                <w:sz w:val="24"/>
                <w:szCs w:val="24"/>
                <w:highlight w:val="none"/>
              </w:rPr>
            </w:pPr>
          </w:p>
        </w:tc>
      </w:tr>
      <w:tr w14:paraId="31473FCD">
        <w:tblPrEx>
          <w:tblCellMar>
            <w:top w:w="0" w:type="dxa"/>
            <w:left w:w="108" w:type="dxa"/>
            <w:bottom w:w="0" w:type="dxa"/>
            <w:right w:w="108" w:type="dxa"/>
          </w:tblCellMar>
        </w:tblPrEx>
        <w:trPr>
          <w:trHeight w:val="840" w:hRule="atLeast"/>
        </w:trPr>
        <w:tc>
          <w:tcPr>
            <w:tcW w:w="1184" w:type="dxa"/>
            <w:tcBorders>
              <w:top w:val="single" w:color="000000" w:sz="4" w:space="0"/>
              <w:left w:val="double" w:color="000000" w:sz="4" w:space="0"/>
              <w:bottom w:val="double" w:color="000000" w:sz="4" w:space="0"/>
              <w:right w:val="single" w:color="000000" w:sz="4" w:space="0"/>
            </w:tcBorders>
            <w:noWrap w:val="0"/>
            <w:vAlign w:val="top"/>
          </w:tcPr>
          <w:p w14:paraId="44121BC2">
            <w:pPr>
              <w:spacing w:line="440" w:lineRule="exact"/>
              <w:jc w:val="center"/>
              <w:rPr>
                <w:rFonts w:hint="eastAsia" w:ascii="楷体" w:hAnsi="楷体" w:eastAsia="楷体" w:cs="楷体"/>
                <w:sz w:val="24"/>
                <w:szCs w:val="24"/>
                <w:highlight w:val="none"/>
              </w:rPr>
            </w:pPr>
          </w:p>
        </w:tc>
        <w:tc>
          <w:tcPr>
            <w:tcW w:w="2743" w:type="dxa"/>
            <w:tcBorders>
              <w:top w:val="single" w:color="000000" w:sz="4" w:space="0"/>
              <w:left w:val="single" w:color="000000" w:sz="4" w:space="0"/>
              <w:bottom w:val="double" w:color="000000" w:sz="4" w:space="0"/>
              <w:right w:val="single" w:color="000000" w:sz="4" w:space="0"/>
            </w:tcBorders>
            <w:noWrap w:val="0"/>
            <w:vAlign w:val="top"/>
          </w:tcPr>
          <w:p w14:paraId="00B2F9C8">
            <w:pPr>
              <w:spacing w:line="440" w:lineRule="exact"/>
              <w:jc w:val="center"/>
              <w:rPr>
                <w:rFonts w:hint="eastAsia" w:ascii="楷体" w:hAnsi="楷体" w:eastAsia="楷体" w:cs="楷体"/>
                <w:sz w:val="24"/>
                <w:szCs w:val="24"/>
                <w:highlight w:val="none"/>
              </w:rPr>
            </w:pPr>
          </w:p>
        </w:tc>
        <w:tc>
          <w:tcPr>
            <w:tcW w:w="2809" w:type="dxa"/>
            <w:tcBorders>
              <w:top w:val="single" w:color="000000" w:sz="4" w:space="0"/>
              <w:left w:val="single" w:color="000000" w:sz="4" w:space="0"/>
              <w:bottom w:val="double" w:color="000000" w:sz="4" w:space="0"/>
              <w:right w:val="single" w:color="000000" w:sz="4" w:space="0"/>
            </w:tcBorders>
            <w:noWrap w:val="0"/>
            <w:vAlign w:val="top"/>
          </w:tcPr>
          <w:p w14:paraId="0B01A20C">
            <w:pPr>
              <w:spacing w:line="440" w:lineRule="exact"/>
              <w:jc w:val="center"/>
              <w:rPr>
                <w:rFonts w:hint="eastAsia" w:ascii="楷体" w:hAnsi="楷体" w:eastAsia="楷体" w:cs="楷体"/>
                <w:sz w:val="24"/>
                <w:szCs w:val="24"/>
                <w:highlight w:val="none"/>
              </w:rPr>
            </w:pPr>
          </w:p>
        </w:tc>
        <w:tc>
          <w:tcPr>
            <w:tcW w:w="2414" w:type="dxa"/>
            <w:tcBorders>
              <w:top w:val="single" w:color="000000" w:sz="4" w:space="0"/>
              <w:left w:val="single" w:color="000000" w:sz="4" w:space="0"/>
              <w:bottom w:val="double" w:color="000000" w:sz="4" w:space="0"/>
              <w:right w:val="double" w:color="000000" w:sz="4" w:space="0"/>
            </w:tcBorders>
            <w:noWrap w:val="0"/>
            <w:vAlign w:val="top"/>
          </w:tcPr>
          <w:p w14:paraId="3786EC66">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w:t>
            </w:r>
          </w:p>
        </w:tc>
      </w:tr>
    </w:tbl>
    <w:p w14:paraId="2AF5A89C">
      <w:pPr>
        <w:spacing w:line="360" w:lineRule="auto"/>
        <w:rPr>
          <w:rFonts w:hint="eastAsia" w:ascii="楷体" w:hAnsi="楷体" w:eastAsia="楷体" w:cs="楷体"/>
          <w:kern w:val="1"/>
          <w:sz w:val="24"/>
          <w:szCs w:val="24"/>
          <w:highlight w:val="none"/>
        </w:rPr>
      </w:pPr>
      <w:r>
        <w:rPr>
          <w:rFonts w:hint="eastAsia" w:ascii="楷体" w:hAnsi="楷体" w:eastAsia="楷体" w:cs="楷体"/>
          <w:kern w:val="1"/>
          <w:sz w:val="24"/>
          <w:szCs w:val="24"/>
          <w:highlight w:val="none"/>
        </w:rPr>
        <w:t>注：请对竞争性磋商文件磋商内容及采购要求内容逐条响应（响应、正偏离、负偏离）</w:t>
      </w:r>
    </w:p>
    <w:p w14:paraId="67977D09">
      <w:pPr>
        <w:spacing w:line="360" w:lineRule="auto"/>
        <w:rPr>
          <w:rFonts w:hint="eastAsia" w:ascii="楷体" w:hAnsi="楷体" w:eastAsia="楷体" w:cs="楷体"/>
          <w:kern w:val="1"/>
          <w:sz w:val="24"/>
          <w:szCs w:val="24"/>
          <w:highlight w:val="none"/>
        </w:rPr>
      </w:pPr>
      <w:r>
        <w:rPr>
          <w:rFonts w:hint="eastAsia" w:ascii="楷体" w:hAnsi="楷体" w:eastAsia="楷体" w:cs="楷体"/>
          <w:kern w:val="1"/>
          <w:sz w:val="24"/>
          <w:szCs w:val="24"/>
          <w:highlight w:val="none"/>
        </w:rPr>
        <w:t>供应商（法人公章）：</w:t>
      </w:r>
    </w:p>
    <w:p w14:paraId="2BFB7A71">
      <w:pPr>
        <w:spacing w:line="360" w:lineRule="auto"/>
        <w:rPr>
          <w:rFonts w:hint="eastAsia" w:ascii="楷体" w:hAnsi="楷体" w:eastAsia="楷体" w:cs="楷体"/>
          <w:kern w:val="1"/>
          <w:sz w:val="24"/>
          <w:szCs w:val="24"/>
          <w:highlight w:val="none"/>
        </w:rPr>
      </w:pPr>
      <w:r>
        <w:rPr>
          <w:rFonts w:hint="eastAsia" w:ascii="楷体" w:hAnsi="楷体" w:eastAsia="楷体" w:cs="楷体"/>
          <w:kern w:val="1"/>
          <w:sz w:val="24"/>
          <w:szCs w:val="24"/>
          <w:highlight w:val="none"/>
        </w:rPr>
        <w:t>授权代表（签名或盖章）：</w:t>
      </w:r>
    </w:p>
    <w:p w14:paraId="7FD64C1C">
      <w:pPr>
        <w:spacing w:line="240" w:lineRule="auto"/>
        <w:jc w:val="left"/>
        <w:outlineLvl w:val="2"/>
        <w:rPr>
          <w:rFonts w:hint="eastAsia" w:ascii="楷体" w:hAnsi="楷体" w:eastAsia="楷体" w:cs="楷体"/>
          <w:kern w:val="1"/>
          <w:sz w:val="24"/>
          <w:szCs w:val="24"/>
          <w:highlight w:val="none"/>
        </w:rPr>
      </w:pPr>
      <w:r>
        <w:rPr>
          <w:rFonts w:hint="eastAsia" w:ascii="楷体" w:hAnsi="楷体" w:eastAsia="楷体" w:cs="楷体"/>
          <w:kern w:val="1"/>
          <w:sz w:val="24"/>
          <w:szCs w:val="24"/>
          <w:highlight w:val="none"/>
        </w:rPr>
        <w:t>日期：</w:t>
      </w:r>
      <w:r>
        <w:rPr>
          <w:rFonts w:hint="eastAsia" w:ascii="楷体" w:hAnsi="楷体" w:eastAsia="楷体" w:cs="楷体"/>
          <w:kern w:val="1"/>
          <w:sz w:val="24"/>
          <w:szCs w:val="24"/>
          <w:highlight w:val="none"/>
        </w:rPr>
        <w:br w:type="page"/>
      </w:r>
      <w:bookmarkStart w:id="180" w:name="_Toc12856_WPSOffice_Level1"/>
      <w:bookmarkStart w:id="181" w:name="_Toc17947_WPSOffice_Level1"/>
    </w:p>
    <w:p w14:paraId="305FBD43">
      <w:pPr>
        <w:spacing w:line="240" w:lineRule="auto"/>
        <w:jc w:val="left"/>
        <w:outlineLvl w:val="2"/>
        <w:rPr>
          <w:rFonts w:hint="eastAsia" w:ascii="楷体" w:hAnsi="楷体" w:eastAsia="楷体" w:cs="楷体"/>
          <w:bCs/>
          <w:color w:val="auto"/>
          <w:highlight w:val="none"/>
        </w:rPr>
      </w:pPr>
      <w:r>
        <w:rPr>
          <w:rFonts w:hint="eastAsia" w:ascii="楷体" w:hAnsi="楷体" w:eastAsia="楷体" w:cs="楷体"/>
          <w:b/>
          <w:kern w:val="1"/>
          <w:sz w:val="24"/>
          <w:szCs w:val="24"/>
          <w:highlight w:val="none"/>
        </w:rPr>
        <w:t>格式</w:t>
      </w:r>
      <w:r>
        <w:rPr>
          <w:rFonts w:hint="eastAsia" w:ascii="楷体" w:hAnsi="楷体" w:eastAsia="楷体" w:cs="楷体"/>
          <w:b/>
          <w:kern w:val="1"/>
          <w:sz w:val="24"/>
          <w:szCs w:val="24"/>
          <w:highlight w:val="none"/>
          <w:lang w:eastAsia="zh-CN"/>
        </w:rPr>
        <w:t>五</w:t>
      </w:r>
      <w:r>
        <w:rPr>
          <w:rFonts w:hint="eastAsia" w:ascii="楷体" w:hAnsi="楷体" w:eastAsia="楷体" w:cs="楷体"/>
          <w:b/>
          <w:kern w:val="1"/>
          <w:sz w:val="24"/>
          <w:szCs w:val="24"/>
          <w:highlight w:val="none"/>
        </w:rPr>
        <w:t>、</w:t>
      </w:r>
      <w:r>
        <w:rPr>
          <w:rFonts w:hint="eastAsia" w:ascii="楷体" w:hAnsi="楷体" w:eastAsia="楷体" w:cs="楷体"/>
          <w:b/>
          <w:kern w:val="1"/>
          <w:sz w:val="24"/>
          <w:szCs w:val="24"/>
          <w:highlight w:val="none"/>
          <w:lang w:eastAsia="zh-CN"/>
        </w:rPr>
        <w:t>商务要求</w:t>
      </w:r>
      <w:r>
        <w:rPr>
          <w:rFonts w:hint="eastAsia" w:ascii="楷体" w:hAnsi="楷体" w:eastAsia="楷体" w:cs="楷体"/>
          <w:b/>
          <w:kern w:val="1"/>
          <w:sz w:val="24"/>
          <w:szCs w:val="24"/>
          <w:highlight w:val="none"/>
        </w:rPr>
        <w:t>条款响应</w:t>
      </w:r>
    </w:p>
    <w:p w14:paraId="0B3AF6D6">
      <w:pPr>
        <w:spacing w:line="500" w:lineRule="exact"/>
        <w:ind w:firstLine="504" w:firstLineChars="200"/>
        <w:rPr>
          <w:rFonts w:hint="eastAsia" w:ascii="楷体" w:hAnsi="楷体" w:eastAsia="楷体" w:cs="楷体"/>
          <w:bCs/>
          <w:color w:val="auto"/>
          <w:sz w:val="24"/>
          <w:szCs w:val="24"/>
          <w:highlight w:val="none"/>
        </w:rPr>
      </w:pPr>
      <w:r>
        <w:rPr>
          <w:rFonts w:hint="eastAsia" w:ascii="楷体" w:hAnsi="楷体" w:eastAsia="楷体" w:cs="楷体"/>
          <w:bCs/>
          <w:color w:val="auto"/>
          <w:sz w:val="24"/>
          <w:szCs w:val="24"/>
          <w:highlight w:val="none"/>
        </w:rPr>
        <w:t>完全理解并接受磋商文件中“</w:t>
      </w:r>
      <w:r>
        <w:rPr>
          <w:rFonts w:hint="eastAsia" w:ascii="楷体" w:hAnsi="楷体" w:eastAsia="楷体" w:cs="楷体"/>
          <w:bCs/>
          <w:color w:val="auto"/>
          <w:sz w:val="24"/>
          <w:szCs w:val="24"/>
          <w:highlight w:val="none"/>
          <w:lang w:eastAsia="zh-CN"/>
        </w:rPr>
        <w:t>合同基本条款</w:t>
      </w:r>
      <w:r>
        <w:rPr>
          <w:rFonts w:hint="eastAsia" w:ascii="楷体" w:hAnsi="楷体" w:eastAsia="楷体" w:cs="楷体"/>
          <w:bCs/>
          <w:color w:val="auto"/>
          <w:sz w:val="24"/>
          <w:szCs w:val="24"/>
          <w:highlight w:val="none"/>
        </w:rPr>
        <w:t>”要求。</w:t>
      </w:r>
    </w:p>
    <w:p w14:paraId="2553CD89">
      <w:pPr>
        <w:pStyle w:val="26"/>
        <w:ind w:firstLine="243"/>
        <w:rPr>
          <w:rFonts w:hint="eastAsia" w:ascii="楷体" w:hAnsi="楷体" w:eastAsia="楷体" w:cs="楷体"/>
          <w:color w:val="auto"/>
          <w:sz w:val="24"/>
          <w:szCs w:val="24"/>
          <w:highlight w:val="none"/>
        </w:rPr>
      </w:pPr>
    </w:p>
    <w:p w14:paraId="65AFCE01">
      <w:pPr>
        <w:spacing w:line="500" w:lineRule="exact"/>
        <w:ind w:firstLine="4536" w:firstLineChars="1800"/>
        <w:rPr>
          <w:rFonts w:hint="eastAsia" w:ascii="楷体" w:hAnsi="楷体" w:eastAsia="楷体" w:cs="楷体"/>
          <w:color w:val="auto"/>
          <w:sz w:val="24"/>
          <w:szCs w:val="24"/>
          <w:highlight w:val="none"/>
        </w:rPr>
      </w:pPr>
    </w:p>
    <w:p w14:paraId="12B3DFCF">
      <w:pPr>
        <w:spacing w:line="480" w:lineRule="auto"/>
        <w:ind w:firstLine="4788" w:firstLineChars="1900"/>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供应商：</w:t>
      </w:r>
      <w:r>
        <w:rPr>
          <w:rFonts w:hint="eastAsia" w:ascii="楷体" w:hAnsi="楷体" w:eastAsia="楷体" w:cs="楷体"/>
          <w:color w:val="auto"/>
          <w:sz w:val="24"/>
          <w:szCs w:val="24"/>
          <w:highlight w:val="none"/>
          <w:u w:val="single"/>
        </w:rPr>
        <w:t>名称</w:t>
      </w:r>
      <w:r>
        <w:rPr>
          <w:rFonts w:hint="eastAsia" w:ascii="楷体" w:hAnsi="楷体" w:eastAsia="楷体" w:cs="楷体"/>
          <w:color w:val="auto"/>
          <w:sz w:val="24"/>
          <w:szCs w:val="24"/>
          <w:highlight w:val="none"/>
        </w:rPr>
        <w:t>（加盖公章）</w:t>
      </w:r>
    </w:p>
    <w:p w14:paraId="05731FE4">
      <w:pPr>
        <w:spacing w:line="480" w:lineRule="auto"/>
        <w:ind w:firstLine="4788" w:firstLineChars="1900"/>
        <w:rPr>
          <w:rFonts w:hint="eastAsia" w:ascii="楷体" w:hAnsi="楷体" w:eastAsia="楷体" w:cs="楷体"/>
          <w:b/>
          <w:kern w:val="1"/>
          <w:sz w:val="24"/>
          <w:szCs w:val="24"/>
          <w:highlight w:val="none"/>
          <w:lang w:val="en-US" w:eastAsia="zh-CN"/>
        </w:rPr>
      </w:pPr>
      <w:r>
        <w:rPr>
          <w:rFonts w:hint="eastAsia" w:ascii="楷体" w:hAnsi="楷体" w:eastAsia="楷体" w:cs="楷体"/>
          <w:color w:val="auto"/>
          <w:sz w:val="24"/>
          <w:szCs w:val="24"/>
          <w:highlight w:val="none"/>
        </w:rPr>
        <w:t>日期：　　年　月　日</w:t>
      </w:r>
      <w:r>
        <w:rPr>
          <w:rFonts w:hint="eastAsia" w:ascii="楷体" w:hAnsi="楷体" w:eastAsia="楷体" w:cs="楷体"/>
          <w:kern w:val="1"/>
          <w:sz w:val="24"/>
          <w:szCs w:val="24"/>
          <w:highlight w:val="none"/>
        </w:rPr>
        <w:br w:type="page"/>
      </w:r>
      <w:r>
        <w:rPr>
          <w:rFonts w:hint="eastAsia" w:ascii="楷体" w:hAnsi="楷体" w:eastAsia="楷体" w:cs="楷体"/>
          <w:b/>
          <w:kern w:val="1"/>
          <w:sz w:val="24"/>
          <w:szCs w:val="24"/>
          <w:highlight w:val="none"/>
        </w:rPr>
        <w:t>格式</w:t>
      </w:r>
      <w:r>
        <w:rPr>
          <w:rFonts w:hint="eastAsia" w:ascii="楷体" w:hAnsi="楷体" w:eastAsia="楷体" w:cs="楷体"/>
          <w:b/>
          <w:kern w:val="1"/>
          <w:sz w:val="24"/>
          <w:szCs w:val="24"/>
          <w:highlight w:val="none"/>
          <w:lang w:val="en-US" w:eastAsia="zh-CN"/>
        </w:rPr>
        <w:t>六</w:t>
      </w:r>
      <w:r>
        <w:rPr>
          <w:rFonts w:hint="eastAsia" w:ascii="楷体" w:hAnsi="楷体" w:eastAsia="楷体" w:cs="楷体"/>
          <w:b/>
          <w:kern w:val="1"/>
          <w:sz w:val="24"/>
          <w:szCs w:val="24"/>
          <w:highlight w:val="none"/>
        </w:rPr>
        <w:t>、</w:t>
      </w:r>
      <w:r>
        <w:rPr>
          <w:rFonts w:hint="eastAsia" w:ascii="楷体" w:hAnsi="楷体" w:eastAsia="楷体" w:cs="楷体"/>
          <w:b/>
          <w:kern w:val="1"/>
          <w:sz w:val="24"/>
          <w:szCs w:val="24"/>
          <w:highlight w:val="none"/>
          <w:lang w:val="en-US" w:eastAsia="zh-CN"/>
        </w:rPr>
        <w:t>资格审查资料（未给定格式的，请供应商自行拟定）</w:t>
      </w:r>
    </w:p>
    <w:p w14:paraId="69E4796A">
      <w:pPr>
        <w:spacing w:line="360" w:lineRule="auto"/>
        <w:rPr>
          <w:rFonts w:hint="eastAsia" w:ascii="楷体" w:hAnsi="楷体" w:eastAsia="楷体" w:cs="楷体"/>
          <w:b/>
          <w:color w:val="auto"/>
          <w:sz w:val="24"/>
          <w:highlight w:val="none"/>
        </w:rPr>
      </w:pPr>
      <w:r>
        <w:rPr>
          <w:rFonts w:hint="eastAsia" w:ascii="楷体" w:hAnsi="楷体" w:eastAsia="楷体" w:cs="楷体"/>
          <w:b/>
          <w:kern w:val="1"/>
          <w:sz w:val="24"/>
          <w:szCs w:val="24"/>
          <w:highlight w:val="none"/>
          <w:lang w:val="en-US" w:eastAsia="zh-CN"/>
        </w:rPr>
        <w:t>附件：1</w:t>
      </w:r>
      <w:bookmarkEnd w:id="180"/>
      <w:bookmarkEnd w:id="181"/>
      <w:r>
        <w:rPr>
          <w:rFonts w:hint="eastAsia" w:ascii="楷体" w:hAnsi="楷体" w:eastAsia="楷体" w:cs="楷体"/>
          <w:b/>
          <w:color w:val="auto"/>
          <w:sz w:val="24"/>
          <w:highlight w:val="none"/>
        </w:rPr>
        <w:t>法定代表人（单位负责人）身份证明或授权委托书</w:t>
      </w:r>
    </w:p>
    <w:p w14:paraId="4AB15AB2">
      <w:pPr>
        <w:spacing w:line="360" w:lineRule="auto"/>
        <w:ind w:firstLine="504" w:firstLineChars="200"/>
        <w:rPr>
          <w:rFonts w:hint="eastAsia" w:ascii="楷体" w:hAnsi="楷体" w:eastAsia="楷体" w:cs="楷体"/>
          <w:color w:val="auto"/>
          <w:sz w:val="24"/>
          <w:highlight w:val="none"/>
        </w:rPr>
      </w:pPr>
    </w:p>
    <w:p w14:paraId="47F3F158">
      <w:pPr>
        <w:spacing w:line="360" w:lineRule="auto"/>
        <w:ind w:firstLine="504" w:firstLineChars="200"/>
        <w:jc w:val="center"/>
        <w:rPr>
          <w:rFonts w:hint="eastAsia" w:ascii="楷体" w:hAnsi="楷体" w:eastAsia="楷体" w:cs="楷体"/>
          <w:color w:val="auto"/>
          <w:sz w:val="28"/>
          <w:highlight w:val="none"/>
        </w:rPr>
      </w:pPr>
      <w:r>
        <w:rPr>
          <w:rFonts w:hint="eastAsia" w:ascii="楷体" w:hAnsi="楷体" w:eastAsia="楷体" w:cs="楷体"/>
          <w:b/>
          <w:bCs/>
          <w:color w:val="auto"/>
          <w:sz w:val="24"/>
          <w:szCs w:val="22"/>
          <w:highlight w:val="none"/>
        </w:rPr>
        <w:t>法定代表人（单位负责人）身份证明</w:t>
      </w:r>
    </w:p>
    <w:p w14:paraId="70378999">
      <w:pPr>
        <w:spacing w:line="360" w:lineRule="auto"/>
        <w:ind w:firstLine="504" w:firstLineChars="200"/>
        <w:rPr>
          <w:rFonts w:hint="eastAsia" w:ascii="楷体" w:hAnsi="楷体" w:eastAsia="楷体" w:cs="楷体"/>
          <w:color w:val="auto"/>
          <w:sz w:val="24"/>
          <w:highlight w:val="none"/>
        </w:rPr>
      </w:pPr>
    </w:p>
    <w:p w14:paraId="5F962AB2">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投标人名称：</w:t>
      </w:r>
    </w:p>
    <w:p w14:paraId="5513E54D">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姓名： </w:t>
      </w:r>
      <w:r>
        <w:rPr>
          <w:rFonts w:hint="eastAsia" w:ascii="楷体" w:hAnsi="楷体" w:eastAsia="楷体" w:cs="楷体"/>
          <w:color w:val="auto"/>
          <w:sz w:val="24"/>
          <w:highlight w:val="none"/>
          <w:lang w:val="en-US" w:eastAsia="zh-CN"/>
        </w:rPr>
        <w:t xml:space="preserve"> </w:t>
      </w:r>
      <w:r>
        <w:rPr>
          <w:rFonts w:hint="eastAsia" w:ascii="楷体" w:hAnsi="楷体" w:eastAsia="楷体" w:cs="楷体"/>
          <w:color w:val="auto"/>
          <w:sz w:val="24"/>
          <w:highlight w:val="none"/>
        </w:rPr>
        <w:t>性别： 年龄： 职务：</w:t>
      </w:r>
    </w:p>
    <w:p w14:paraId="77D19407">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系 （投标人名称）的法定代表人（单位负责人）。</w:t>
      </w:r>
    </w:p>
    <w:p w14:paraId="317165AA">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特此证明。</w:t>
      </w:r>
    </w:p>
    <w:p w14:paraId="352B31C4">
      <w:pPr>
        <w:spacing w:line="360" w:lineRule="auto"/>
        <w:ind w:firstLine="504" w:firstLineChars="200"/>
        <w:rPr>
          <w:rFonts w:hint="eastAsia" w:ascii="楷体" w:hAnsi="楷体" w:eastAsia="楷体" w:cs="楷体"/>
          <w:color w:val="auto"/>
          <w:sz w:val="24"/>
          <w:highlight w:val="none"/>
        </w:rPr>
      </w:pPr>
    </w:p>
    <w:p w14:paraId="31596BBE">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附：法定代表人（单位负责人）身份证复印件。</w:t>
      </w:r>
    </w:p>
    <w:p w14:paraId="2380D382">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注：本身份证明需由投标人加盖单位公章。</w:t>
      </w:r>
    </w:p>
    <w:p w14:paraId="65DE99F9">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14A4AC54">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投标人： （</w:t>
      </w:r>
      <w:r>
        <w:rPr>
          <w:rFonts w:hint="eastAsia" w:ascii="楷体" w:hAnsi="楷体" w:eastAsia="楷体" w:cs="楷体"/>
          <w:color w:val="auto"/>
          <w:sz w:val="24"/>
          <w:highlight w:val="none"/>
          <w:lang w:eastAsia="zh-CN"/>
        </w:rPr>
        <w:t>名称并</w:t>
      </w:r>
      <w:r>
        <w:rPr>
          <w:rFonts w:hint="eastAsia" w:ascii="楷体" w:hAnsi="楷体" w:eastAsia="楷体" w:cs="楷体"/>
          <w:color w:val="auto"/>
          <w:sz w:val="24"/>
          <w:highlight w:val="none"/>
        </w:rPr>
        <w:t>盖单位章）</w:t>
      </w:r>
    </w:p>
    <w:p w14:paraId="472810FB">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51FD64C6">
      <w:pPr>
        <w:spacing w:line="360" w:lineRule="auto"/>
        <w:ind w:firstLine="7560" w:firstLineChars="3000"/>
        <w:rPr>
          <w:rFonts w:hint="eastAsia" w:ascii="楷体" w:hAnsi="楷体" w:eastAsia="楷体" w:cs="楷体"/>
          <w:color w:val="auto"/>
          <w:sz w:val="24"/>
          <w:highlight w:val="none"/>
        </w:rPr>
      </w:pPr>
      <w:r>
        <w:rPr>
          <w:rFonts w:hint="eastAsia" w:ascii="楷体" w:hAnsi="楷体" w:eastAsia="楷体" w:cs="楷体"/>
          <w:color w:val="auto"/>
          <w:sz w:val="24"/>
          <w:highlight w:val="none"/>
        </w:rPr>
        <w:t>年 月 日</w:t>
      </w:r>
    </w:p>
    <w:p w14:paraId="6E2EB4B9">
      <w:pPr>
        <w:spacing w:line="360" w:lineRule="auto"/>
        <w:ind w:firstLine="504" w:firstLineChars="200"/>
        <w:rPr>
          <w:rFonts w:hint="eastAsia" w:ascii="楷体" w:hAnsi="楷体" w:eastAsia="楷体" w:cs="楷体"/>
          <w:color w:val="auto"/>
          <w:sz w:val="24"/>
          <w:highlight w:val="none"/>
        </w:rPr>
      </w:pPr>
    </w:p>
    <w:p w14:paraId="2E34CD91">
      <w:pPr>
        <w:spacing w:line="360" w:lineRule="auto"/>
        <w:ind w:firstLine="504" w:firstLineChars="200"/>
        <w:rPr>
          <w:rFonts w:hint="eastAsia" w:ascii="楷体" w:hAnsi="楷体" w:eastAsia="楷体" w:cs="楷体"/>
          <w:color w:val="auto"/>
          <w:sz w:val="24"/>
          <w:highlight w:val="none"/>
        </w:rPr>
      </w:pPr>
    </w:p>
    <w:p w14:paraId="55AFDAF4">
      <w:pPr>
        <w:spacing w:line="360" w:lineRule="auto"/>
        <w:ind w:firstLine="504" w:firstLineChars="200"/>
        <w:rPr>
          <w:rFonts w:hint="eastAsia" w:ascii="楷体" w:hAnsi="楷体" w:eastAsia="楷体" w:cs="楷体"/>
          <w:color w:val="auto"/>
          <w:sz w:val="24"/>
          <w:highlight w:val="none"/>
        </w:rPr>
      </w:pPr>
    </w:p>
    <w:p w14:paraId="44CB9DD6">
      <w:pPr>
        <w:spacing w:line="360" w:lineRule="auto"/>
        <w:ind w:firstLine="504" w:firstLineChars="200"/>
        <w:rPr>
          <w:rFonts w:hint="eastAsia" w:ascii="楷体" w:hAnsi="楷体" w:eastAsia="楷体" w:cs="楷体"/>
          <w:color w:val="auto"/>
          <w:sz w:val="24"/>
          <w:highlight w:val="none"/>
        </w:rPr>
      </w:pPr>
    </w:p>
    <w:p w14:paraId="06C09801">
      <w:pPr>
        <w:spacing w:line="360" w:lineRule="auto"/>
        <w:ind w:firstLine="504" w:firstLineChars="200"/>
        <w:rPr>
          <w:rFonts w:hint="eastAsia" w:ascii="楷体" w:hAnsi="楷体" w:eastAsia="楷体" w:cs="楷体"/>
          <w:color w:val="auto"/>
          <w:sz w:val="24"/>
          <w:highlight w:val="none"/>
        </w:rPr>
      </w:pPr>
    </w:p>
    <w:p w14:paraId="7516C706">
      <w:pPr>
        <w:spacing w:line="360" w:lineRule="auto"/>
        <w:ind w:firstLine="504" w:firstLineChars="200"/>
        <w:rPr>
          <w:rFonts w:hint="eastAsia" w:ascii="楷体" w:hAnsi="楷体" w:eastAsia="楷体" w:cs="楷体"/>
          <w:color w:val="auto"/>
          <w:sz w:val="24"/>
          <w:highlight w:val="none"/>
        </w:rPr>
      </w:pPr>
    </w:p>
    <w:p w14:paraId="23B78690">
      <w:pPr>
        <w:spacing w:line="360" w:lineRule="auto"/>
        <w:ind w:firstLine="504" w:firstLineChars="200"/>
        <w:rPr>
          <w:rFonts w:hint="eastAsia" w:ascii="楷体" w:hAnsi="楷体" w:eastAsia="楷体" w:cs="楷体"/>
          <w:color w:val="auto"/>
          <w:sz w:val="24"/>
          <w:highlight w:val="none"/>
        </w:rPr>
      </w:pPr>
    </w:p>
    <w:p w14:paraId="7D45B86C">
      <w:pPr>
        <w:spacing w:line="360" w:lineRule="auto"/>
        <w:jc w:val="center"/>
        <w:rPr>
          <w:rFonts w:hint="eastAsia" w:ascii="楷体" w:hAnsi="楷体" w:eastAsia="楷体" w:cs="楷体"/>
          <w:b/>
          <w:bCs/>
          <w:color w:val="auto"/>
          <w:sz w:val="24"/>
          <w:szCs w:val="22"/>
          <w:highlight w:val="none"/>
        </w:rPr>
      </w:pPr>
    </w:p>
    <w:p w14:paraId="620DB359">
      <w:pPr>
        <w:spacing w:line="360" w:lineRule="auto"/>
        <w:jc w:val="center"/>
        <w:rPr>
          <w:rFonts w:hint="eastAsia" w:ascii="楷体" w:hAnsi="楷体" w:eastAsia="楷体" w:cs="楷体"/>
          <w:b/>
          <w:bCs/>
          <w:color w:val="auto"/>
          <w:sz w:val="24"/>
          <w:szCs w:val="22"/>
          <w:highlight w:val="none"/>
        </w:rPr>
      </w:pPr>
      <w:r>
        <w:rPr>
          <w:rFonts w:hint="eastAsia" w:ascii="楷体" w:hAnsi="楷体" w:eastAsia="楷体" w:cs="楷体"/>
          <w:b/>
          <w:bCs/>
          <w:color w:val="auto"/>
          <w:sz w:val="24"/>
          <w:szCs w:val="22"/>
          <w:highlight w:val="none"/>
        </w:rPr>
        <w:t>授权委托书</w:t>
      </w:r>
    </w:p>
    <w:p w14:paraId="273767DF">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本人 （姓名）系 （投标人名称）的法定代表人（单位负责人），现委托 （姓名）为我方代理人。代理人根据授权，以我方名义签署、澄清确认、递交、撤回、修改</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招标项目</w:t>
      </w:r>
      <w:r>
        <w:rPr>
          <w:rFonts w:hint="eastAsia" w:ascii="楷体" w:hAnsi="楷体" w:eastAsia="楷体" w:cs="楷体"/>
          <w:color w:val="auto"/>
          <w:sz w:val="24"/>
          <w:highlight w:val="none"/>
          <w:lang w:val="en-US" w:eastAsia="zh-CN"/>
        </w:rPr>
        <w:t>名称</w:t>
      </w:r>
      <w:r>
        <w:rPr>
          <w:rFonts w:hint="eastAsia" w:ascii="楷体" w:hAnsi="楷体" w:eastAsia="楷体" w:cs="楷体"/>
          <w:color w:val="auto"/>
          <w:sz w:val="24"/>
          <w:highlight w:val="none"/>
          <w:lang w:eastAsia="zh-CN"/>
        </w:rPr>
        <w:t>）</w:t>
      </w:r>
      <w:r>
        <w:rPr>
          <w:rFonts w:hint="eastAsia" w:ascii="楷体" w:hAnsi="楷体" w:eastAsia="楷体" w:cs="楷体"/>
          <w:color w:val="auto"/>
          <w:sz w:val="24"/>
          <w:highlight w:val="none"/>
        </w:rPr>
        <w:t>投标文件、签订合同和处理有关事宜，其法律后果由我方承担。</w:t>
      </w:r>
    </w:p>
    <w:p w14:paraId="5798BA0D">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委托期限：</w:t>
      </w:r>
      <w:r>
        <w:rPr>
          <w:rFonts w:hint="eastAsia" w:ascii="楷体" w:hAnsi="楷体" w:eastAsia="楷体" w:cs="楷体"/>
          <w:color w:val="auto"/>
          <w:sz w:val="24"/>
          <w:highlight w:val="none"/>
          <w:u w:val="single"/>
          <w:lang w:val="en-US" w:eastAsia="zh-CN"/>
        </w:rPr>
        <w:t xml:space="preserve">     </w:t>
      </w:r>
      <w:r>
        <w:rPr>
          <w:rFonts w:hint="eastAsia" w:ascii="楷体" w:hAnsi="楷体" w:eastAsia="楷体" w:cs="楷体"/>
          <w:color w:val="auto"/>
          <w:sz w:val="24"/>
          <w:highlight w:val="none"/>
          <w:u w:val="single"/>
        </w:rPr>
        <w:t xml:space="preserve"> </w:t>
      </w:r>
      <w:r>
        <w:rPr>
          <w:rFonts w:hint="eastAsia" w:ascii="楷体" w:hAnsi="楷体" w:eastAsia="楷体" w:cs="楷体"/>
          <w:color w:val="auto"/>
          <w:sz w:val="24"/>
          <w:highlight w:val="none"/>
        </w:rPr>
        <w:t>。</w:t>
      </w:r>
    </w:p>
    <w:p w14:paraId="559E69D4">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代理人无转委托权。</w:t>
      </w:r>
    </w:p>
    <w:p w14:paraId="54C27CB1">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附：法定代表人（单位负责人）身份证复印件及委托代理人身份证复印件</w:t>
      </w:r>
    </w:p>
    <w:p w14:paraId="679F97C8">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注：本授权委托书需由投标人加盖单位公章并由其法定代表人（单位负责人）和委托代理人签字。</w:t>
      </w:r>
    </w:p>
    <w:p w14:paraId="16FE0ACA">
      <w:pPr>
        <w:spacing w:line="360" w:lineRule="auto"/>
        <w:ind w:firstLine="504" w:firstLineChars="200"/>
        <w:rPr>
          <w:rFonts w:hint="eastAsia" w:ascii="楷体" w:hAnsi="楷体" w:eastAsia="楷体" w:cs="楷体"/>
          <w:color w:val="auto"/>
          <w:sz w:val="24"/>
          <w:highlight w:val="none"/>
        </w:rPr>
      </w:pPr>
    </w:p>
    <w:p w14:paraId="1D404940">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投 标 人： （</w:t>
      </w:r>
      <w:r>
        <w:rPr>
          <w:rFonts w:hint="eastAsia" w:ascii="楷体" w:hAnsi="楷体" w:eastAsia="楷体" w:cs="楷体"/>
          <w:color w:val="auto"/>
          <w:sz w:val="24"/>
          <w:highlight w:val="none"/>
          <w:lang w:eastAsia="zh-CN"/>
        </w:rPr>
        <w:t>名称并</w:t>
      </w:r>
      <w:r>
        <w:rPr>
          <w:rFonts w:hint="eastAsia" w:ascii="楷体" w:hAnsi="楷体" w:eastAsia="楷体" w:cs="楷体"/>
          <w:color w:val="auto"/>
          <w:sz w:val="24"/>
          <w:highlight w:val="none"/>
        </w:rPr>
        <w:t>盖单位章）</w:t>
      </w:r>
    </w:p>
    <w:p w14:paraId="7DF7ED7B">
      <w:pPr>
        <w:spacing w:line="360" w:lineRule="auto"/>
        <w:ind w:firstLine="504" w:firstLineChars="200"/>
        <w:rPr>
          <w:rFonts w:hint="eastAsia" w:ascii="楷体" w:hAnsi="楷体" w:eastAsia="楷体" w:cs="楷体"/>
          <w:color w:val="auto"/>
          <w:sz w:val="24"/>
          <w:highlight w:val="none"/>
        </w:rPr>
      </w:pPr>
    </w:p>
    <w:p w14:paraId="3DE45AA0">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法定代表人（单位负责人）： （签字）</w:t>
      </w:r>
    </w:p>
    <w:p w14:paraId="4FA9C0D8">
      <w:pPr>
        <w:spacing w:line="360" w:lineRule="auto"/>
        <w:ind w:firstLine="504" w:firstLineChars="200"/>
        <w:rPr>
          <w:rFonts w:hint="eastAsia" w:ascii="楷体" w:hAnsi="楷体" w:eastAsia="楷体" w:cs="楷体"/>
          <w:color w:val="auto"/>
          <w:sz w:val="24"/>
          <w:highlight w:val="none"/>
        </w:rPr>
      </w:pPr>
    </w:p>
    <w:p w14:paraId="25708519">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身份证号码：</w:t>
      </w:r>
    </w:p>
    <w:p w14:paraId="7E556DD6">
      <w:pPr>
        <w:spacing w:line="360" w:lineRule="auto"/>
        <w:ind w:firstLine="504" w:firstLineChars="200"/>
        <w:rPr>
          <w:rFonts w:hint="eastAsia" w:ascii="楷体" w:hAnsi="楷体" w:eastAsia="楷体" w:cs="楷体"/>
          <w:color w:val="auto"/>
          <w:sz w:val="24"/>
          <w:highlight w:val="none"/>
        </w:rPr>
      </w:pPr>
    </w:p>
    <w:p w14:paraId="268AED66">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委托代理人： （签字）</w:t>
      </w:r>
    </w:p>
    <w:p w14:paraId="234DA96D">
      <w:pPr>
        <w:spacing w:line="360" w:lineRule="auto"/>
        <w:ind w:firstLine="504" w:firstLineChars="200"/>
        <w:rPr>
          <w:rFonts w:hint="eastAsia" w:ascii="楷体" w:hAnsi="楷体" w:eastAsia="楷体" w:cs="楷体"/>
          <w:color w:val="auto"/>
          <w:sz w:val="24"/>
          <w:highlight w:val="none"/>
        </w:rPr>
      </w:pPr>
    </w:p>
    <w:p w14:paraId="757BFAE4">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身份证号码：</w:t>
      </w:r>
    </w:p>
    <w:p w14:paraId="2F32AA8C">
      <w:pPr>
        <w:spacing w:line="360" w:lineRule="auto"/>
        <w:ind w:firstLine="504" w:firstLineChars="200"/>
        <w:rPr>
          <w:rFonts w:hint="eastAsia" w:ascii="楷体" w:hAnsi="楷体" w:eastAsia="楷体" w:cs="楷体"/>
          <w:color w:val="auto"/>
          <w:sz w:val="24"/>
          <w:highlight w:val="none"/>
        </w:rPr>
      </w:pPr>
      <w:r>
        <w:rPr>
          <w:rFonts w:hint="eastAsia" w:ascii="楷体" w:hAnsi="楷体" w:eastAsia="楷体" w:cs="楷体"/>
          <w:color w:val="auto"/>
          <w:sz w:val="24"/>
          <w:highlight w:val="none"/>
        </w:rPr>
        <w:t xml:space="preserve">                                            </w:t>
      </w:r>
    </w:p>
    <w:p w14:paraId="1C48D271">
      <w:pPr>
        <w:spacing w:line="360" w:lineRule="auto"/>
        <w:ind w:firstLine="6552" w:firstLineChars="2600"/>
        <w:rPr>
          <w:rFonts w:hint="eastAsia" w:ascii="楷体" w:hAnsi="楷体" w:eastAsia="楷体" w:cs="楷体"/>
          <w:color w:val="auto"/>
          <w:sz w:val="24"/>
          <w:highlight w:val="none"/>
        </w:rPr>
      </w:pPr>
      <w:r>
        <w:rPr>
          <w:rFonts w:hint="eastAsia" w:ascii="楷体" w:hAnsi="楷体" w:eastAsia="楷体" w:cs="楷体"/>
          <w:color w:val="auto"/>
          <w:sz w:val="24"/>
          <w:highlight w:val="none"/>
        </w:rPr>
        <w:t>年    月    日</w:t>
      </w:r>
    </w:p>
    <w:p w14:paraId="34E0CE9A">
      <w:pPr>
        <w:tabs>
          <w:tab w:val="left" w:pos="1287"/>
        </w:tabs>
        <w:spacing w:line="360" w:lineRule="auto"/>
        <w:rPr>
          <w:rFonts w:hint="eastAsia" w:ascii="楷体" w:hAnsi="楷体" w:eastAsia="楷体" w:cs="楷体"/>
          <w:kern w:val="1"/>
          <w:sz w:val="24"/>
          <w:szCs w:val="24"/>
          <w:highlight w:val="none"/>
        </w:rPr>
      </w:pPr>
      <w:r>
        <w:rPr>
          <w:rFonts w:hint="eastAsia" w:ascii="楷体" w:hAnsi="楷体" w:eastAsia="楷体" w:cs="楷体"/>
          <w:b/>
          <w:kern w:val="1"/>
          <w:highlight w:val="none"/>
        </w:rPr>
        <w:br w:type="page"/>
      </w:r>
      <w:r>
        <w:rPr>
          <w:rFonts w:hint="eastAsia" w:ascii="楷体" w:hAnsi="楷体" w:eastAsia="楷体" w:cs="楷体"/>
          <w:b/>
          <w:kern w:val="1"/>
          <w:sz w:val="24"/>
          <w:szCs w:val="24"/>
          <w:highlight w:val="none"/>
        </w:rPr>
        <w:t>格式</w:t>
      </w:r>
      <w:bookmarkStart w:id="182" w:name="_Toc18357_WPSOffice_Level1"/>
      <w:bookmarkStart w:id="183" w:name="_Toc1423_WPSOffice_Level1"/>
      <w:r>
        <w:rPr>
          <w:rFonts w:hint="eastAsia" w:ascii="楷体" w:hAnsi="楷体" w:eastAsia="楷体" w:cs="楷体"/>
          <w:b/>
          <w:kern w:val="1"/>
          <w:sz w:val="24"/>
          <w:szCs w:val="24"/>
          <w:highlight w:val="none"/>
          <w:lang w:val="en-US" w:eastAsia="zh-CN"/>
        </w:rPr>
        <w:t>七</w:t>
      </w:r>
      <w:r>
        <w:rPr>
          <w:rFonts w:hint="eastAsia" w:ascii="楷体" w:hAnsi="楷体" w:eastAsia="楷体" w:cs="楷体"/>
          <w:b/>
          <w:kern w:val="1"/>
          <w:sz w:val="24"/>
          <w:szCs w:val="24"/>
          <w:highlight w:val="none"/>
        </w:rPr>
        <w:t>、业绩</w:t>
      </w:r>
    </w:p>
    <w:p w14:paraId="14D2BD9A">
      <w:pPr>
        <w:spacing w:line="360" w:lineRule="auto"/>
        <w:jc w:val="center"/>
        <w:rPr>
          <w:rFonts w:hint="eastAsia" w:ascii="楷体" w:hAnsi="楷体" w:eastAsia="楷体" w:cs="楷体"/>
          <w:b/>
          <w:kern w:val="1"/>
          <w:sz w:val="24"/>
          <w:szCs w:val="24"/>
          <w:highlight w:val="none"/>
        </w:rPr>
      </w:pPr>
      <w:r>
        <w:rPr>
          <w:rFonts w:hint="eastAsia" w:ascii="楷体" w:hAnsi="楷体" w:eastAsia="楷体" w:cs="楷体"/>
          <w:b/>
          <w:kern w:val="1"/>
          <w:sz w:val="24"/>
          <w:szCs w:val="24"/>
          <w:highlight w:val="none"/>
        </w:rPr>
        <w:t>业  绩  表</w:t>
      </w:r>
      <w:bookmarkEnd w:id="182"/>
      <w:bookmarkEnd w:id="183"/>
    </w:p>
    <w:tbl>
      <w:tblPr>
        <w:tblStyle w:val="28"/>
        <w:tblW w:w="9157" w:type="dxa"/>
        <w:tblInd w:w="132" w:type="dxa"/>
        <w:tblLayout w:type="fixed"/>
        <w:tblCellMar>
          <w:top w:w="0" w:type="dxa"/>
          <w:left w:w="108" w:type="dxa"/>
          <w:bottom w:w="0" w:type="dxa"/>
          <w:right w:w="108" w:type="dxa"/>
        </w:tblCellMar>
      </w:tblPr>
      <w:tblGrid>
        <w:gridCol w:w="1157"/>
        <w:gridCol w:w="2699"/>
        <w:gridCol w:w="2720"/>
        <w:gridCol w:w="2581"/>
      </w:tblGrid>
      <w:tr w14:paraId="3E9063CD">
        <w:tblPrEx>
          <w:tblCellMar>
            <w:top w:w="0" w:type="dxa"/>
            <w:left w:w="108" w:type="dxa"/>
            <w:bottom w:w="0" w:type="dxa"/>
            <w:right w:w="108" w:type="dxa"/>
          </w:tblCellMar>
        </w:tblPrEx>
        <w:trPr>
          <w:trHeight w:val="465"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08088F99">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序号</w:t>
            </w: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201CF35C">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项目名称</w:t>
            </w: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79A8EC81">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合同总价</w:t>
            </w: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46E413AA">
            <w:pPr>
              <w:spacing w:line="440" w:lineRule="exact"/>
              <w:jc w:val="center"/>
              <w:rPr>
                <w:rFonts w:hint="eastAsia" w:ascii="楷体" w:hAnsi="楷体" w:eastAsia="楷体" w:cs="楷体"/>
                <w:sz w:val="24"/>
                <w:szCs w:val="24"/>
                <w:highlight w:val="none"/>
              </w:rPr>
            </w:pPr>
            <w:r>
              <w:rPr>
                <w:rFonts w:hint="eastAsia" w:ascii="楷体" w:hAnsi="楷体" w:eastAsia="楷体" w:cs="楷体"/>
                <w:sz w:val="24"/>
                <w:szCs w:val="24"/>
                <w:highlight w:val="none"/>
              </w:rPr>
              <w:t>签订日期</w:t>
            </w:r>
          </w:p>
        </w:tc>
      </w:tr>
      <w:tr w14:paraId="18A41CFF">
        <w:tblPrEx>
          <w:tblCellMar>
            <w:top w:w="0" w:type="dxa"/>
            <w:left w:w="108" w:type="dxa"/>
            <w:bottom w:w="0" w:type="dxa"/>
            <w:right w:w="108" w:type="dxa"/>
          </w:tblCellMar>
        </w:tblPrEx>
        <w:trPr>
          <w:trHeight w:val="503"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C24CF54">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7166DD83">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107C3C0D">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72EC22BD">
            <w:pPr>
              <w:spacing w:line="440" w:lineRule="exact"/>
              <w:jc w:val="center"/>
              <w:rPr>
                <w:rFonts w:hint="eastAsia" w:ascii="楷体" w:hAnsi="楷体" w:eastAsia="楷体" w:cs="楷体"/>
                <w:sz w:val="24"/>
                <w:szCs w:val="24"/>
                <w:highlight w:val="none"/>
              </w:rPr>
            </w:pPr>
          </w:p>
        </w:tc>
      </w:tr>
      <w:tr w14:paraId="12822ABA">
        <w:tblPrEx>
          <w:tblCellMar>
            <w:top w:w="0" w:type="dxa"/>
            <w:left w:w="108" w:type="dxa"/>
            <w:bottom w:w="0" w:type="dxa"/>
            <w:right w:w="108" w:type="dxa"/>
          </w:tblCellMar>
        </w:tblPrEx>
        <w:trPr>
          <w:trHeight w:val="503"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3B8B4D74">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3F9321A9">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2229D6F4">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22A59548">
            <w:pPr>
              <w:spacing w:line="440" w:lineRule="exact"/>
              <w:jc w:val="center"/>
              <w:rPr>
                <w:rFonts w:hint="eastAsia" w:ascii="楷体" w:hAnsi="楷体" w:eastAsia="楷体" w:cs="楷体"/>
                <w:sz w:val="24"/>
                <w:szCs w:val="24"/>
                <w:highlight w:val="none"/>
              </w:rPr>
            </w:pPr>
          </w:p>
        </w:tc>
      </w:tr>
      <w:tr w14:paraId="4425786A">
        <w:tblPrEx>
          <w:tblCellMar>
            <w:top w:w="0" w:type="dxa"/>
            <w:left w:w="108" w:type="dxa"/>
            <w:bottom w:w="0" w:type="dxa"/>
            <w:right w:w="108" w:type="dxa"/>
          </w:tblCellMar>
        </w:tblPrEx>
        <w:trPr>
          <w:trHeight w:val="503"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FC6B374">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29DC24C1">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25263E1B">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7195D79B">
            <w:pPr>
              <w:spacing w:line="440" w:lineRule="exact"/>
              <w:jc w:val="center"/>
              <w:rPr>
                <w:rFonts w:hint="eastAsia" w:ascii="楷体" w:hAnsi="楷体" w:eastAsia="楷体" w:cs="楷体"/>
                <w:sz w:val="24"/>
                <w:szCs w:val="24"/>
                <w:highlight w:val="none"/>
              </w:rPr>
            </w:pPr>
          </w:p>
        </w:tc>
      </w:tr>
      <w:tr w14:paraId="4C0B271C">
        <w:tblPrEx>
          <w:tblCellMar>
            <w:top w:w="0" w:type="dxa"/>
            <w:left w:w="108" w:type="dxa"/>
            <w:bottom w:w="0" w:type="dxa"/>
            <w:right w:w="108" w:type="dxa"/>
          </w:tblCellMar>
        </w:tblPrEx>
        <w:trPr>
          <w:trHeight w:val="503"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235AB639">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614BB6A0">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52A68763">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503CCE57">
            <w:pPr>
              <w:spacing w:line="440" w:lineRule="exact"/>
              <w:jc w:val="center"/>
              <w:rPr>
                <w:rFonts w:hint="eastAsia" w:ascii="楷体" w:hAnsi="楷体" w:eastAsia="楷体" w:cs="楷体"/>
                <w:sz w:val="24"/>
                <w:szCs w:val="24"/>
                <w:highlight w:val="none"/>
              </w:rPr>
            </w:pPr>
          </w:p>
        </w:tc>
      </w:tr>
      <w:tr w14:paraId="4222E1BA">
        <w:tblPrEx>
          <w:tblCellMar>
            <w:top w:w="0" w:type="dxa"/>
            <w:left w:w="108" w:type="dxa"/>
            <w:bottom w:w="0" w:type="dxa"/>
            <w:right w:w="108" w:type="dxa"/>
          </w:tblCellMar>
        </w:tblPrEx>
        <w:trPr>
          <w:trHeight w:val="503"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09D2BD53">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30CF8E98">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456EBCAE">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2A2928E5">
            <w:pPr>
              <w:spacing w:line="440" w:lineRule="exact"/>
              <w:jc w:val="center"/>
              <w:rPr>
                <w:rFonts w:hint="eastAsia" w:ascii="楷体" w:hAnsi="楷体" w:eastAsia="楷体" w:cs="楷体"/>
                <w:sz w:val="24"/>
                <w:szCs w:val="24"/>
                <w:highlight w:val="none"/>
              </w:rPr>
            </w:pPr>
          </w:p>
        </w:tc>
      </w:tr>
      <w:tr w14:paraId="42072D9A">
        <w:tblPrEx>
          <w:tblCellMar>
            <w:top w:w="0" w:type="dxa"/>
            <w:left w:w="108" w:type="dxa"/>
            <w:bottom w:w="0" w:type="dxa"/>
            <w:right w:w="108" w:type="dxa"/>
          </w:tblCellMar>
        </w:tblPrEx>
        <w:trPr>
          <w:trHeight w:val="515"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9A81231">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003DAFBC">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6AF818D1">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70B27CD5">
            <w:pPr>
              <w:spacing w:line="440" w:lineRule="exact"/>
              <w:jc w:val="center"/>
              <w:rPr>
                <w:rFonts w:hint="eastAsia" w:ascii="楷体" w:hAnsi="楷体" w:eastAsia="楷体" w:cs="楷体"/>
                <w:sz w:val="24"/>
                <w:szCs w:val="24"/>
                <w:highlight w:val="none"/>
              </w:rPr>
            </w:pPr>
          </w:p>
        </w:tc>
      </w:tr>
      <w:tr w14:paraId="0D3269EA">
        <w:tblPrEx>
          <w:tblCellMar>
            <w:top w:w="0" w:type="dxa"/>
            <w:left w:w="108" w:type="dxa"/>
            <w:bottom w:w="0" w:type="dxa"/>
            <w:right w:w="108" w:type="dxa"/>
          </w:tblCellMar>
        </w:tblPrEx>
        <w:trPr>
          <w:trHeight w:val="515"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27A7A895">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446472BB">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5C8370E9">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705E5289">
            <w:pPr>
              <w:spacing w:line="440" w:lineRule="exact"/>
              <w:jc w:val="center"/>
              <w:rPr>
                <w:rFonts w:hint="eastAsia" w:ascii="楷体" w:hAnsi="楷体" w:eastAsia="楷体" w:cs="楷体"/>
                <w:sz w:val="24"/>
                <w:szCs w:val="24"/>
                <w:highlight w:val="none"/>
              </w:rPr>
            </w:pPr>
          </w:p>
        </w:tc>
      </w:tr>
      <w:tr w14:paraId="73E0BE3D">
        <w:tblPrEx>
          <w:tblCellMar>
            <w:top w:w="0" w:type="dxa"/>
            <w:left w:w="108" w:type="dxa"/>
            <w:bottom w:w="0" w:type="dxa"/>
            <w:right w:w="108" w:type="dxa"/>
          </w:tblCellMar>
        </w:tblPrEx>
        <w:trPr>
          <w:trHeight w:val="518"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5896F1ED">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632EBC46">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1FF906E7">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0B4ABB90">
            <w:pPr>
              <w:spacing w:line="440" w:lineRule="exact"/>
              <w:jc w:val="center"/>
              <w:rPr>
                <w:rFonts w:hint="eastAsia" w:ascii="楷体" w:hAnsi="楷体" w:eastAsia="楷体" w:cs="楷体"/>
                <w:sz w:val="24"/>
                <w:szCs w:val="24"/>
                <w:highlight w:val="none"/>
              </w:rPr>
            </w:pPr>
          </w:p>
        </w:tc>
      </w:tr>
      <w:tr w14:paraId="20EAAC6B">
        <w:tblPrEx>
          <w:tblCellMar>
            <w:top w:w="0" w:type="dxa"/>
            <w:left w:w="108" w:type="dxa"/>
            <w:bottom w:w="0" w:type="dxa"/>
            <w:right w:w="108" w:type="dxa"/>
          </w:tblCellMar>
        </w:tblPrEx>
        <w:trPr>
          <w:trHeight w:val="518"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0CF736E">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0915081F">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2B09C2FE">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19F555AA">
            <w:pPr>
              <w:spacing w:line="440" w:lineRule="exact"/>
              <w:jc w:val="center"/>
              <w:rPr>
                <w:rFonts w:hint="eastAsia" w:ascii="楷体" w:hAnsi="楷体" w:eastAsia="楷体" w:cs="楷体"/>
                <w:sz w:val="24"/>
                <w:szCs w:val="24"/>
                <w:highlight w:val="none"/>
              </w:rPr>
            </w:pPr>
          </w:p>
        </w:tc>
      </w:tr>
      <w:tr w14:paraId="5DA1A796">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58879E47">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1422EDEA">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6C2BF506">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1D2AE091">
            <w:pPr>
              <w:spacing w:line="440" w:lineRule="exact"/>
              <w:jc w:val="center"/>
              <w:rPr>
                <w:rFonts w:hint="eastAsia" w:ascii="楷体" w:hAnsi="楷体" w:eastAsia="楷体" w:cs="楷体"/>
                <w:sz w:val="24"/>
                <w:szCs w:val="24"/>
                <w:highlight w:val="none"/>
              </w:rPr>
            </w:pPr>
          </w:p>
        </w:tc>
      </w:tr>
      <w:tr w14:paraId="427BCF8C">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8D046C1">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23F08D6E">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1D186F41">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7994FB07">
            <w:pPr>
              <w:spacing w:line="440" w:lineRule="exact"/>
              <w:jc w:val="center"/>
              <w:rPr>
                <w:rFonts w:hint="eastAsia" w:ascii="楷体" w:hAnsi="楷体" w:eastAsia="楷体" w:cs="楷体"/>
                <w:sz w:val="24"/>
                <w:szCs w:val="24"/>
                <w:highlight w:val="none"/>
              </w:rPr>
            </w:pPr>
          </w:p>
        </w:tc>
      </w:tr>
      <w:tr w14:paraId="6976372A">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4137D0A6">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2D33D29E">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5BD93F95">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79B955DE">
            <w:pPr>
              <w:spacing w:line="440" w:lineRule="exact"/>
              <w:jc w:val="center"/>
              <w:rPr>
                <w:rFonts w:hint="eastAsia" w:ascii="楷体" w:hAnsi="楷体" w:eastAsia="楷体" w:cs="楷体"/>
                <w:sz w:val="24"/>
                <w:szCs w:val="24"/>
                <w:highlight w:val="none"/>
              </w:rPr>
            </w:pPr>
          </w:p>
        </w:tc>
      </w:tr>
      <w:tr w14:paraId="7DB7AEA8">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E33247E">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6804A3DD">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1589B6A5">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66BF5731">
            <w:pPr>
              <w:spacing w:line="440" w:lineRule="exact"/>
              <w:jc w:val="center"/>
              <w:rPr>
                <w:rFonts w:hint="eastAsia" w:ascii="楷体" w:hAnsi="楷体" w:eastAsia="楷体" w:cs="楷体"/>
                <w:sz w:val="24"/>
                <w:szCs w:val="24"/>
                <w:highlight w:val="none"/>
              </w:rPr>
            </w:pPr>
          </w:p>
        </w:tc>
      </w:tr>
      <w:tr w14:paraId="0299E2E7">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B2390A5">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30E4B586">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6FEA98DB">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48247B8A">
            <w:pPr>
              <w:spacing w:line="440" w:lineRule="exact"/>
              <w:jc w:val="center"/>
              <w:rPr>
                <w:rFonts w:hint="eastAsia" w:ascii="楷体" w:hAnsi="楷体" w:eastAsia="楷体" w:cs="楷体"/>
                <w:sz w:val="24"/>
                <w:szCs w:val="24"/>
                <w:highlight w:val="none"/>
              </w:rPr>
            </w:pPr>
          </w:p>
        </w:tc>
      </w:tr>
      <w:tr w14:paraId="3BF53EAB">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5C88D460">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000AC1E7">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2910F636">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094875B8">
            <w:pPr>
              <w:spacing w:line="440" w:lineRule="exact"/>
              <w:jc w:val="center"/>
              <w:rPr>
                <w:rFonts w:hint="eastAsia" w:ascii="楷体" w:hAnsi="楷体" w:eastAsia="楷体" w:cs="楷体"/>
                <w:sz w:val="24"/>
                <w:szCs w:val="24"/>
                <w:highlight w:val="none"/>
              </w:rPr>
            </w:pPr>
          </w:p>
        </w:tc>
      </w:tr>
      <w:tr w14:paraId="64B4EC3D">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3864D539">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6C1B30D8">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00D39AB5">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6953B153">
            <w:pPr>
              <w:spacing w:line="440" w:lineRule="exact"/>
              <w:jc w:val="center"/>
              <w:rPr>
                <w:rFonts w:hint="eastAsia" w:ascii="楷体" w:hAnsi="楷体" w:eastAsia="楷体" w:cs="楷体"/>
                <w:sz w:val="24"/>
                <w:szCs w:val="24"/>
                <w:highlight w:val="none"/>
              </w:rPr>
            </w:pPr>
          </w:p>
        </w:tc>
      </w:tr>
      <w:tr w14:paraId="3D0B7095">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E685F0E">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61216104">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7DC76D01">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530837A0">
            <w:pPr>
              <w:spacing w:line="440" w:lineRule="exact"/>
              <w:jc w:val="center"/>
              <w:rPr>
                <w:rFonts w:hint="eastAsia" w:ascii="楷体" w:hAnsi="楷体" w:eastAsia="楷体" w:cs="楷体"/>
                <w:sz w:val="24"/>
                <w:szCs w:val="24"/>
                <w:highlight w:val="none"/>
              </w:rPr>
            </w:pPr>
          </w:p>
        </w:tc>
      </w:tr>
      <w:tr w14:paraId="1F7B8D8D">
        <w:tblPrEx>
          <w:tblCellMar>
            <w:top w:w="0" w:type="dxa"/>
            <w:left w:w="108" w:type="dxa"/>
            <w:bottom w:w="0" w:type="dxa"/>
            <w:right w:w="108" w:type="dxa"/>
          </w:tblCellMar>
        </w:tblPrEx>
        <w:trPr>
          <w:trHeight w:val="524"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184F06B3">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4789539C">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75AC5AD7">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14811EA7">
            <w:pPr>
              <w:spacing w:line="440" w:lineRule="exact"/>
              <w:jc w:val="center"/>
              <w:rPr>
                <w:rFonts w:hint="eastAsia" w:ascii="楷体" w:hAnsi="楷体" w:eastAsia="楷体" w:cs="楷体"/>
                <w:sz w:val="24"/>
                <w:szCs w:val="24"/>
                <w:highlight w:val="none"/>
              </w:rPr>
            </w:pPr>
          </w:p>
        </w:tc>
      </w:tr>
      <w:tr w14:paraId="1C44E4E3">
        <w:tblPrEx>
          <w:tblCellMar>
            <w:top w:w="0" w:type="dxa"/>
            <w:left w:w="108" w:type="dxa"/>
            <w:bottom w:w="0" w:type="dxa"/>
            <w:right w:w="108" w:type="dxa"/>
          </w:tblCellMar>
        </w:tblPrEx>
        <w:trPr>
          <w:trHeight w:val="551" w:hRule="atLeast"/>
        </w:trPr>
        <w:tc>
          <w:tcPr>
            <w:tcW w:w="1157" w:type="dxa"/>
            <w:tcBorders>
              <w:top w:val="single" w:color="000000" w:sz="4" w:space="0"/>
              <w:left w:val="single" w:color="000000" w:sz="4" w:space="0"/>
              <w:bottom w:val="single" w:color="000000" w:sz="4" w:space="0"/>
              <w:right w:val="single" w:color="000000" w:sz="4" w:space="0"/>
            </w:tcBorders>
            <w:noWrap w:val="0"/>
            <w:vAlign w:val="center"/>
          </w:tcPr>
          <w:p w14:paraId="7A709002">
            <w:pPr>
              <w:spacing w:line="440" w:lineRule="exact"/>
              <w:jc w:val="center"/>
              <w:rPr>
                <w:rFonts w:hint="eastAsia" w:ascii="楷体" w:hAnsi="楷体" w:eastAsia="楷体" w:cs="楷体"/>
                <w:sz w:val="24"/>
                <w:szCs w:val="24"/>
                <w:highlight w:val="none"/>
              </w:rPr>
            </w:pPr>
          </w:p>
        </w:tc>
        <w:tc>
          <w:tcPr>
            <w:tcW w:w="2699" w:type="dxa"/>
            <w:tcBorders>
              <w:top w:val="single" w:color="000000" w:sz="4" w:space="0"/>
              <w:left w:val="single" w:color="000000" w:sz="4" w:space="0"/>
              <w:bottom w:val="single" w:color="000000" w:sz="4" w:space="0"/>
              <w:right w:val="single" w:color="000000" w:sz="4" w:space="0"/>
            </w:tcBorders>
            <w:noWrap w:val="0"/>
            <w:vAlign w:val="center"/>
          </w:tcPr>
          <w:p w14:paraId="45990FE4">
            <w:pPr>
              <w:spacing w:line="440" w:lineRule="exact"/>
              <w:jc w:val="center"/>
              <w:rPr>
                <w:rFonts w:hint="eastAsia" w:ascii="楷体" w:hAnsi="楷体" w:eastAsia="楷体" w:cs="楷体"/>
                <w:sz w:val="24"/>
                <w:szCs w:val="24"/>
                <w:highlight w:val="none"/>
              </w:rPr>
            </w:pPr>
          </w:p>
        </w:tc>
        <w:tc>
          <w:tcPr>
            <w:tcW w:w="2720" w:type="dxa"/>
            <w:tcBorders>
              <w:top w:val="single" w:color="000000" w:sz="4" w:space="0"/>
              <w:left w:val="single" w:color="000000" w:sz="4" w:space="0"/>
              <w:bottom w:val="single" w:color="000000" w:sz="4" w:space="0"/>
              <w:right w:val="single" w:color="000000" w:sz="4" w:space="0"/>
            </w:tcBorders>
            <w:noWrap w:val="0"/>
            <w:vAlign w:val="center"/>
          </w:tcPr>
          <w:p w14:paraId="2D4E7D74">
            <w:pPr>
              <w:spacing w:line="440" w:lineRule="exact"/>
              <w:jc w:val="center"/>
              <w:rPr>
                <w:rFonts w:hint="eastAsia" w:ascii="楷体" w:hAnsi="楷体" w:eastAsia="楷体" w:cs="楷体"/>
                <w:sz w:val="24"/>
                <w:szCs w:val="24"/>
                <w:highlight w:val="none"/>
              </w:rPr>
            </w:pPr>
          </w:p>
        </w:tc>
        <w:tc>
          <w:tcPr>
            <w:tcW w:w="2581" w:type="dxa"/>
            <w:tcBorders>
              <w:top w:val="single" w:color="000000" w:sz="4" w:space="0"/>
              <w:left w:val="single" w:color="000000" w:sz="4" w:space="0"/>
              <w:bottom w:val="single" w:color="000000" w:sz="4" w:space="0"/>
              <w:right w:val="single" w:color="000000" w:sz="4" w:space="0"/>
            </w:tcBorders>
            <w:noWrap w:val="0"/>
            <w:vAlign w:val="center"/>
          </w:tcPr>
          <w:p w14:paraId="44BA480E">
            <w:pPr>
              <w:spacing w:line="440" w:lineRule="exact"/>
              <w:jc w:val="center"/>
              <w:rPr>
                <w:rFonts w:hint="eastAsia" w:ascii="楷体" w:hAnsi="楷体" w:eastAsia="楷体" w:cs="楷体"/>
                <w:sz w:val="24"/>
                <w:szCs w:val="24"/>
                <w:highlight w:val="none"/>
              </w:rPr>
            </w:pPr>
          </w:p>
        </w:tc>
      </w:tr>
    </w:tbl>
    <w:p w14:paraId="3BB80F86">
      <w:pPr>
        <w:spacing w:line="360" w:lineRule="auto"/>
        <w:rPr>
          <w:rFonts w:hint="eastAsia" w:ascii="楷体" w:hAnsi="楷体" w:eastAsia="楷体" w:cs="楷体"/>
          <w:b/>
          <w:bCs/>
          <w:kern w:val="1"/>
          <w:sz w:val="24"/>
          <w:szCs w:val="24"/>
          <w:highlight w:val="none"/>
          <w:lang w:eastAsia="zh-CN"/>
        </w:rPr>
      </w:pPr>
      <w:r>
        <w:rPr>
          <w:rFonts w:hint="eastAsia" w:ascii="楷体" w:hAnsi="楷体" w:eastAsia="楷体" w:cs="楷体"/>
          <w:b/>
          <w:bCs/>
          <w:kern w:val="1"/>
          <w:sz w:val="24"/>
          <w:szCs w:val="24"/>
          <w:highlight w:val="none"/>
        </w:rPr>
        <w:t>注：须提供业绩相应的证明材料</w:t>
      </w:r>
      <w:r>
        <w:rPr>
          <w:rFonts w:hint="eastAsia" w:ascii="楷体" w:hAnsi="楷体" w:eastAsia="楷体" w:cs="楷体"/>
          <w:b/>
          <w:bCs/>
          <w:kern w:val="1"/>
          <w:sz w:val="24"/>
          <w:szCs w:val="24"/>
          <w:highlight w:val="none"/>
          <w:lang w:eastAsia="zh-CN"/>
        </w:rPr>
        <w:t>（服务合同）</w:t>
      </w:r>
    </w:p>
    <w:p w14:paraId="451733D0">
      <w:pPr>
        <w:spacing w:line="360" w:lineRule="auto"/>
        <w:rPr>
          <w:rFonts w:hint="eastAsia" w:ascii="楷体" w:hAnsi="楷体" w:eastAsia="楷体" w:cs="楷体"/>
          <w:b/>
          <w:kern w:val="1"/>
          <w:sz w:val="24"/>
          <w:highlight w:val="none"/>
        </w:rPr>
      </w:pPr>
      <w:r>
        <w:rPr>
          <w:rFonts w:hint="eastAsia" w:ascii="楷体" w:hAnsi="楷体" w:eastAsia="楷体" w:cs="楷体"/>
          <w:kern w:val="1"/>
          <w:sz w:val="24"/>
          <w:highlight w:val="none"/>
        </w:rPr>
        <w:br w:type="page"/>
      </w:r>
      <w:r>
        <w:rPr>
          <w:rFonts w:hint="eastAsia" w:ascii="楷体" w:hAnsi="楷体" w:eastAsia="楷体" w:cs="楷体"/>
          <w:b/>
          <w:kern w:val="1"/>
          <w:sz w:val="24"/>
          <w:highlight w:val="none"/>
        </w:rPr>
        <w:t>格式</w:t>
      </w:r>
      <w:r>
        <w:rPr>
          <w:rFonts w:hint="eastAsia" w:ascii="楷体" w:hAnsi="楷体" w:eastAsia="楷体" w:cs="楷体"/>
          <w:b/>
          <w:kern w:val="1"/>
          <w:sz w:val="24"/>
          <w:highlight w:val="none"/>
          <w:lang w:val="en-US" w:eastAsia="zh-CN"/>
        </w:rPr>
        <w:t>八</w:t>
      </w:r>
      <w:r>
        <w:rPr>
          <w:rFonts w:hint="eastAsia" w:ascii="楷体" w:hAnsi="楷体" w:eastAsia="楷体" w:cs="楷体"/>
          <w:b/>
          <w:kern w:val="1"/>
          <w:sz w:val="24"/>
          <w:highlight w:val="none"/>
        </w:rPr>
        <w:t>、服务方案（格式自拟）</w:t>
      </w:r>
    </w:p>
    <w:p w14:paraId="66BBA2F4">
      <w:pPr>
        <w:spacing w:line="360" w:lineRule="auto"/>
        <w:jc w:val="both"/>
        <w:rPr>
          <w:rFonts w:hint="eastAsia" w:ascii="楷体" w:hAnsi="楷体" w:eastAsia="楷体" w:cs="楷体"/>
          <w:b/>
          <w:kern w:val="1"/>
          <w:sz w:val="24"/>
          <w:highlight w:val="none"/>
        </w:rPr>
      </w:pPr>
      <w:r>
        <w:rPr>
          <w:rFonts w:hint="eastAsia" w:ascii="楷体" w:hAnsi="楷体" w:eastAsia="楷体" w:cs="楷体"/>
          <w:b/>
          <w:kern w:val="1"/>
          <w:sz w:val="24"/>
          <w:highlight w:val="none"/>
          <w:lang w:eastAsia="zh-CN"/>
        </w:rPr>
        <w:t>格式</w:t>
      </w:r>
      <w:r>
        <w:rPr>
          <w:rFonts w:hint="eastAsia" w:ascii="楷体" w:hAnsi="楷体" w:eastAsia="楷体" w:cs="楷体"/>
          <w:b/>
          <w:kern w:val="1"/>
          <w:sz w:val="24"/>
          <w:highlight w:val="none"/>
          <w:lang w:val="en-US" w:eastAsia="zh-CN"/>
        </w:rPr>
        <w:t>九</w:t>
      </w:r>
      <w:r>
        <w:rPr>
          <w:rFonts w:hint="eastAsia" w:ascii="楷体" w:hAnsi="楷体" w:eastAsia="楷体" w:cs="楷体"/>
          <w:b/>
          <w:kern w:val="1"/>
          <w:sz w:val="24"/>
          <w:highlight w:val="none"/>
          <w:lang w:eastAsia="zh-CN"/>
        </w:rPr>
        <w:t>、</w:t>
      </w:r>
      <w:r>
        <w:rPr>
          <w:rFonts w:hint="eastAsia" w:ascii="楷体" w:hAnsi="楷体" w:eastAsia="楷体" w:cs="楷体"/>
          <w:b/>
          <w:kern w:val="1"/>
          <w:sz w:val="24"/>
          <w:highlight w:val="none"/>
        </w:rPr>
        <w:t>其它证明材料</w:t>
      </w:r>
    </w:p>
    <w:p w14:paraId="6F0427D0">
      <w:pPr>
        <w:numPr>
          <w:ilvl w:val="0"/>
          <w:numId w:val="6"/>
        </w:numPr>
        <w:spacing w:line="360" w:lineRule="auto"/>
        <w:ind w:left="482" w:hanging="482"/>
        <w:jc w:val="left"/>
        <w:rPr>
          <w:rFonts w:hint="eastAsia" w:ascii="楷体" w:hAnsi="楷体" w:eastAsia="楷体" w:cs="楷体"/>
          <w:b/>
          <w:kern w:val="1"/>
          <w:sz w:val="24"/>
          <w:highlight w:val="none"/>
        </w:rPr>
      </w:pPr>
      <w:bookmarkStart w:id="184" w:name="_Toc1051_WPSOffice_Level1"/>
      <w:bookmarkStart w:id="185" w:name="_Toc30391_WPSOffice_Level1"/>
      <w:r>
        <w:rPr>
          <w:rFonts w:hint="eastAsia" w:ascii="楷体" w:hAnsi="楷体" w:eastAsia="楷体" w:cs="楷体"/>
          <w:b/>
          <w:kern w:val="1"/>
          <w:sz w:val="24"/>
          <w:highlight w:val="none"/>
        </w:rPr>
        <w:t>竟争性磋商文件所要求的其他证明材料；</w:t>
      </w:r>
      <w:bookmarkEnd w:id="184"/>
      <w:bookmarkEnd w:id="185"/>
      <w:bookmarkStart w:id="186" w:name="_Toc857_WPSOffice_Level1"/>
      <w:bookmarkStart w:id="187" w:name="_Toc12131_WPSOffice_Level1"/>
    </w:p>
    <w:p w14:paraId="48277901">
      <w:pPr>
        <w:numPr>
          <w:ilvl w:val="0"/>
          <w:numId w:val="6"/>
        </w:numPr>
        <w:spacing w:line="360" w:lineRule="auto"/>
        <w:ind w:left="482" w:hanging="482"/>
        <w:jc w:val="left"/>
        <w:rPr>
          <w:rFonts w:hint="eastAsia" w:ascii="楷体" w:hAnsi="楷体" w:eastAsia="楷体" w:cs="楷体"/>
          <w:b/>
          <w:kern w:val="1"/>
          <w:sz w:val="24"/>
          <w:highlight w:val="none"/>
        </w:rPr>
      </w:pPr>
      <w:r>
        <w:rPr>
          <w:rFonts w:hint="eastAsia" w:ascii="楷体" w:hAnsi="楷体" w:eastAsia="楷体" w:cs="楷体"/>
          <w:b/>
          <w:kern w:val="1"/>
          <w:sz w:val="24"/>
          <w:highlight w:val="none"/>
        </w:rPr>
        <w:t>供应商简介；</w:t>
      </w:r>
      <w:bookmarkEnd w:id="186"/>
      <w:bookmarkEnd w:id="187"/>
      <w:bookmarkStart w:id="188" w:name="_Toc15350_WPSOffice_Level1"/>
      <w:bookmarkStart w:id="189" w:name="_Toc8261_WPSOffice_Level1"/>
    </w:p>
    <w:p w14:paraId="2F457DC1">
      <w:pPr>
        <w:spacing w:line="360" w:lineRule="auto"/>
        <w:jc w:val="left"/>
        <w:rPr>
          <w:rFonts w:hint="eastAsia" w:ascii="楷体" w:hAnsi="楷体" w:eastAsia="楷体" w:cs="楷体"/>
          <w:b/>
          <w:kern w:val="1"/>
          <w:sz w:val="24"/>
          <w:highlight w:val="none"/>
        </w:rPr>
      </w:pPr>
      <w:r>
        <w:rPr>
          <w:rFonts w:hint="eastAsia" w:ascii="楷体" w:hAnsi="楷体" w:eastAsia="楷体" w:cs="楷体"/>
          <w:b/>
          <w:kern w:val="1"/>
          <w:sz w:val="24"/>
          <w:highlight w:val="none"/>
        </w:rPr>
        <w:t>3、供应商觉得有必要提供的其它证明材料。</w:t>
      </w:r>
      <w:bookmarkEnd w:id="188"/>
      <w:bookmarkEnd w:id="189"/>
    </w:p>
    <w:p w14:paraId="3BF07E41">
      <w:pPr>
        <w:spacing w:line="360" w:lineRule="auto"/>
        <w:rPr>
          <w:rFonts w:hint="eastAsia" w:ascii="楷体" w:hAnsi="楷体" w:eastAsia="楷体" w:cs="楷体"/>
          <w:b/>
          <w:kern w:val="1"/>
          <w:sz w:val="24"/>
          <w:highlight w:val="none"/>
        </w:rPr>
      </w:pPr>
    </w:p>
    <w:p w14:paraId="7A1B3794">
      <w:pPr>
        <w:spacing w:line="360" w:lineRule="auto"/>
        <w:rPr>
          <w:rFonts w:hint="eastAsia" w:ascii="楷体" w:hAnsi="楷体" w:eastAsia="楷体" w:cs="楷体"/>
          <w:b/>
          <w:kern w:val="1"/>
          <w:sz w:val="24"/>
          <w:highlight w:val="none"/>
        </w:rPr>
      </w:pPr>
    </w:p>
    <w:p w14:paraId="09058885">
      <w:pPr>
        <w:pStyle w:val="26"/>
        <w:rPr>
          <w:rFonts w:hint="eastAsia" w:ascii="楷体" w:hAnsi="楷体" w:eastAsia="楷体" w:cs="楷体"/>
          <w:b/>
          <w:kern w:val="1"/>
          <w:sz w:val="24"/>
          <w:highlight w:val="none"/>
        </w:rPr>
      </w:pPr>
    </w:p>
    <w:p w14:paraId="4870A12A">
      <w:pPr>
        <w:pStyle w:val="26"/>
        <w:rPr>
          <w:rFonts w:hint="eastAsia" w:ascii="楷体" w:hAnsi="楷体" w:eastAsia="楷体" w:cs="楷体"/>
          <w:b/>
          <w:kern w:val="1"/>
          <w:sz w:val="24"/>
          <w:highlight w:val="none"/>
        </w:rPr>
      </w:pPr>
    </w:p>
    <w:p w14:paraId="35268C2C">
      <w:pPr>
        <w:pStyle w:val="26"/>
        <w:rPr>
          <w:rFonts w:hint="eastAsia" w:ascii="楷体" w:hAnsi="楷体" w:eastAsia="楷体" w:cs="楷体"/>
          <w:b/>
          <w:kern w:val="1"/>
          <w:sz w:val="24"/>
          <w:highlight w:val="none"/>
        </w:rPr>
      </w:pPr>
    </w:p>
    <w:p w14:paraId="3249438A">
      <w:pPr>
        <w:pStyle w:val="26"/>
        <w:rPr>
          <w:rFonts w:hint="eastAsia" w:ascii="楷体" w:hAnsi="楷体" w:eastAsia="楷体" w:cs="楷体"/>
          <w:b/>
          <w:kern w:val="1"/>
          <w:sz w:val="24"/>
          <w:highlight w:val="none"/>
        </w:rPr>
      </w:pPr>
    </w:p>
    <w:p w14:paraId="25D15E60">
      <w:pPr>
        <w:pStyle w:val="26"/>
        <w:rPr>
          <w:rFonts w:hint="eastAsia" w:ascii="楷体" w:hAnsi="楷体" w:eastAsia="楷体" w:cs="楷体"/>
          <w:b/>
          <w:kern w:val="1"/>
          <w:sz w:val="24"/>
          <w:highlight w:val="none"/>
        </w:rPr>
      </w:pPr>
    </w:p>
    <w:p w14:paraId="7792BC05">
      <w:pPr>
        <w:pStyle w:val="26"/>
        <w:rPr>
          <w:rFonts w:hint="eastAsia" w:ascii="楷体" w:hAnsi="楷体" w:eastAsia="楷体" w:cs="楷体"/>
          <w:b/>
          <w:kern w:val="1"/>
          <w:sz w:val="24"/>
          <w:highlight w:val="none"/>
        </w:rPr>
      </w:pPr>
    </w:p>
    <w:p w14:paraId="6E4ED1E3">
      <w:pPr>
        <w:pStyle w:val="26"/>
        <w:rPr>
          <w:rFonts w:hint="eastAsia" w:ascii="楷体" w:hAnsi="楷体" w:eastAsia="楷体" w:cs="楷体"/>
          <w:b/>
          <w:kern w:val="1"/>
          <w:sz w:val="24"/>
          <w:highlight w:val="none"/>
        </w:rPr>
      </w:pPr>
    </w:p>
    <w:p w14:paraId="7DDB8E97">
      <w:pPr>
        <w:pStyle w:val="26"/>
        <w:rPr>
          <w:rFonts w:hint="eastAsia" w:ascii="楷体" w:hAnsi="楷体" w:eastAsia="楷体" w:cs="楷体"/>
          <w:b/>
          <w:kern w:val="1"/>
          <w:sz w:val="24"/>
          <w:highlight w:val="none"/>
        </w:rPr>
      </w:pPr>
    </w:p>
    <w:p w14:paraId="2F95A671">
      <w:pPr>
        <w:pStyle w:val="26"/>
        <w:rPr>
          <w:rFonts w:hint="eastAsia" w:ascii="楷体" w:hAnsi="楷体" w:eastAsia="楷体" w:cs="楷体"/>
          <w:b/>
          <w:kern w:val="1"/>
          <w:sz w:val="24"/>
          <w:highlight w:val="none"/>
        </w:rPr>
      </w:pPr>
    </w:p>
    <w:p w14:paraId="1E4EAE77">
      <w:pPr>
        <w:pStyle w:val="26"/>
        <w:rPr>
          <w:rFonts w:hint="eastAsia" w:ascii="楷体" w:hAnsi="楷体" w:eastAsia="楷体" w:cs="楷体"/>
          <w:b/>
          <w:kern w:val="1"/>
          <w:sz w:val="24"/>
          <w:highlight w:val="none"/>
        </w:rPr>
      </w:pPr>
    </w:p>
    <w:p w14:paraId="5BDE9564">
      <w:pPr>
        <w:pStyle w:val="26"/>
        <w:rPr>
          <w:rFonts w:hint="eastAsia" w:ascii="楷体" w:hAnsi="楷体" w:eastAsia="楷体" w:cs="楷体"/>
          <w:b/>
          <w:kern w:val="1"/>
          <w:sz w:val="24"/>
          <w:highlight w:val="none"/>
        </w:rPr>
      </w:pPr>
    </w:p>
    <w:p w14:paraId="1A733C45">
      <w:pPr>
        <w:pStyle w:val="26"/>
        <w:rPr>
          <w:rFonts w:hint="eastAsia" w:ascii="楷体" w:hAnsi="楷体" w:eastAsia="楷体" w:cs="楷体"/>
          <w:b/>
          <w:kern w:val="1"/>
          <w:sz w:val="24"/>
          <w:highlight w:val="none"/>
        </w:rPr>
      </w:pPr>
    </w:p>
    <w:p w14:paraId="00067F49">
      <w:pPr>
        <w:pStyle w:val="26"/>
        <w:rPr>
          <w:rFonts w:hint="eastAsia" w:ascii="楷体" w:hAnsi="楷体" w:eastAsia="楷体" w:cs="楷体"/>
          <w:b/>
          <w:kern w:val="1"/>
          <w:sz w:val="24"/>
          <w:highlight w:val="none"/>
        </w:rPr>
      </w:pPr>
    </w:p>
    <w:p w14:paraId="2C3533E3">
      <w:pPr>
        <w:pStyle w:val="26"/>
        <w:rPr>
          <w:rFonts w:hint="eastAsia" w:ascii="楷体" w:hAnsi="楷体" w:eastAsia="楷体" w:cs="楷体"/>
          <w:b/>
          <w:kern w:val="1"/>
          <w:sz w:val="24"/>
          <w:highlight w:val="none"/>
        </w:rPr>
      </w:pPr>
    </w:p>
    <w:p w14:paraId="420A5EC3">
      <w:pPr>
        <w:pStyle w:val="26"/>
        <w:rPr>
          <w:rFonts w:hint="eastAsia" w:ascii="楷体" w:hAnsi="楷体" w:eastAsia="楷体" w:cs="楷体"/>
          <w:b/>
          <w:kern w:val="1"/>
          <w:sz w:val="24"/>
          <w:highlight w:val="none"/>
        </w:rPr>
      </w:pPr>
    </w:p>
    <w:p w14:paraId="49C23C20">
      <w:pPr>
        <w:pStyle w:val="26"/>
        <w:rPr>
          <w:rFonts w:hint="eastAsia" w:ascii="楷体" w:hAnsi="楷体" w:eastAsia="楷体" w:cs="楷体"/>
          <w:b/>
          <w:kern w:val="1"/>
          <w:sz w:val="24"/>
          <w:highlight w:val="none"/>
        </w:rPr>
      </w:pPr>
    </w:p>
    <w:p w14:paraId="4C2BC861">
      <w:pPr>
        <w:pStyle w:val="26"/>
        <w:rPr>
          <w:rFonts w:hint="eastAsia" w:ascii="楷体" w:hAnsi="楷体" w:eastAsia="楷体" w:cs="楷体"/>
          <w:b/>
          <w:kern w:val="1"/>
          <w:sz w:val="24"/>
          <w:highlight w:val="none"/>
        </w:rPr>
      </w:pPr>
    </w:p>
    <w:p w14:paraId="4DCED05C">
      <w:pPr>
        <w:pStyle w:val="26"/>
        <w:rPr>
          <w:rFonts w:hint="eastAsia" w:ascii="楷体" w:hAnsi="楷体" w:eastAsia="楷体" w:cs="楷体"/>
          <w:b/>
          <w:kern w:val="1"/>
          <w:sz w:val="24"/>
          <w:highlight w:val="none"/>
        </w:rPr>
      </w:pPr>
    </w:p>
    <w:p w14:paraId="7A7E5D33">
      <w:pPr>
        <w:pStyle w:val="26"/>
        <w:rPr>
          <w:rFonts w:hint="eastAsia" w:ascii="楷体" w:hAnsi="楷体" w:eastAsia="楷体" w:cs="楷体"/>
          <w:b/>
          <w:kern w:val="1"/>
          <w:sz w:val="24"/>
          <w:highlight w:val="none"/>
        </w:rPr>
      </w:pPr>
    </w:p>
    <w:p w14:paraId="782A9018">
      <w:pPr>
        <w:spacing w:line="360" w:lineRule="auto"/>
        <w:rPr>
          <w:rFonts w:hint="eastAsia" w:ascii="楷体" w:hAnsi="楷体" w:eastAsia="楷体" w:cs="楷体"/>
          <w:b/>
          <w:bCs/>
          <w:sz w:val="24"/>
          <w:szCs w:val="24"/>
          <w:highlight w:val="none"/>
        </w:rPr>
      </w:pPr>
      <w:r>
        <w:rPr>
          <w:rFonts w:hint="eastAsia" w:ascii="楷体" w:hAnsi="楷体" w:eastAsia="楷体" w:cs="楷体"/>
          <w:b/>
          <w:kern w:val="1"/>
          <w:sz w:val="24"/>
          <w:highlight w:val="none"/>
        </w:rPr>
        <w:t>格式</w:t>
      </w:r>
      <w:r>
        <w:rPr>
          <w:rFonts w:hint="eastAsia" w:ascii="楷体" w:hAnsi="楷体" w:eastAsia="楷体" w:cs="楷体"/>
          <w:b/>
          <w:kern w:val="1"/>
          <w:sz w:val="24"/>
          <w:highlight w:val="none"/>
          <w:lang w:val="en-US" w:eastAsia="zh-CN"/>
        </w:rPr>
        <w:t>十</w:t>
      </w:r>
      <w:r>
        <w:rPr>
          <w:rFonts w:hint="eastAsia" w:ascii="楷体" w:hAnsi="楷体" w:eastAsia="楷体" w:cs="楷体"/>
          <w:b/>
          <w:kern w:val="1"/>
          <w:sz w:val="24"/>
          <w:highlight w:val="none"/>
        </w:rPr>
        <w:t>、</w:t>
      </w:r>
      <w:r>
        <w:rPr>
          <w:rFonts w:hint="eastAsia" w:ascii="楷体" w:hAnsi="楷体" w:eastAsia="楷体" w:cs="楷体"/>
          <w:b/>
          <w:bCs/>
          <w:spacing w:val="12"/>
          <w:sz w:val="24"/>
          <w:szCs w:val="24"/>
          <w:highlight w:val="none"/>
        </w:rPr>
        <w:t>落实的政府采购政策要</w:t>
      </w:r>
      <w:r>
        <w:rPr>
          <w:rFonts w:hint="eastAsia" w:ascii="楷体" w:hAnsi="楷体" w:eastAsia="楷体" w:cs="楷体"/>
          <w:b/>
          <w:bCs/>
          <w:spacing w:val="10"/>
          <w:sz w:val="24"/>
          <w:szCs w:val="24"/>
          <w:highlight w:val="none"/>
        </w:rPr>
        <w:t>求</w:t>
      </w:r>
    </w:p>
    <w:p w14:paraId="27E371E2">
      <w:pPr>
        <w:spacing w:line="360" w:lineRule="auto"/>
        <w:ind w:firstLine="520" w:firstLineChars="200"/>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供应商应为中型、小型、微型企业或监狱企业或残疾人福利性单位</w:t>
      </w:r>
      <w:r>
        <w:rPr>
          <w:rFonts w:hint="eastAsia" w:ascii="楷体" w:hAnsi="楷体" w:eastAsia="楷体" w:cs="楷体"/>
          <w:spacing w:val="3"/>
          <w:sz w:val="24"/>
          <w:szCs w:val="24"/>
          <w:highlight w:val="none"/>
        </w:rPr>
        <w:t>。</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供应商为中型、小型、微型企业的，提供《中小企业声明函》，且中型</w:t>
      </w:r>
      <w:r>
        <w:rPr>
          <w:rFonts w:hint="eastAsia" w:ascii="楷体" w:hAnsi="楷体" w:eastAsia="楷体" w:cs="楷体"/>
          <w:spacing w:val="3"/>
          <w:sz w:val="24"/>
          <w:szCs w:val="24"/>
          <w:highlight w:val="none"/>
        </w:rPr>
        <w:t>、</w:t>
      </w:r>
      <w:r>
        <w:rPr>
          <w:rFonts w:hint="eastAsia" w:ascii="楷体" w:hAnsi="楷体" w:eastAsia="楷体" w:cs="楷体"/>
          <w:sz w:val="24"/>
          <w:szCs w:val="24"/>
          <w:highlight w:val="none"/>
        </w:rPr>
        <w:t xml:space="preserve"> </w:t>
      </w:r>
      <w:r>
        <w:rPr>
          <w:rFonts w:hint="eastAsia" w:ascii="楷体" w:hAnsi="楷体" w:eastAsia="楷体" w:cs="楷体"/>
          <w:spacing w:val="3"/>
          <w:sz w:val="24"/>
          <w:szCs w:val="24"/>
          <w:highlight w:val="none"/>
        </w:rPr>
        <w:t>小型、微型企业的划分标准所属行业为</w:t>
      </w:r>
      <w:r>
        <w:rPr>
          <w:rFonts w:hint="eastAsia" w:ascii="楷体" w:hAnsi="楷体" w:eastAsia="楷体" w:cs="楷体"/>
          <w:b/>
          <w:sz w:val="24"/>
          <w:szCs w:val="24"/>
          <w:highlight w:val="none"/>
          <w:u w:val="single"/>
          <w:lang w:eastAsia="zh-CN"/>
        </w:rPr>
        <w:t>软件和信息技术服务业</w:t>
      </w:r>
      <w:r>
        <w:rPr>
          <w:rFonts w:hint="eastAsia" w:ascii="楷体" w:hAnsi="楷体" w:eastAsia="楷体" w:cs="楷体"/>
          <w:spacing w:val="3"/>
          <w:sz w:val="24"/>
          <w:szCs w:val="24"/>
          <w:highlight w:val="none"/>
        </w:rPr>
        <w:t>；供应商为监</w:t>
      </w:r>
      <w:r>
        <w:rPr>
          <w:rFonts w:hint="eastAsia" w:ascii="楷体" w:hAnsi="楷体" w:eastAsia="楷体" w:cs="楷体"/>
          <w:spacing w:val="2"/>
          <w:sz w:val="24"/>
          <w:szCs w:val="24"/>
          <w:highlight w:val="none"/>
        </w:rPr>
        <w:t>狱</w:t>
      </w:r>
      <w:r>
        <w:rPr>
          <w:rFonts w:hint="eastAsia" w:ascii="楷体" w:hAnsi="楷体" w:eastAsia="楷体" w:cs="楷体"/>
          <w:sz w:val="24"/>
          <w:szCs w:val="24"/>
          <w:highlight w:val="none"/>
        </w:rPr>
        <w:t>企</w:t>
      </w:r>
      <w:r>
        <w:rPr>
          <w:rFonts w:hint="eastAsia" w:ascii="楷体" w:hAnsi="楷体" w:eastAsia="楷体" w:cs="楷体"/>
          <w:spacing w:val="4"/>
          <w:sz w:val="24"/>
          <w:szCs w:val="24"/>
          <w:highlight w:val="none"/>
        </w:rPr>
        <w:t>业的，应提供监狱企业的证</w:t>
      </w:r>
      <w:r>
        <w:rPr>
          <w:rFonts w:hint="eastAsia" w:ascii="楷体" w:hAnsi="楷体" w:eastAsia="楷体" w:cs="楷体"/>
          <w:spacing w:val="3"/>
          <w:sz w:val="24"/>
          <w:szCs w:val="24"/>
          <w:highlight w:val="none"/>
        </w:rPr>
        <w:t>明</w:t>
      </w:r>
      <w:r>
        <w:rPr>
          <w:rFonts w:hint="eastAsia" w:ascii="楷体" w:hAnsi="楷体" w:eastAsia="楷体" w:cs="楷体"/>
          <w:spacing w:val="2"/>
          <w:sz w:val="24"/>
          <w:szCs w:val="24"/>
          <w:highlight w:val="none"/>
        </w:rPr>
        <w:t>文件；供应商为残疾人福利性单位的，应提</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供《残疾人福利性单位声明</w:t>
      </w:r>
      <w:r>
        <w:rPr>
          <w:rFonts w:hint="eastAsia" w:ascii="楷体" w:hAnsi="楷体" w:eastAsia="楷体" w:cs="楷体"/>
          <w:spacing w:val="-2"/>
          <w:sz w:val="24"/>
          <w:szCs w:val="24"/>
          <w:highlight w:val="none"/>
        </w:rPr>
        <w:t>函》 (监狱企业或残疾人福利性单位视同小型、</w:t>
      </w:r>
      <w:r>
        <w:rPr>
          <w:rFonts w:hint="eastAsia" w:ascii="楷体" w:hAnsi="楷体" w:eastAsia="楷体" w:cs="楷体"/>
          <w:sz w:val="24"/>
          <w:szCs w:val="24"/>
          <w:highlight w:val="none"/>
        </w:rPr>
        <w:t xml:space="preserve"> 微型企业) 。</w:t>
      </w:r>
    </w:p>
    <w:p w14:paraId="139B693D">
      <w:pPr>
        <w:spacing w:line="360" w:lineRule="auto"/>
        <w:ind w:firstLine="520" w:firstLineChars="200"/>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特别提醒：成交供应商</w:t>
      </w:r>
      <w:r>
        <w:rPr>
          <w:rFonts w:hint="eastAsia" w:ascii="楷体" w:hAnsi="楷体" w:eastAsia="楷体" w:cs="楷体"/>
          <w:spacing w:val="2"/>
          <w:sz w:val="24"/>
          <w:szCs w:val="24"/>
          <w:highlight w:val="none"/>
        </w:rPr>
        <w:t>的《中小企业声明函》、《残疾人福利性单位</w:t>
      </w:r>
      <w:r>
        <w:rPr>
          <w:rFonts w:hint="eastAsia" w:ascii="楷体" w:hAnsi="楷体" w:eastAsia="楷体" w:cs="楷体"/>
          <w:spacing w:val="-12"/>
          <w:sz w:val="24"/>
          <w:szCs w:val="24"/>
          <w:highlight w:val="none"/>
        </w:rPr>
        <w:t>声明函</w:t>
      </w:r>
      <w:r>
        <w:rPr>
          <w:rFonts w:hint="eastAsia" w:ascii="楷体" w:hAnsi="楷体" w:eastAsia="楷体" w:cs="楷体"/>
          <w:spacing w:val="-11"/>
          <w:sz w:val="24"/>
          <w:szCs w:val="24"/>
          <w:highlight w:val="none"/>
        </w:rPr>
        <w:t>》</w:t>
      </w:r>
      <w:r>
        <w:rPr>
          <w:rFonts w:hint="eastAsia" w:ascii="楷体" w:hAnsi="楷体" w:eastAsia="楷体" w:cs="楷体"/>
          <w:spacing w:val="-6"/>
          <w:sz w:val="24"/>
          <w:szCs w:val="24"/>
          <w:highlight w:val="none"/>
        </w:rPr>
        <w:t>或监狱企业证明文件将随成交结果公告一 同公布，接受社会监督。</w:t>
      </w:r>
    </w:p>
    <w:p w14:paraId="6BF1C0BA">
      <w:pPr>
        <w:spacing w:line="360" w:lineRule="auto"/>
        <w:ind w:firstLine="512" w:firstLineChars="200"/>
        <w:rPr>
          <w:rFonts w:hint="eastAsia" w:ascii="楷体" w:hAnsi="楷体" w:eastAsia="楷体" w:cs="楷体"/>
          <w:sz w:val="24"/>
          <w:szCs w:val="24"/>
          <w:highlight w:val="none"/>
        </w:rPr>
      </w:pPr>
      <w:r>
        <w:rPr>
          <w:rFonts w:hint="eastAsia" w:ascii="楷体" w:hAnsi="楷体" w:eastAsia="楷体" w:cs="楷体"/>
          <w:spacing w:val="2"/>
          <w:sz w:val="24"/>
          <w:szCs w:val="24"/>
          <w:highlight w:val="none"/>
        </w:rPr>
        <w:t>( 一</w:t>
      </w:r>
      <w:r>
        <w:rPr>
          <w:rFonts w:hint="eastAsia" w:ascii="楷体" w:hAnsi="楷体" w:eastAsia="楷体" w:cs="楷体"/>
          <w:spacing w:val="1"/>
          <w:sz w:val="24"/>
          <w:szCs w:val="24"/>
          <w:highlight w:val="none"/>
        </w:rPr>
        <w:t>) 关于中小企业判定</w:t>
      </w:r>
    </w:p>
    <w:p w14:paraId="664429FE">
      <w:pPr>
        <w:spacing w:line="360" w:lineRule="auto"/>
        <w:ind w:firstLine="592" w:firstLineChars="200"/>
        <w:jc w:val="left"/>
        <w:rPr>
          <w:rFonts w:hint="eastAsia" w:ascii="楷体" w:hAnsi="楷体" w:eastAsia="楷体" w:cs="楷体"/>
          <w:b/>
          <w:bCs/>
          <w:spacing w:val="-12"/>
          <w:sz w:val="24"/>
          <w:szCs w:val="24"/>
          <w:highlight w:val="none"/>
          <w:u w:val="single"/>
        </w:rPr>
      </w:pPr>
      <w:r>
        <w:rPr>
          <w:rFonts w:hint="eastAsia" w:ascii="楷体" w:hAnsi="楷体" w:eastAsia="楷体" w:cs="楷体"/>
          <w:spacing w:val="22"/>
          <w:sz w:val="24"/>
          <w:szCs w:val="24"/>
          <w:highlight w:val="none"/>
        </w:rPr>
        <w:t>本</w:t>
      </w:r>
      <w:r>
        <w:rPr>
          <w:rFonts w:hint="eastAsia" w:ascii="楷体" w:hAnsi="楷体" w:eastAsia="楷体" w:cs="楷体"/>
          <w:spacing w:val="12"/>
          <w:sz w:val="24"/>
          <w:szCs w:val="24"/>
          <w:highlight w:val="none"/>
        </w:rPr>
        <w:t>项目采购标的对应的中小企业划分标准所属行业为</w:t>
      </w:r>
      <w:r>
        <w:rPr>
          <w:rFonts w:hint="eastAsia" w:ascii="楷体" w:hAnsi="楷体" w:eastAsia="楷体" w:cs="楷体"/>
          <w:b/>
          <w:bCs/>
          <w:spacing w:val="12"/>
          <w:sz w:val="24"/>
          <w:szCs w:val="24"/>
          <w:highlight w:val="none"/>
          <w:u w:val="single"/>
          <w:lang w:eastAsia="zh-CN"/>
        </w:rPr>
        <w:t>软件和信息技术服务业</w:t>
      </w:r>
      <w:r>
        <w:rPr>
          <w:rFonts w:hint="eastAsia" w:ascii="楷体" w:hAnsi="楷体" w:eastAsia="楷体" w:cs="楷体"/>
          <w:b/>
          <w:bCs/>
          <w:spacing w:val="-12"/>
          <w:sz w:val="24"/>
          <w:szCs w:val="24"/>
          <w:highlight w:val="none"/>
          <w:u w:val="single"/>
        </w:rPr>
        <w:t>。</w:t>
      </w:r>
    </w:p>
    <w:p w14:paraId="17FDC8D5">
      <w:pPr>
        <w:spacing w:line="360" w:lineRule="auto"/>
        <w:ind w:firstLine="520" w:firstLineChars="200"/>
        <w:jc w:val="left"/>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各投标供应商可根据企</w:t>
      </w:r>
      <w:r>
        <w:rPr>
          <w:rFonts w:hint="eastAsia" w:ascii="楷体" w:hAnsi="楷体" w:eastAsia="楷体" w:cs="楷体"/>
          <w:spacing w:val="3"/>
          <w:sz w:val="24"/>
          <w:szCs w:val="24"/>
          <w:highlight w:val="none"/>
        </w:rPr>
        <w:t>业</w:t>
      </w:r>
      <w:r>
        <w:rPr>
          <w:rFonts w:hint="eastAsia" w:ascii="楷体" w:hAnsi="楷体" w:eastAsia="楷体" w:cs="楷体"/>
          <w:spacing w:val="2"/>
          <w:sz w:val="24"/>
          <w:szCs w:val="24"/>
          <w:highlight w:val="none"/>
        </w:rPr>
        <w:t>从业人员、营业收入、资产总额等指标，按</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照磋商文件约定的采购标的</w:t>
      </w:r>
      <w:r>
        <w:rPr>
          <w:rFonts w:hint="eastAsia" w:ascii="楷体" w:hAnsi="楷体" w:eastAsia="楷体" w:cs="楷体"/>
          <w:spacing w:val="2"/>
          <w:sz w:val="24"/>
          <w:szCs w:val="24"/>
          <w:highlight w:val="none"/>
        </w:rPr>
        <w:t>对应的中小企业划分标准所属行业和《中小企</w:t>
      </w:r>
      <w:r>
        <w:rPr>
          <w:rFonts w:hint="eastAsia" w:ascii="楷体" w:hAnsi="楷体" w:eastAsia="楷体" w:cs="楷体"/>
          <w:spacing w:val="-2"/>
          <w:sz w:val="24"/>
          <w:szCs w:val="24"/>
          <w:highlight w:val="none"/>
        </w:rPr>
        <w:t>业划型标准规定》(工信</w:t>
      </w:r>
      <w:r>
        <w:rPr>
          <w:rFonts w:hint="eastAsia" w:ascii="楷体" w:hAnsi="楷体" w:eastAsia="楷体" w:cs="楷体"/>
          <w:spacing w:val="-1"/>
          <w:sz w:val="24"/>
          <w:szCs w:val="24"/>
          <w:highlight w:val="none"/>
        </w:rPr>
        <w:t>部联企业〔2011〕300 号) 进行自测，判断属于</w:t>
      </w:r>
      <w:r>
        <w:rPr>
          <w:rFonts w:hint="eastAsia" w:ascii="楷体" w:hAnsi="楷体" w:eastAsia="楷体" w:cs="楷体"/>
          <w:spacing w:val="-1"/>
          <w:sz w:val="24"/>
          <w:szCs w:val="24"/>
          <w:highlight w:val="none"/>
          <w:lang w:eastAsia="zh-CN"/>
        </w:rPr>
        <w:t>中型、</w:t>
      </w:r>
      <w:r>
        <w:rPr>
          <w:rFonts w:hint="eastAsia" w:ascii="楷体" w:hAnsi="楷体" w:eastAsia="楷体" w:cs="楷体"/>
          <w:spacing w:val="4"/>
          <w:sz w:val="24"/>
          <w:szCs w:val="24"/>
          <w:highlight w:val="none"/>
        </w:rPr>
        <w:t>小型还是微型企业。</w:t>
      </w:r>
    </w:p>
    <w:p w14:paraId="3C431861">
      <w:pPr>
        <w:rPr>
          <w:rFonts w:hint="eastAsia" w:ascii="楷体" w:hAnsi="楷体" w:eastAsia="楷体" w:cs="楷体"/>
          <w:sz w:val="24"/>
          <w:szCs w:val="24"/>
          <w:highlight w:val="none"/>
        </w:rPr>
        <w:sectPr>
          <w:footerReference r:id="rId8" w:type="default"/>
          <w:type w:val="continuous"/>
          <w:pgSz w:w="11906" w:h="16838"/>
          <w:pgMar w:top="1417" w:right="1417" w:bottom="1417" w:left="1417" w:header="850" w:footer="992" w:gutter="0"/>
          <w:pgNumType w:fmt="decimal"/>
          <w:cols w:space="0" w:num="1"/>
          <w:rtlGutter w:val="0"/>
          <w:docGrid w:type="linesAndChars" w:linePitch="394" w:charSpace="2589"/>
        </w:sectPr>
      </w:pPr>
    </w:p>
    <w:p w14:paraId="1CADEF80">
      <w:pPr>
        <w:keepNext w:val="0"/>
        <w:keepLines w:val="0"/>
        <w:pageBreakBefore w:val="0"/>
        <w:widowControl/>
        <w:kinsoku/>
        <w:wordWrap/>
        <w:overflowPunct/>
        <w:topLinePunct w:val="0"/>
        <w:autoSpaceDE/>
        <w:autoSpaceDN/>
        <w:bidi w:val="0"/>
        <w:adjustRightInd/>
        <w:snapToGrid/>
        <w:spacing w:line="360" w:lineRule="auto"/>
        <w:ind w:left="0" w:right="0"/>
        <w:jc w:val="center"/>
        <w:textAlignment w:val="auto"/>
        <w:rPr>
          <w:rFonts w:hint="eastAsia" w:ascii="楷体" w:hAnsi="楷体" w:eastAsia="楷体" w:cs="楷体"/>
          <w:spacing w:val="-4"/>
          <w:sz w:val="32"/>
          <w:szCs w:val="32"/>
          <w:highlight w:val="none"/>
        </w:rPr>
      </w:pPr>
    </w:p>
    <w:p w14:paraId="6462B2B7">
      <w:pPr>
        <w:keepNext w:val="0"/>
        <w:keepLines w:val="0"/>
        <w:pageBreakBefore w:val="0"/>
        <w:widowControl/>
        <w:kinsoku/>
        <w:wordWrap/>
        <w:overflowPunct/>
        <w:topLinePunct w:val="0"/>
        <w:autoSpaceDE/>
        <w:autoSpaceDN/>
        <w:bidi w:val="0"/>
        <w:adjustRightInd/>
        <w:snapToGrid/>
        <w:spacing w:line="360" w:lineRule="auto"/>
        <w:ind w:left="0" w:right="0"/>
        <w:jc w:val="center"/>
        <w:textAlignment w:val="auto"/>
        <w:rPr>
          <w:rFonts w:hint="eastAsia" w:ascii="楷体" w:hAnsi="楷体" w:eastAsia="楷体" w:cs="楷体"/>
          <w:spacing w:val="-4"/>
          <w:sz w:val="32"/>
          <w:szCs w:val="32"/>
          <w:highlight w:val="none"/>
          <w:lang w:eastAsia="zh-CN"/>
        </w:rPr>
      </w:pPr>
      <w:r>
        <w:rPr>
          <w:rFonts w:hint="eastAsia" w:ascii="楷体" w:hAnsi="楷体" w:eastAsia="楷体" w:cs="楷体"/>
          <w:spacing w:val="-4"/>
          <w:sz w:val="32"/>
          <w:szCs w:val="32"/>
          <w:highlight w:val="none"/>
        </w:rPr>
        <w:t>中小企业声明函</w:t>
      </w:r>
      <w:r>
        <w:rPr>
          <w:rFonts w:hint="eastAsia" w:ascii="楷体" w:hAnsi="楷体" w:eastAsia="楷体" w:cs="楷体"/>
          <w:spacing w:val="-4"/>
          <w:sz w:val="32"/>
          <w:szCs w:val="32"/>
          <w:highlight w:val="none"/>
          <w:lang w:eastAsia="zh-CN"/>
        </w:rPr>
        <w:t>（服务类格式）</w:t>
      </w:r>
    </w:p>
    <w:p w14:paraId="45AC153C">
      <w:pPr>
        <w:keepNext w:val="0"/>
        <w:keepLines w:val="0"/>
        <w:pageBreakBefore w:val="0"/>
        <w:widowControl/>
        <w:kinsoku/>
        <w:wordWrap/>
        <w:overflowPunct/>
        <w:topLinePunct w:val="0"/>
        <w:autoSpaceDE/>
        <w:autoSpaceDN/>
        <w:bidi w:val="0"/>
        <w:adjustRightInd/>
        <w:snapToGrid/>
        <w:spacing w:line="360" w:lineRule="auto"/>
        <w:ind w:left="0" w:right="0" w:firstLine="565"/>
        <w:jc w:val="both"/>
        <w:textAlignment w:val="auto"/>
        <w:rPr>
          <w:rFonts w:hint="eastAsia" w:ascii="楷体" w:hAnsi="楷体" w:eastAsia="楷体" w:cs="楷体"/>
          <w:sz w:val="24"/>
          <w:szCs w:val="24"/>
          <w:highlight w:val="none"/>
        </w:rPr>
      </w:pPr>
      <w:r>
        <w:rPr>
          <w:rFonts w:hint="eastAsia" w:ascii="楷体" w:hAnsi="楷体" w:eastAsia="楷体" w:cs="楷体"/>
          <w:spacing w:val="-2"/>
          <w:sz w:val="24"/>
          <w:szCs w:val="24"/>
          <w:highlight w:val="none"/>
        </w:rPr>
        <w:t xml:space="preserve">本公司郑重声明，根据《政府采购促进中小企业发展管理办法》 </w:t>
      </w:r>
      <w:r>
        <w:rPr>
          <w:rFonts w:hint="eastAsia" w:ascii="楷体" w:hAnsi="楷体" w:eastAsia="楷体" w:cs="楷体"/>
          <w:spacing w:val="-1"/>
          <w:sz w:val="24"/>
          <w:szCs w:val="24"/>
          <w:highlight w:val="none"/>
        </w:rPr>
        <w:t xml:space="preserve"> </w:t>
      </w:r>
      <w:r>
        <w:rPr>
          <w:rFonts w:hint="eastAsia" w:ascii="楷体" w:hAnsi="楷体" w:eastAsia="楷体" w:cs="楷体"/>
          <w:sz w:val="24"/>
          <w:szCs w:val="24"/>
          <w:highlight w:val="none"/>
        </w:rPr>
        <w:t xml:space="preserve">(财 </w:t>
      </w:r>
      <w:r>
        <w:rPr>
          <w:rFonts w:hint="eastAsia" w:ascii="楷体" w:hAnsi="楷体" w:eastAsia="楷体" w:cs="楷体"/>
          <w:spacing w:val="-15"/>
          <w:sz w:val="24"/>
          <w:szCs w:val="24"/>
          <w:highlight w:val="none"/>
        </w:rPr>
        <w:t>库 ﹝2020﹞ 46 号) 的规定，本公司参加陕西中海建招标有限责任公司组</w:t>
      </w:r>
      <w:r>
        <w:rPr>
          <w:rFonts w:hint="eastAsia" w:ascii="楷体" w:hAnsi="楷体" w:eastAsia="楷体" w:cs="楷体"/>
          <w:spacing w:val="-14"/>
          <w:sz w:val="24"/>
          <w:szCs w:val="24"/>
          <w:highlight w:val="none"/>
        </w:rPr>
        <w:t>织</w:t>
      </w:r>
      <w:r>
        <w:rPr>
          <w:rFonts w:hint="eastAsia" w:ascii="楷体" w:hAnsi="楷体" w:eastAsia="楷体" w:cs="楷体"/>
          <w:spacing w:val="4"/>
          <w:sz w:val="24"/>
          <w:szCs w:val="24"/>
          <w:highlight w:val="none"/>
        </w:rPr>
        <w:t>的</w:t>
      </w:r>
      <w:r>
        <w:rPr>
          <w:rFonts w:hint="eastAsia" w:ascii="楷体" w:hAnsi="楷体" w:eastAsia="楷体" w:cs="楷体"/>
          <w:spacing w:val="4"/>
          <w:sz w:val="24"/>
          <w:szCs w:val="24"/>
          <w:highlight w:val="none"/>
          <w:u w:val="single"/>
        </w:rPr>
        <w:t xml:space="preserve"> (项目名称)</w:t>
      </w:r>
      <w:r>
        <w:rPr>
          <w:rFonts w:hint="eastAsia" w:ascii="楷体" w:hAnsi="楷体" w:eastAsia="楷体" w:cs="楷体"/>
          <w:spacing w:val="2"/>
          <w:sz w:val="24"/>
          <w:szCs w:val="24"/>
          <w:highlight w:val="none"/>
          <w:u w:val="single"/>
        </w:rPr>
        <w:t xml:space="preserve"> </w:t>
      </w:r>
      <w:r>
        <w:rPr>
          <w:rFonts w:hint="eastAsia" w:ascii="楷体" w:hAnsi="楷体" w:eastAsia="楷体" w:cs="楷体"/>
          <w:spacing w:val="2"/>
          <w:sz w:val="24"/>
          <w:szCs w:val="24"/>
          <w:highlight w:val="none"/>
        </w:rPr>
        <w:t>采购活动，服务全部由符合政策要求的中小企业承接。相</w:t>
      </w:r>
      <w:r>
        <w:rPr>
          <w:rFonts w:hint="eastAsia" w:ascii="楷体" w:hAnsi="楷体" w:eastAsia="楷体" w:cs="楷体"/>
          <w:spacing w:val="1"/>
          <w:sz w:val="24"/>
          <w:szCs w:val="24"/>
          <w:highlight w:val="none"/>
        </w:rPr>
        <w:t>关企业的具体情况如</w:t>
      </w:r>
      <w:r>
        <w:rPr>
          <w:rFonts w:hint="eastAsia" w:ascii="楷体" w:hAnsi="楷体" w:eastAsia="楷体" w:cs="楷体"/>
          <w:sz w:val="24"/>
          <w:szCs w:val="24"/>
          <w:highlight w:val="none"/>
        </w:rPr>
        <w:t>下：</w:t>
      </w:r>
    </w:p>
    <w:p w14:paraId="07409533">
      <w:pPr>
        <w:keepNext w:val="0"/>
        <w:keepLines w:val="0"/>
        <w:pageBreakBefore w:val="0"/>
        <w:widowControl/>
        <w:tabs>
          <w:tab w:val="left" w:pos="725"/>
        </w:tabs>
        <w:kinsoku/>
        <w:wordWrap/>
        <w:overflowPunct/>
        <w:topLinePunct w:val="0"/>
        <w:autoSpaceDE/>
        <w:autoSpaceDN/>
        <w:bidi w:val="0"/>
        <w:adjustRightInd/>
        <w:snapToGrid/>
        <w:spacing w:line="360" w:lineRule="auto"/>
        <w:ind w:left="0" w:right="0" w:firstLine="550"/>
        <w:jc w:val="both"/>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u w:val="single"/>
        </w:rPr>
        <w:tab/>
      </w:r>
      <w:r>
        <w:rPr>
          <w:rFonts w:hint="eastAsia" w:ascii="楷体" w:hAnsi="楷体" w:eastAsia="楷体" w:cs="楷体"/>
          <w:spacing w:val="-2"/>
          <w:sz w:val="24"/>
          <w:szCs w:val="24"/>
          <w:highlight w:val="none"/>
          <w:u w:val="single"/>
        </w:rPr>
        <w:t xml:space="preserve">(项目名称) </w:t>
      </w:r>
      <w:r>
        <w:rPr>
          <w:rFonts w:hint="eastAsia" w:ascii="楷体" w:hAnsi="楷体" w:eastAsia="楷体" w:cs="楷体"/>
          <w:spacing w:val="-2"/>
          <w:sz w:val="24"/>
          <w:szCs w:val="24"/>
          <w:highlight w:val="none"/>
        </w:rPr>
        <w:t>，属于</w:t>
      </w:r>
      <w:r>
        <w:rPr>
          <w:rFonts w:hint="eastAsia" w:ascii="楷体" w:hAnsi="楷体" w:eastAsia="楷体" w:cs="楷体"/>
          <w:spacing w:val="-2"/>
          <w:sz w:val="24"/>
          <w:szCs w:val="24"/>
          <w:highlight w:val="none"/>
          <w:u w:val="single"/>
        </w:rPr>
        <w:t xml:space="preserve">          </w:t>
      </w:r>
      <w:r>
        <w:rPr>
          <w:rFonts w:hint="eastAsia" w:ascii="楷体" w:hAnsi="楷体" w:eastAsia="楷体" w:cs="楷体"/>
          <w:spacing w:val="-1"/>
          <w:sz w:val="24"/>
          <w:szCs w:val="24"/>
          <w:highlight w:val="none"/>
        </w:rPr>
        <w:t>(磋商文件中明确的所属行业) ；承接</w:t>
      </w:r>
      <w:r>
        <w:rPr>
          <w:rFonts w:hint="eastAsia" w:ascii="楷体" w:hAnsi="楷体" w:eastAsia="楷体" w:cs="楷体"/>
          <w:spacing w:val="4"/>
          <w:sz w:val="24"/>
          <w:szCs w:val="24"/>
          <w:highlight w:val="none"/>
        </w:rPr>
        <w:t>企业为</w:t>
      </w:r>
      <w:r>
        <w:rPr>
          <w:rFonts w:hint="eastAsia" w:ascii="楷体" w:hAnsi="楷体" w:eastAsia="楷体" w:cs="楷体"/>
          <w:spacing w:val="4"/>
          <w:sz w:val="24"/>
          <w:szCs w:val="24"/>
          <w:highlight w:val="none"/>
          <w:u w:val="single"/>
        </w:rPr>
        <w:t xml:space="preserve"> (</w:t>
      </w:r>
      <w:r>
        <w:rPr>
          <w:rFonts w:hint="eastAsia" w:ascii="楷体" w:hAnsi="楷体" w:eastAsia="楷体" w:cs="楷体"/>
          <w:spacing w:val="3"/>
          <w:sz w:val="24"/>
          <w:szCs w:val="24"/>
          <w:highlight w:val="none"/>
          <w:u w:val="single"/>
        </w:rPr>
        <w:t>企</w:t>
      </w:r>
      <w:r>
        <w:rPr>
          <w:rFonts w:hint="eastAsia" w:ascii="楷体" w:hAnsi="楷体" w:eastAsia="楷体" w:cs="楷体"/>
          <w:spacing w:val="2"/>
          <w:sz w:val="24"/>
          <w:szCs w:val="24"/>
          <w:highlight w:val="none"/>
          <w:u w:val="single"/>
        </w:rPr>
        <w:t xml:space="preserve">业名称) </w:t>
      </w:r>
      <w:r>
        <w:rPr>
          <w:rFonts w:hint="eastAsia" w:ascii="楷体" w:hAnsi="楷体" w:eastAsia="楷体" w:cs="楷体"/>
          <w:spacing w:val="2"/>
          <w:sz w:val="24"/>
          <w:szCs w:val="24"/>
          <w:highlight w:val="none"/>
        </w:rPr>
        <w:t>，从业人员</w:t>
      </w:r>
      <w:r>
        <w:rPr>
          <w:rFonts w:hint="eastAsia" w:ascii="楷体" w:hAnsi="楷体" w:eastAsia="楷体" w:cs="楷体"/>
          <w:spacing w:val="2"/>
          <w:sz w:val="24"/>
          <w:szCs w:val="24"/>
          <w:highlight w:val="none"/>
          <w:u w:val="single"/>
        </w:rPr>
        <w:t xml:space="preserve">     </w:t>
      </w:r>
      <w:r>
        <w:rPr>
          <w:rFonts w:hint="eastAsia" w:ascii="楷体" w:hAnsi="楷体" w:eastAsia="楷体" w:cs="楷体"/>
          <w:spacing w:val="2"/>
          <w:sz w:val="24"/>
          <w:szCs w:val="24"/>
          <w:highlight w:val="none"/>
        </w:rPr>
        <w:t>人，营业收入为</w:t>
      </w:r>
      <w:r>
        <w:rPr>
          <w:rFonts w:hint="eastAsia" w:ascii="楷体" w:hAnsi="楷体" w:eastAsia="楷体" w:cs="楷体"/>
          <w:spacing w:val="2"/>
          <w:sz w:val="24"/>
          <w:szCs w:val="24"/>
          <w:highlight w:val="none"/>
          <w:u w:val="single"/>
        </w:rPr>
        <w:t xml:space="preserve">     </w:t>
      </w:r>
      <w:r>
        <w:rPr>
          <w:rFonts w:hint="eastAsia" w:ascii="楷体" w:hAnsi="楷体" w:eastAsia="楷体" w:cs="楷体"/>
          <w:spacing w:val="2"/>
          <w:sz w:val="24"/>
          <w:szCs w:val="24"/>
          <w:highlight w:val="none"/>
        </w:rPr>
        <w:t>万元，资产总</w:t>
      </w:r>
      <w:r>
        <w:rPr>
          <w:rFonts w:hint="eastAsia" w:ascii="楷体" w:hAnsi="楷体" w:eastAsia="楷体" w:cs="楷体"/>
          <w:sz w:val="24"/>
          <w:szCs w:val="24"/>
          <w:highlight w:val="none"/>
        </w:rPr>
        <w:t xml:space="preserve"> </w:t>
      </w:r>
      <w:r>
        <w:rPr>
          <w:rFonts w:hint="eastAsia" w:ascii="楷体" w:hAnsi="楷体" w:eastAsia="楷体" w:cs="楷体"/>
          <w:spacing w:val="6"/>
          <w:sz w:val="24"/>
          <w:szCs w:val="24"/>
          <w:highlight w:val="none"/>
        </w:rPr>
        <w:t>额为</w:t>
      </w:r>
      <w:r>
        <w:rPr>
          <w:rFonts w:hint="eastAsia" w:ascii="楷体" w:hAnsi="楷体" w:eastAsia="楷体" w:cs="楷体"/>
          <w:spacing w:val="4"/>
          <w:sz w:val="24"/>
          <w:szCs w:val="24"/>
          <w:highlight w:val="none"/>
          <w:u w:val="single"/>
        </w:rPr>
        <w:t xml:space="preserve"> </w:t>
      </w:r>
      <w:r>
        <w:rPr>
          <w:rFonts w:hint="eastAsia" w:ascii="楷体" w:hAnsi="楷体" w:eastAsia="楷体" w:cs="楷体"/>
          <w:spacing w:val="3"/>
          <w:sz w:val="24"/>
          <w:szCs w:val="24"/>
          <w:highlight w:val="none"/>
          <w:u w:val="single"/>
        </w:rPr>
        <w:t xml:space="preserve">    </w:t>
      </w:r>
      <w:r>
        <w:rPr>
          <w:rFonts w:hint="eastAsia" w:ascii="楷体" w:hAnsi="楷体" w:eastAsia="楷体" w:cs="楷体"/>
          <w:spacing w:val="3"/>
          <w:sz w:val="24"/>
          <w:szCs w:val="24"/>
          <w:highlight w:val="none"/>
        </w:rPr>
        <w:t>万元，属于</w:t>
      </w:r>
      <w:r>
        <w:rPr>
          <w:rFonts w:hint="eastAsia" w:ascii="楷体" w:hAnsi="楷体" w:eastAsia="楷体" w:cs="楷体"/>
          <w:spacing w:val="3"/>
          <w:sz w:val="24"/>
          <w:szCs w:val="24"/>
          <w:highlight w:val="none"/>
          <w:u w:val="single"/>
        </w:rPr>
        <w:t xml:space="preserve">      </w:t>
      </w:r>
      <w:r>
        <w:rPr>
          <w:rFonts w:hint="eastAsia" w:ascii="楷体" w:hAnsi="楷体" w:eastAsia="楷体" w:cs="楷体"/>
          <w:spacing w:val="3"/>
          <w:sz w:val="24"/>
          <w:szCs w:val="24"/>
          <w:highlight w:val="none"/>
        </w:rPr>
        <w:t>(中型企业、小型企业、微型企业) 。</w:t>
      </w:r>
    </w:p>
    <w:p w14:paraId="33219D8E">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楷体" w:hAnsi="楷体" w:eastAsia="楷体" w:cs="楷体"/>
          <w:sz w:val="24"/>
          <w:szCs w:val="24"/>
          <w:highlight w:val="none"/>
        </w:rPr>
      </w:pPr>
      <w:r>
        <w:rPr>
          <w:rFonts w:hint="eastAsia" w:ascii="楷体" w:hAnsi="楷体" w:eastAsia="楷体" w:cs="楷体"/>
          <w:spacing w:val="2"/>
          <w:sz w:val="24"/>
          <w:szCs w:val="24"/>
          <w:highlight w:val="none"/>
        </w:rPr>
        <w:t>以上企业，不属于大企业的分支机构，不存在控股股</w:t>
      </w:r>
      <w:r>
        <w:rPr>
          <w:rFonts w:hint="eastAsia" w:ascii="楷体" w:hAnsi="楷体" w:eastAsia="楷体" w:cs="楷体"/>
          <w:spacing w:val="1"/>
          <w:sz w:val="24"/>
          <w:szCs w:val="24"/>
          <w:highlight w:val="none"/>
        </w:rPr>
        <w:t>东为大企业的情</w:t>
      </w:r>
    </w:p>
    <w:p w14:paraId="44522181">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形，也</w:t>
      </w:r>
      <w:r>
        <w:rPr>
          <w:rFonts w:hint="eastAsia" w:ascii="楷体" w:hAnsi="楷体" w:eastAsia="楷体" w:cs="楷体"/>
          <w:spacing w:val="3"/>
          <w:sz w:val="24"/>
          <w:szCs w:val="24"/>
          <w:highlight w:val="none"/>
        </w:rPr>
        <w:t>不</w:t>
      </w:r>
      <w:r>
        <w:rPr>
          <w:rFonts w:hint="eastAsia" w:ascii="楷体" w:hAnsi="楷体" w:eastAsia="楷体" w:cs="楷体"/>
          <w:spacing w:val="2"/>
          <w:sz w:val="24"/>
          <w:szCs w:val="24"/>
          <w:highlight w:val="none"/>
        </w:rPr>
        <w:t>存在与大企业的负责人为同一人的情形。</w:t>
      </w:r>
    </w:p>
    <w:p w14:paraId="6B8D3AF3">
      <w:pPr>
        <w:keepNext w:val="0"/>
        <w:keepLines w:val="0"/>
        <w:pageBreakBefore w:val="0"/>
        <w:widowControl/>
        <w:kinsoku/>
        <w:wordWrap/>
        <w:overflowPunct/>
        <w:topLinePunct w:val="0"/>
        <w:autoSpaceDE/>
        <w:autoSpaceDN/>
        <w:bidi w:val="0"/>
        <w:adjustRightInd/>
        <w:snapToGrid/>
        <w:spacing w:line="360" w:lineRule="auto"/>
        <w:ind w:left="0" w:right="0" w:firstLine="569"/>
        <w:jc w:val="both"/>
        <w:textAlignment w:val="auto"/>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本企业对上述声明内容</w:t>
      </w:r>
      <w:r>
        <w:rPr>
          <w:rFonts w:hint="eastAsia" w:ascii="楷体" w:hAnsi="楷体" w:eastAsia="楷体" w:cs="楷体"/>
          <w:spacing w:val="3"/>
          <w:sz w:val="24"/>
          <w:szCs w:val="24"/>
          <w:highlight w:val="none"/>
        </w:rPr>
        <w:t>的</w:t>
      </w:r>
      <w:r>
        <w:rPr>
          <w:rFonts w:hint="eastAsia" w:ascii="楷体" w:hAnsi="楷体" w:eastAsia="楷体" w:cs="楷体"/>
          <w:spacing w:val="2"/>
          <w:sz w:val="24"/>
          <w:szCs w:val="24"/>
          <w:highlight w:val="none"/>
        </w:rPr>
        <w:t>真实性负责。如有虚假，将依法承担相应责</w:t>
      </w:r>
      <w:r>
        <w:rPr>
          <w:rFonts w:hint="eastAsia" w:ascii="楷体" w:hAnsi="楷体" w:eastAsia="楷体" w:cs="楷体"/>
          <w:spacing w:val="-10"/>
          <w:sz w:val="24"/>
          <w:szCs w:val="24"/>
          <w:highlight w:val="none"/>
        </w:rPr>
        <w:t>任</w:t>
      </w:r>
      <w:r>
        <w:rPr>
          <w:rFonts w:hint="eastAsia" w:ascii="楷体" w:hAnsi="楷体" w:eastAsia="楷体" w:cs="楷体"/>
          <w:spacing w:val="-8"/>
          <w:sz w:val="24"/>
          <w:szCs w:val="24"/>
          <w:highlight w:val="none"/>
        </w:rPr>
        <w:t>。</w:t>
      </w:r>
    </w:p>
    <w:p w14:paraId="047C3C99">
      <w:pPr>
        <w:keepNext w:val="0"/>
        <w:keepLines w:val="0"/>
        <w:pageBreakBefore w:val="0"/>
        <w:widowControl/>
        <w:kinsoku/>
        <w:wordWrap/>
        <w:overflowPunct/>
        <w:topLinePunct w:val="0"/>
        <w:autoSpaceDE/>
        <w:autoSpaceDN/>
        <w:bidi w:val="0"/>
        <w:adjustRightInd/>
        <w:snapToGrid/>
        <w:spacing w:line="360" w:lineRule="auto"/>
        <w:ind w:left="0" w:right="0"/>
        <w:jc w:val="both"/>
        <w:textAlignment w:val="auto"/>
        <w:rPr>
          <w:rFonts w:hint="eastAsia" w:ascii="楷体" w:hAnsi="楷体" w:eastAsia="楷体" w:cs="楷体"/>
          <w:sz w:val="24"/>
          <w:szCs w:val="24"/>
          <w:highlight w:val="none"/>
        </w:rPr>
      </w:pPr>
    </w:p>
    <w:p w14:paraId="377166F8">
      <w:pPr>
        <w:keepNext w:val="0"/>
        <w:keepLines w:val="0"/>
        <w:pageBreakBefore w:val="0"/>
        <w:widowControl/>
        <w:kinsoku/>
        <w:wordWrap/>
        <w:overflowPunct/>
        <w:topLinePunct w:val="0"/>
        <w:autoSpaceDE/>
        <w:autoSpaceDN/>
        <w:bidi w:val="0"/>
        <w:adjustRightInd/>
        <w:snapToGrid/>
        <w:spacing w:line="360" w:lineRule="auto"/>
        <w:ind w:left="0" w:right="0" w:firstLine="4826" w:firstLineChars="1900"/>
        <w:jc w:val="both"/>
        <w:textAlignment w:val="auto"/>
        <w:rPr>
          <w:rFonts w:hint="eastAsia" w:ascii="楷体" w:hAnsi="楷体" w:eastAsia="楷体" w:cs="楷体"/>
          <w:sz w:val="24"/>
          <w:szCs w:val="24"/>
          <w:highlight w:val="none"/>
        </w:rPr>
      </w:pPr>
      <w:r>
        <w:rPr>
          <w:rFonts w:hint="eastAsia" w:ascii="楷体" w:hAnsi="楷体" w:eastAsia="楷体" w:cs="楷体"/>
          <w:spacing w:val="1"/>
          <w:sz w:val="24"/>
          <w:szCs w:val="24"/>
          <w:highlight w:val="none"/>
        </w:rPr>
        <w:t>供应商：</w:t>
      </w:r>
      <w:r>
        <w:rPr>
          <w:rFonts w:hint="eastAsia" w:ascii="楷体" w:hAnsi="楷体" w:eastAsia="楷体" w:cs="楷体"/>
          <w:spacing w:val="1"/>
          <w:sz w:val="24"/>
          <w:szCs w:val="24"/>
          <w:highlight w:val="none"/>
          <w:u w:val="single"/>
        </w:rPr>
        <w:t>名称</w:t>
      </w:r>
      <w:r>
        <w:rPr>
          <w:rFonts w:hint="eastAsia" w:ascii="楷体" w:hAnsi="楷体" w:eastAsia="楷体" w:cs="楷体"/>
          <w:spacing w:val="1"/>
          <w:sz w:val="24"/>
          <w:szCs w:val="24"/>
          <w:highlight w:val="none"/>
        </w:rPr>
        <w:t xml:space="preserve"> (加盖公章)</w:t>
      </w:r>
    </w:p>
    <w:p w14:paraId="02426CF6">
      <w:pPr>
        <w:keepNext w:val="0"/>
        <w:keepLines w:val="0"/>
        <w:pageBreakBefore w:val="0"/>
        <w:widowControl/>
        <w:kinsoku/>
        <w:wordWrap/>
        <w:overflowPunct/>
        <w:topLinePunct w:val="0"/>
        <w:autoSpaceDE/>
        <w:autoSpaceDN/>
        <w:bidi w:val="0"/>
        <w:adjustRightInd/>
        <w:snapToGrid/>
        <w:spacing w:line="360" w:lineRule="auto"/>
        <w:ind w:left="0" w:right="0" w:firstLine="5060" w:firstLineChars="2200"/>
        <w:jc w:val="both"/>
        <w:textAlignment w:val="auto"/>
        <w:rPr>
          <w:rFonts w:hint="eastAsia" w:ascii="楷体" w:hAnsi="楷体" w:eastAsia="楷体" w:cs="楷体"/>
          <w:sz w:val="24"/>
          <w:szCs w:val="24"/>
          <w:highlight w:val="none"/>
        </w:rPr>
      </w:pPr>
      <w:r>
        <w:rPr>
          <w:rFonts w:hint="eastAsia" w:ascii="楷体" w:hAnsi="楷体" w:eastAsia="楷体" w:cs="楷体"/>
          <w:spacing w:val="-11"/>
          <w:sz w:val="24"/>
          <w:szCs w:val="24"/>
          <w:highlight w:val="none"/>
        </w:rPr>
        <w:t>日</w:t>
      </w:r>
      <w:r>
        <w:rPr>
          <w:rFonts w:hint="eastAsia" w:ascii="楷体" w:hAnsi="楷体" w:eastAsia="楷体" w:cs="楷体"/>
          <w:spacing w:val="-7"/>
          <w:sz w:val="24"/>
          <w:szCs w:val="24"/>
          <w:highlight w:val="none"/>
        </w:rPr>
        <w:t>期：     年  月  日</w:t>
      </w:r>
    </w:p>
    <w:p w14:paraId="67CD18F7">
      <w:pPr>
        <w:spacing w:line="287" w:lineRule="auto"/>
        <w:rPr>
          <w:rFonts w:hint="eastAsia" w:ascii="楷体" w:hAnsi="楷体" w:eastAsia="楷体" w:cs="楷体"/>
          <w:sz w:val="24"/>
          <w:szCs w:val="24"/>
          <w:highlight w:val="none"/>
        </w:rPr>
      </w:pPr>
    </w:p>
    <w:p w14:paraId="394D7FB5">
      <w:pPr>
        <w:spacing w:line="287" w:lineRule="auto"/>
        <w:rPr>
          <w:rFonts w:hint="eastAsia" w:ascii="楷体" w:hAnsi="楷体" w:eastAsia="楷体" w:cs="楷体"/>
          <w:sz w:val="24"/>
          <w:szCs w:val="24"/>
          <w:highlight w:val="none"/>
        </w:rPr>
      </w:pPr>
    </w:p>
    <w:p w14:paraId="3DDEAB53">
      <w:pPr>
        <w:keepNext w:val="0"/>
        <w:keepLines w:val="0"/>
        <w:pageBreakBefore w:val="0"/>
        <w:widowControl/>
        <w:kinsoku/>
        <w:wordWrap/>
        <w:overflowPunct/>
        <w:topLinePunct w:val="0"/>
        <w:autoSpaceDE/>
        <w:autoSpaceDN/>
        <w:bidi w:val="0"/>
        <w:adjustRightInd/>
        <w:snapToGrid/>
        <w:spacing w:line="240" w:lineRule="auto"/>
        <w:ind w:left="0" w:right="0" w:firstLine="431"/>
        <w:textAlignment w:val="auto"/>
        <w:rPr>
          <w:rFonts w:hint="eastAsia" w:ascii="楷体" w:hAnsi="楷体" w:eastAsia="楷体" w:cs="楷体"/>
          <w:spacing w:val="10"/>
          <w:sz w:val="22"/>
          <w:szCs w:val="22"/>
          <w:highlight w:val="none"/>
        </w:rPr>
      </w:pPr>
      <w:r>
        <w:rPr>
          <w:rFonts w:hint="eastAsia" w:ascii="楷体" w:hAnsi="楷体" w:eastAsia="楷体" w:cs="楷体"/>
          <w:spacing w:val="17"/>
          <w:sz w:val="22"/>
          <w:szCs w:val="22"/>
          <w:highlight w:val="none"/>
        </w:rPr>
        <w:t>备</w:t>
      </w:r>
      <w:r>
        <w:rPr>
          <w:rFonts w:hint="eastAsia" w:ascii="楷体" w:hAnsi="楷体" w:eastAsia="楷体" w:cs="楷体"/>
          <w:spacing w:val="10"/>
          <w:sz w:val="22"/>
          <w:szCs w:val="22"/>
          <w:highlight w:val="none"/>
        </w:rPr>
        <w:t xml:space="preserve">注： </w:t>
      </w:r>
    </w:p>
    <w:p w14:paraId="26589B9D">
      <w:pPr>
        <w:keepNext w:val="0"/>
        <w:keepLines w:val="0"/>
        <w:pageBreakBefore w:val="0"/>
        <w:widowControl/>
        <w:kinsoku/>
        <w:wordWrap/>
        <w:overflowPunct/>
        <w:topLinePunct w:val="0"/>
        <w:autoSpaceDE/>
        <w:autoSpaceDN/>
        <w:bidi w:val="0"/>
        <w:adjustRightInd/>
        <w:snapToGrid/>
        <w:spacing w:line="240" w:lineRule="auto"/>
        <w:ind w:left="0" w:right="0" w:firstLine="431"/>
        <w:textAlignment w:val="auto"/>
        <w:rPr>
          <w:rFonts w:hint="eastAsia" w:ascii="楷体" w:hAnsi="楷体" w:eastAsia="楷体" w:cs="楷体"/>
          <w:sz w:val="22"/>
          <w:szCs w:val="22"/>
          <w:highlight w:val="none"/>
        </w:rPr>
      </w:pPr>
      <w:r>
        <w:rPr>
          <w:rFonts w:hint="eastAsia" w:ascii="楷体" w:hAnsi="楷体" w:eastAsia="楷体" w:cs="楷体"/>
          <w:spacing w:val="10"/>
          <w:sz w:val="22"/>
          <w:szCs w:val="22"/>
          <w:highlight w:val="none"/>
        </w:rPr>
        <w:t>1、填写前请认真阅读《工业和信息化部、国家统计局、国家发展和改革委员会、财政</w:t>
      </w:r>
      <w:r>
        <w:rPr>
          <w:rFonts w:hint="eastAsia" w:ascii="楷体" w:hAnsi="楷体" w:eastAsia="楷体" w:cs="楷体"/>
          <w:sz w:val="22"/>
          <w:szCs w:val="22"/>
          <w:highlight w:val="none"/>
        </w:rPr>
        <w:t xml:space="preserve"> </w:t>
      </w:r>
      <w:r>
        <w:rPr>
          <w:rFonts w:hint="eastAsia" w:ascii="楷体" w:hAnsi="楷体" w:eastAsia="楷体" w:cs="楷体"/>
          <w:spacing w:val="8"/>
          <w:sz w:val="22"/>
          <w:szCs w:val="22"/>
          <w:highlight w:val="none"/>
        </w:rPr>
        <w:t>部</w:t>
      </w:r>
      <w:r>
        <w:rPr>
          <w:rFonts w:hint="eastAsia" w:ascii="楷体" w:hAnsi="楷体" w:eastAsia="楷体" w:cs="楷体"/>
          <w:spacing w:val="7"/>
          <w:sz w:val="22"/>
          <w:szCs w:val="22"/>
          <w:highlight w:val="none"/>
        </w:rPr>
        <w:t>关于印发中小企业划型标准规定的通知》  (工信部联企业[2011]300 号) 和财政部、工业和信息</w:t>
      </w:r>
      <w:r>
        <w:rPr>
          <w:rFonts w:hint="eastAsia" w:ascii="楷体" w:hAnsi="楷体" w:eastAsia="楷体" w:cs="楷体"/>
          <w:sz w:val="22"/>
          <w:szCs w:val="22"/>
          <w:highlight w:val="none"/>
        </w:rPr>
        <w:t xml:space="preserve"> </w:t>
      </w:r>
      <w:r>
        <w:rPr>
          <w:rFonts w:hint="eastAsia" w:ascii="楷体" w:hAnsi="楷体" w:eastAsia="楷体" w:cs="楷体"/>
          <w:spacing w:val="14"/>
          <w:sz w:val="22"/>
          <w:szCs w:val="22"/>
          <w:highlight w:val="none"/>
        </w:rPr>
        <w:t>化部关于印</w:t>
      </w:r>
      <w:r>
        <w:rPr>
          <w:rFonts w:hint="eastAsia" w:ascii="楷体" w:hAnsi="楷体" w:eastAsia="楷体" w:cs="楷体"/>
          <w:spacing w:val="7"/>
          <w:sz w:val="22"/>
          <w:szCs w:val="22"/>
          <w:highlight w:val="none"/>
        </w:rPr>
        <w:t>发《政府采购促进中小企业发展管理办法》 的通知(财库[2020]46 号)相关规定。</w:t>
      </w:r>
    </w:p>
    <w:p w14:paraId="0D6A2471">
      <w:pPr>
        <w:keepNext w:val="0"/>
        <w:keepLines w:val="0"/>
        <w:pageBreakBefore w:val="0"/>
        <w:widowControl/>
        <w:kinsoku/>
        <w:wordWrap/>
        <w:overflowPunct/>
        <w:topLinePunct w:val="0"/>
        <w:autoSpaceDE/>
        <w:autoSpaceDN/>
        <w:bidi w:val="0"/>
        <w:adjustRightInd/>
        <w:snapToGrid/>
        <w:spacing w:line="240" w:lineRule="auto"/>
        <w:ind w:left="0" w:right="0" w:firstLine="433"/>
        <w:textAlignment w:val="auto"/>
        <w:rPr>
          <w:rFonts w:hint="eastAsia" w:ascii="楷体" w:hAnsi="楷体" w:eastAsia="楷体" w:cs="楷体"/>
          <w:sz w:val="22"/>
          <w:szCs w:val="22"/>
          <w:highlight w:val="none"/>
        </w:rPr>
      </w:pPr>
      <w:r>
        <w:rPr>
          <w:rFonts w:hint="eastAsia" w:ascii="楷体" w:hAnsi="楷体" w:eastAsia="楷体" w:cs="楷体"/>
          <w:spacing w:val="13"/>
          <w:sz w:val="22"/>
          <w:szCs w:val="22"/>
          <w:highlight w:val="none"/>
        </w:rPr>
        <w:t>2、从业人员、营业收入、资产总额填报上一年度数据，无上一年度数据的新成立企业可不</w:t>
      </w:r>
      <w:r>
        <w:rPr>
          <w:rFonts w:hint="eastAsia" w:ascii="楷体" w:hAnsi="楷体" w:eastAsia="楷体" w:cs="楷体"/>
          <w:spacing w:val="7"/>
          <w:sz w:val="22"/>
          <w:szCs w:val="22"/>
          <w:highlight w:val="none"/>
        </w:rPr>
        <w:t>填</w:t>
      </w:r>
      <w:r>
        <w:rPr>
          <w:rFonts w:hint="eastAsia" w:ascii="楷体" w:hAnsi="楷体" w:eastAsia="楷体" w:cs="楷体"/>
          <w:spacing w:val="1"/>
          <w:sz w:val="22"/>
          <w:szCs w:val="22"/>
          <w:highlight w:val="none"/>
        </w:rPr>
        <w:t>报。</w:t>
      </w:r>
    </w:p>
    <w:p w14:paraId="10DE9866">
      <w:pPr>
        <w:spacing w:before="91" w:line="360" w:lineRule="auto"/>
        <w:ind w:left="2996"/>
        <w:rPr>
          <w:rFonts w:hint="eastAsia" w:ascii="楷体" w:hAnsi="楷体" w:eastAsia="楷体" w:cs="楷体"/>
          <w:spacing w:val="2"/>
          <w:sz w:val="24"/>
          <w:szCs w:val="24"/>
          <w:highlight w:val="none"/>
        </w:rPr>
      </w:pPr>
    </w:p>
    <w:p w14:paraId="503DE858">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楷体" w:hAnsi="楷体" w:eastAsia="楷体" w:cs="楷体"/>
          <w:spacing w:val="2"/>
          <w:sz w:val="24"/>
          <w:szCs w:val="24"/>
          <w:highlight w:val="none"/>
        </w:rPr>
      </w:pPr>
    </w:p>
    <w:p w14:paraId="5FD7F9F2">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楷体" w:hAnsi="楷体" w:eastAsia="楷体" w:cs="楷体"/>
          <w:spacing w:val="2"/>
          <w:sz w:val="32"/>
          <w:szCs w:val="32"/>
          <w:highlight w:val="none"/>
        </w:rPr>
      </w:pPr>
    </w:p>
    <w:p w14:paraId="2DE743B8">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楷体" w:hAnsi="楷体" w:eastAsia="楷体" w:cs="楷体"/>
          <w:sz w:val="32"/>
          <w:szCs w:val="32"/>
          <w:highlight w:val="none"/>
        </w:rPr>
      </w:pPr>
      <w:r>
        <w:rPr>
          <w:rFonts w:hint="eastAsia" w:ascii="楷体" w:hAnsi="楷体" w:eastAsia="楷体" w:cs="楷体"/>
          <w:spacing w:val="2"/>
          <w:sz w:val="32"/>
          <w:szCs w:val="32"/>
          <w:highlight w:val="none"/>
        </w:rPr>
        <w:t>关于监狱企业的证明文</w:t>
      </w:r>
      <w:r>
        <w:rPr>
          <w:rFonts w:hint="eastAsia" w:ascii="楷体" w:hAnsi="楷体" w:eastAsia="楷体" w:cs="楷体"/>
          <w:sz w:val="32"/>
          <w:szCs w:val="32"/>
          <w:highlight w:val="none"/>
        </w:rPr>
        <w:t>件</w:t>
      </w:r>
    </w:p>
    <w:p w14:paraId="71691265">
      <w:pPr>
        <w:keepNext w:val="0"/>
        <w:keepLines w:val="0"/>
        <w:pageBreakBefore w:val="0"/>
        <w:widowControl/>
        <w:kinsoku/>
        <w:wordWrap/>
        <w:overflowPunct/>
        <w:topLinePunct w:val="0"/>
        <w:autoSpaceDE/>
        <w:autoSpaceDN/>
        <w:bidi w:val="0"/>
        <w:adjustRightInd/>
        <w:snapToGrid/>
        <w:spacing w:line="240" w:lineRule="auto"/>
        <w:ind w:left="0" w:right="0" w:firstLine="570"/>
        <w:textAlignment w:val="auto"/>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根据财政部、司法部《</w:t>
      </w:r>
      <w:r>
        <w:rPr>
          <w:rFonts w:hint="eastAsia" w:ascii="楷体" w:hAnsi="楷体" w:eastAsia="楷体" w:cs="楷体"/>
          <w:spacing w:val="3"/>
          <w:sz w:val="24"/>
          <w:szCs w:val="24"/>
          <w:highlight w:val="none"/>
        </w:rPr>
        <w:t>关</w:t>
      </w:r>
      <w:r>
        <w:rPr>
          <w:rFonts w:hint="eastAsia" w:ascii="楷体" w:hAnsi="楷体" w:eastAsia="楷体" w:cs="楷体"/>
          <w:spacing w:val="2"/>
          <w:sz w:val="24"/>
          <w:szCs w:val="24"/>
          <w:highlight w:val="none"/>
        </w:rPr>
        <w:t>于政府采购支持监狱企业发展有关问题的通</w:t>
      </w:r>
      <w:r>
        <w:rPr>
          <w:rFonts w:hint="eastAsia" w:ascii="楷体" w:hAnsi="楷体" w:eastAsia="楷体" w:cs="楷体"/>
          <w:spacing w:val="-6"/>
          <w:sz w:val="24"/>
          <w:szCs w:val="24"/>
          <w:highlight w:val="none"/>
        </w:rPr>
        <w:t>知》 (财库〔2014〕68 号) 的规定，监狱企业是指由司法部认定的为罪犯</w:t>
      </w:r>
      <w:r>
        <w:rPr>
          <w:rFonts w:hint="eastAsia" w:ascii="楷体" w:hAnsi="楷体" w:eastAsia="楷体" w:cs="楷体"/>
          <w:spacing w:val="-4"/>
          <w:sz w:val="24"/>
          <w:szCs w:val="24"/>
          <w:highlight w:val="none"/>
        </w:rPr>
        <w:t>、</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戒毒人员提供生产项目和劳动对象，且全部产权属于司法部监狱管理局</w:t>
      </w:r>
      <w:r>
        <w:rPr>
          <w:rFonts w:hint="eastAsia" w:ascii="楷体" w:hAnsi="楷体" w:eastAsia="楷体" w:cs="楷体"/>
          <w:spacing w:val="3"/>
          <w:sz w:val="24"/>
          <w:szCs w:val="24"/>
          <w:highlight w:val="none"/>
        </w:rPr>
        <w:t>、</w:t>
      </w:r>
      <w:r>
        <w:rPr>
          <w:rFonts w:hint="eastAsia" w:ascii="楷体" w:hAnsi="楷体" w:eastAsia="楷体" w:cs="楷体"/>
          <w:sz w:val="24"/>
          <w:szCs w:val="24"/>
          <w:highlight w:val="none"/>
        </w:rPr>
        <w:t xml:space="preserve"> </w:t>
      </w:r>
      <w:r>
        <w:rPr>
          <w:rFonts w:hint="eastAsia" w:ascii="楷体" w:hAnsi="楷体" w:eastAsia="楷体" w:cs="楷体"/>
          <w:spacing w:val="-2"/>
          <w:sz w:val="24"/>
          <w:szCs w:val="24"/>
          <w:highlight w:val="none"/>
        </w:rPr>
        <w:t xml:space="preserve">戒毒管理局、直属煤矿管理局，各省、 </w:t>
      </w:r>
      <w:r>
        <w:rPr>
          <w:rFonts w:hint="eastAsia" w:ascii="楷体" w:hAnsi="楷体" w:eastAsia="楷体" w:cs="楷体"/>
          <w:spacing w:val="-1"/>
          <w:sz w:val="24"/>
          <w:szCs w:val="24"/>
          <w:highlight w:val="none"/>
        </w:rPr>
        <w:t>自治区、直辖市监狱管理局、戒毒</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管理局，各地 (设区</w:t>
      </w:r>
      <w:r>
        <w:rPr>
          <w:rFonts w:hint="eastAsia" w:ascii="楷体" w:hAnsi="楷体" w:eastAsia="楷体" w:cs="楷体"/>
          <w:spacing w:val="3"/>
          <w:sz w:val="24"/>
          <w:szCs w:val="24"/>
          <w:highlight w:val="none"/>
        </w:rPr>
        <w:t>的</w:t>
      </w:r>
      <w:r>
        <w:rPr>
          <w:rFonts w:hint="eastAsia" w:ascii="楷体" w:hAnsi="楷体" w:eastAsia="楷体" w:cs="楷体"/>
          <w:spacing w:val="2"/>
          <w:sz w:val="24"/>
          <w:szCs w:val="24"/>
          <w:highlight w:val="none"/>
        </w:rPr>
        <w:t>市) 监狱、强制隔离戒毒所、戒毒康复所，以及新</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疆生产</w:t>
      </w:r>
      <w:r>
        <w:rPr>
          <w:rFonts w:hint="eastAsia" w:ascii="楷体" w:hAnsi="楷体" w:eastAsia="楷体" w:cs="楷体"/>
          <w:spacing w:val="3"/>
          <w:sz w:val="24"/>
          <w:szCs w:val="24"/>
          <w:highlight w:val="none"/>
        </w:rPr>
        <w:t>建</w:t>
      </w:r>
      <w:r>
        <w:rPr>
          <w:rFonts w:hint="eastAsia" w:ascii="楷体" w:hAnsi="楷体" w:eastAsia="楷体" w:cs="楷体"/>
          <w:spacing w:val="2"/>
          <w:sz w:val="24"/>
          <w:szCs w:val="24"/>
          <w:highlight w:val="none"/>
        </w:rPr>
        <w:t>设兵团监狱管理局、戒毒管理局的企业。</w:t>
      </w:r>
    </w:p>
    <w:p w14:paraId="48602B4F">
      <w:pPr>
        <w:keepNext w:val="0"/>
        <w:keepLines w:val="0"/>
        <w:pageBreakBefore w:val="0"/>
        <w:widowControl/>
        <w:kinsoku/>
        <w:wordWrap/>
        <w:overflowPunct/>
        <w:topLinePunct w:val="0"/>
        <w:autoSpaceDE/>
        <w:autoSpaceDN/>
        <w:bidi w:val="0"/>
        <w:adjustRightInd/>
        <w:snapToGrid/>
        <w:spacing w:line="240" w:lineRule="auto"/>
        <w:ind w:left="0" w:right="0" w:firstLine="573"/>
        <w:textAlignment w:val="auto"/>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监狱企业参加政</w:t>
      </w:r>
      <w:r>
        <w:rPr>
          <w:rFonts w:hint="eastAsia" w:ascii="楷体" w:hAnsi="楷体" w:eastAsia="楷体" w:cs="楷体"/>
          <w:spacing w:val="2"/>
          <w:sz w:val="24"/>
          <w:szCs w:val="24"/>
          <w:highlight w:val="none"/>
        </w:rPr>
        <w:t>府采购活动时，应当提供由省级以上监狱管理局、戒</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 xml:space="preserve">毒管理局 </w:t>
      </w:r>
      <w:r>
        <w:rPr>
          <w:rFonts w:hint="eastAsia" w:ascii="楷体" w:hAnsi="楷体" w:eastAsia="楷体" w:cs="楷体"/>
          <w:spacing w:val="3"/>
          <w:sz w:val="24"/>
          <w:szCs w:val="24"/>
          <w:highlight w:val="none"/>
        </w:rPr>
        <w:t>(</w:t>
      </w:r>
      <w:r>
        <w:rPr>
          <w:rFonts w:hint="eastAsia" w:ascii="楷体" w:hAnsi="楷体" w:eastAsia="楷体" w:cs="楷体"/>
          <w:spacing w:val="2"/>
          <w:sz w:val="24"/>
          <w:szCs w:val="24"/>
          <w:highlight w:val="none"/>
        </w:rPr>
        <w:t>含新疆生产建设兵团) 出具的属于监狱企业的证明文件。</w:t>
      </w:r>
    </w:p>
    <w:p w14:paraId="639C0808">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4"/>
          <w:szCs w:val="24"/>
          <w:highlight w:val="none"/>
        </w:rPr>
        <w:sectPr>
          <w:footerReference r:id="rId9" w:type="default"/>
          <w:pgSz w:w="11906" w:h="16838"/>
          <w:pgMar w:top="1417" w:right="1417" w:bottom="1417" w:left="1417" w:header="850" w:footer="992" w:gutter="0"/>
          <w:pgNumType w:fmt="decimal"/>
          <w:cols w:space="0" w:num="1"/>
          <w:rtlGutter w:val="0"/>
          <w:docGrid w:type="linesAndChars" w:linePitch="394" w:charSpace="2589"/>
        </w:sectPr>
      </w:pPr>
    </w:p>
    <w:p w14:paraId="12F26A08">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4"/>
          <w:szCs w:val="24"/>
          <w:highlight w:val="none"/>
        </w:rPr>
      </w:pPr>
    </w:p>
    <w:p w14:paraId="44E49A08">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pacing w:val="13"/>
          <w:sz w:val="24"/>
          <w:szCs w:val="24"/>
          <w:highlight w:val="none"/>
        </w:rPr>
      </w:pPr>
    </w:p>
    <w:p w14:paraId="16E1BD3A">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pacing w:val="13"/>
          <w:sz w:val="24"/>
          <w:szCs w:val="24"/>
          <w:highlight w:val="none"/>
        </w:rPr>
      </w:pPr>
    </w:p>
    <w:p w14:paraId="3828E177">
      <w:pPr>
        <w:keepNext w:val="0"/>
        <w:keepLines w:val="0"/>
        <w:pageBreakBefore w:val="0"/>
        <w:widowControl/>
        <w:kinsoku/>
        <w:wordWrap/>
        <w:overflowPunct/>
        <w:topLinePunct w:val="0"/>
        <w:autoSpaceDE/>
        <w:autoSpaceDN/>
        <w:bidi w:val="0"/>
        <w:adjustRightInd/>
        <w:snapToGrid/>
        <w:spacing w:line="240" w:lineRule="auto"/>
        <w:ind w:left="0" w:right="0"/>
        <w:jc w:val="center"/>
        <w:textAlignment w:val="auto"/>
        <w:rPr>
          <w:rFonts w:hint="eastAsia" w:ascii="楷体" w:hAnsi="楷体" w:eastAsia="楷体" w:cs="楷体"/>
          <w:sz w:val="32"/>
          <w:szCs w:val="32"/>
          <w:highlight w:val="none"/>
        </w:rPr>
      </w:pPr>
      <w:r>
        <w:rPr>
          <w:rFonts w:hint="eastAsia" w:ascii="楷体" w:hAnsi="楷体" w:eastAsia="楷体" w:cs="楷体"/>
          <w:spacing w:val="13"/>
          <w:sz w:val="32"/>
          <w:szCs w:val="32"/>
          <w:highlight w:val="none"/>
        </w:rPr>
        <w:t>残</w:t>
      </w:r>
      <w:r>
        <w:rPr>
          <w:rFonts w:hint="eastAsia" w:ascii="楷体" w:hAnsi="楷体" w:eastAsia="楷体" w:cs="楷体"/>
          <w:spacing w:val="11"/>
          <w:sz w:val="32"/>
          <w:szCs w:val="32"/>
          <w:highlight w:val="none"/>
        </w:rPr>
        <w:t>疾人福利性单位声明函 (格式)</w:t>
      </w:r>
    </w:p>
    <w:p w14:paraId="4BB6B80C">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4"/>
          <w:szCs w:val="24"/>
          <w:highlight w:val="none"/>
        </w:rPr>
      </w:pPr>
    </w:p>
    <w:p w14:paraId="5DC03390">
      <w:pPr>
        <w:keepNext w:val="0"/>
        <w:keepLines w:val="0"/>
        <w:pageBreakBefore w:val="0"/>
        <w:widowControl/>
        <w:kinsoku/>
        <w:wordWrap/>
        <w:overflowPunct/>
        <w:topLinePunct w:val="0"/>
        <w:autoSpaceDE/>
        <w:autoSpaceDN/>
        <w:bidi w:val="0"/>
        <w:adjustRightInd/>
        <w:snapToGrid/>
        <w:spacing w:line="240" w:lineRule="auto"/>
        <w:ind w:left="0" w:right="0" w:firstLine="569"/>
        <w:textAlignment w:val="auto"/>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本单位郑重声明，</w:t>
      </w:r>
      <w:r>
        <w:rPr>
          <w:rFonts w:hint="eastAsia" w:ascii="楷体" w:hAnsi="楷体" w:eastAsia="楷体" w:cs="楷体"/>
          <w:spacing w:val="2"/>
          <w:sz w:val="24"/>
          <w:szCs w:val="24"/>
          <w:highlight w:val="none"/>
        </w:rPr>
        <w:t>根据《财政部 民政部 中国残疾人联合会关于促进</w:t>
      </w:r>
      <w:r>
        <w:rPr>
          <w:rFonts w:hint="eastAsia" w:ascii="楷体" w:hAnsi="楷体" w:eastAsia="楷体" w:cs="楷体"/>
          <w:sz w:val="24"/>
          <w:szCs w:val="24"/>
          <w:highlight w:val="none"/>
        </w:rPr>
        <w:t xml:space="preserve"> </w:t>
      </w:r>
      <w:r>
        <w:rPr>
          <w:rFonts w:hint="eastAsia" w:ascii="楷体" w:hAnsi="楷体" w:eastAsia="楷体" w:cs="楷体"/>
          <w:spacing w:val="-6"/>
          <w:sz w:val="24"/>
          <w:szCs w:val="24"/>
          <w:highlight w:val="none"/>
        </w:rPr>
        <w:t>残</w:t>
      </w:r>
      <w:r>
        <w:rPr>
          <w:rFonts w:hint="eastAsia" w:ascii="楷体" w:hAnsi="楷体" w:eastAsia="楷体" w:cs="楷体"/>
          <w:spacing w:val="-4"/>
          <w:sz w:val="24"/>
          <w:szCs w:val="24"/>
          <w:highlight w:val="none"/>
        </w:rPr>
        <w:t>疾</w:t>
      </w:r>
      <w:r>
        <w:rPr>
          <w:rFonts w:hint="eastAsia" w:ascii="楷体" w:hAnsi="楷体" w:eastAsia="楷体" w:cs="楷体"/>
          <w:spacing w:val="-3"/>
          <w:sz w:val="24"/>
          <w:szCs w:val="24"/>
          <w:highlight w:val="none"/>
        </w:rPr>
        <w:t>人就业政府采购政策的通知》  (财库〔2017〕141 号) 的规定，本单</w:t>
      </w:r>
      <w:r>
        <w:rPr>
          <w:rFonts w:hint="eastAsia" w:ascii="楷体" w:hAnsi="楷体" w:eastAsia="楷体" w:cs="楷体"/>
          <w:sz w:val="24"/>
          <w:szCs w:val="24"/>
          <w:highlight w:val="none"/>
        </w:rPr>
        <w:t xml:space="preserve"> </w:t>
      </w:r>
      <w:r>
        <w:rPr>
          <w:rFonts w:hint="eastAsia" w:ascii="楷体" w:hAnsi="楷体" w:eastAsia="楷体" w:cs="楷体"/>
          <w:spacing w:val="4"/>
          <w:sz w:val="24"/>
          <w:szCs w:val="24"/>
          <w:highlight w:val="none"/>
        </w:rPr>
        <w:t>位为符合条件的残疾</w:t>
      </w:r>
      <w:r>
        <w:rPr>
          <w:rFonts w:hint="eastAsia" w:ascii="楷体" w:hAnsi="楷体" w:eastAsia="楷体" w:cs="楷体"/>
          <w:spacing w:val="2"/>
          <w:sz w:val="24"/>
          <w:szCs w:val="24"/>
          <w:highlight w:val="none"/>
        </w:rPr>
        <w:t>人福利性单位，且本单位参加</w:t>
      </w:r>
      <w:r>
        <w:rPr>
          <w:rFonts w:hint="eastAsia" w:ascii="楷体" w:hAnsi="楷体" w:eastAsia="楷体" w:cs="楷体"/>
          <w:spacing w:val="2"/>
          <w:sz w:val="24"/>
          <w:szCs w:val="24"/>
          <w:highlight w:val="none"/>
          <w:u w:val="single"/>
        </w:rPr>
        <w:t xml:space="preserve"> (项目名称) </w:t>
      </w:r>
      <w:r>
        <w:rPr>
          <w:rFonts w:hint="eastAsia" w:ascii="楷体" w:hAnsi="楷体" w:eastAsia="楷体" w:cs="楷体"/>
          <w:spacing w:val="2"/>
          <w:sz w:val="24"/>
          <w:szCs w:val="24"/>
          <w:highlight w:val="none"/>
        </w:rPr>
        <w:t xml:space="preserve"> (项目编</w:t>
      </w:r>
      <w:r>
        <w:rPr>
          <w:rFonts w:hint="eastAsia" w:ascii="楷体" w:hAnsi="楷体" w:eastAsia="楷体" w:cs="楷体"/>
          <w:sz w:val="24"/>
          <w:szCs w:val="24"/>
          <w:highlight w:val="none"/>
        </w:rPr>
        <w:t xml:space="preserve"> </w:t>
      </w:r>
      <w:r>
        <w:rPr>
          <w:rFonts w:hint="eastAsia" w:ascii="楷体" w:hAnsi="楷体" w:eastAsia="楷体" w:cs="楷体"/>
          <w:spacing w:val="-6"/>
          <w:sz w:val="24"/>
          <w:szCs w:val="24"/>
          <w:highlight w:val="none"/>
        </w:rPr>
        <w:t>号：</w:t>
      </w:r>
      <w:r>
        <w:rPr>
          <w:rFonts w:hint="eastAsia" w:ascii="楷体" w:hAnsi="楷体" w:eastAsia="楷体" w:cs="楷体"/>
          <w:spacing w:val="-6"/>
          <w:sz w:val="24"/>
          <w:szCs w:val="24"/>
          <w:highlight w:val="none"/>
          <w:u w:val="single"/>
        </w:rPr>
        <w:t xml:space="preserve">        </w:t>
      </w:r>
      <w:r>
        <w:rPr>
          <w:rFonts w:hint="eastAsia" w:ascii="楷体" w:hAnsi="楷体" w:eastAsia="楷体" w:cs="楷体"/>
          <w:spacing w:val="-3"/>
          <w:sz w:val="24"/>
          <w:szCs w:val="24"/>
          <w:highlight w:val="none"/>
          <w:u w:val="single"/>
        </w:rPr>
        <w:t xml:space="preserve">    </w:t>
      </w:r>
      <w:r>
        <w:rPr>
          <w:rFonts w:hint="eastAsia" w:ascii="楷体" w:hAnsi="楷体" w:eastAsia="楷体" w:cs="楷体"/>
          <w:spacing w:val="-3"/>
          <w:sz w:val="24"/>
          <w:szCs w:val="24"/>
          <w:highlight w:val="none"/>
        </w:rPr>
        <w:t>) 第___标段采购活动提供本单位制造的货物 (由本单位</w:t>
      </w:r>
      <w:r>
        <w:rPr>
          <w:rFonts w:hint="eastAsia" w:ascii="楷体" w:hAnsi="楷体" w:eastAsia="楷体" w:cs="楷体"/>
          <w:sz w:val="24"/>
          <w:szCs w:val="24"/>
          <w:highlight w:val="none"/>
        </w:rPr>
        <w:t xml:space="preserve"> </w:t>
      </w:r>
      <w:r>
        <w:rPr>
          <w:rFonts w:hint="eastAsia" w:ascii="楷体" w:hAnsi="楷体" w:eastAsia="楷体" w:cs="楷体"/>
          <w:spacing w:val="-1"/>
          <w:sz w:val="24"/>
          <w:szCs w:val="24"/>
          <w:highlight w:val="none"/>
        </w:rPr>
        <w:t>承担工程/提供服务) ，或者提供其</w:t>
      </w:r>
      <w:r>
        <w:rPr>
          <w:rFonts w:hint="eastAsia" w:ascii="楷体" w:hAnsi="楷体" w:eastAsia="楷体" w:cs="楷体"/>
          <w:sz w:val="24"/>
          <w:szCs w:val="24"/>
          <w:highlight w:val="none"/>
        </w:rPr>
        <w:t xml:space="preserve">他残疾人福利性单位制造的货物 (不包 </w:t>
      </w:r>
      <w:r>
        <w:rPr>
          <w:rFonts w:hint="eastAsia" w:ascii="楷体" w:hAnsi="楷体" w:eastAsia="楷体" w:cs="楷体"/>
          <w:spacing w:val="4"/>
          <w:sz w:val="24"/>
          <w:szCs w:val="24"/>
          <w:highlight w:val="none"/>
        </w:rPr>
        <w:t>括使用</w:t>
      </w:r>
      <w:r>
        <w:rPr>
          <w:rFonts w:hint="eastAsia" w:ascii="楷体" w:hAnsi="楷体" w:eastAsia="楷体" w:cs="楷体"/>
          <w:spacing w:val="2"/>
          <w:sz w:val="24"/>
          <w:szCs w:val="24"/>
          <w:highlight w:val="none"/>
        </w:rPr>
        <w:t>非残疾人福利性单位注册商标的货物) 。</w:t>
      </w:r>
    </w:p>
    <w:p w14:paraId="3E903CF2">
      <w:pPr>
        <w:keepNext w:val="0"/>
        <w:keepLines w:val="0"/>
        <w:pageBreakBefore w:val="0"/>
        <w:widowControl/>
        <w:kinsoku/>
        <w:wordWrap/>
        <w:overflowPunct/>
        <w:topLinePunct w:val="0"/>
        <w:autoSpaceDE/>
        <w:autoSpaceDN/>
        <w:bidi w:val="0"/>
        <w:adjustRightInd/>
        <w:snapToGrid/>
        <w:spacing w:line="240" w:lineRule="auto"/>
        <w:ind w:left="0" w:right="0" w:firstLine="520" w:firstLineChars="200"/>
        <w:textAlignment w:val="auto"/>
        <w:rPr>
          <w:rFonts w:hint="eastAsia" w:ascii="楷体" w:hAnsi="楷体" w:eastAsia="楷体" w:cs="楷体"/>
          <w:sz w:val="24"/>
          <w:szCs w:val="24"/>
          <w:highlight w:val="none"/>
        </w:rPr>
      </w:pPr>
      <w:r>
        <w:rPr>
          <w:rFonts w:hint="eastAsia" w:ascii="楷体" w:hAnsi="楷体" w:eastAsia="楷体" w:cs="楷体"/>
          <w:spacing w:val="4"/>
          <w:sz w:val="24"/>
          <w:szCs w:val="24"/>
          <w:highlight w:val="none"/>
        </w:rPr>
        <w:t>本单位对上述声明</w:t>
      </w:r>
      <w:r>
        <w:rPr>
          <w:rFonts w:hint="eastAsia" w:ascii="楷体" w:hAnsi="楷体" w:eastAsia="楷体" w:cs="楷体"/>
          <w:spacing w:val="3"/>
          <w:sz w:val="24"/>
          <w:szCs w:val="24"/>
          <w:highlight w:val="none"/>
        </w:rPr>
        <w:t>的</w:t>
      </w:r>
      <w:r>
        <w:rPr>
          <w:rFonts w:hint="eastAsia" w:ascii="楷体" w:hAnsi="楷体" w:eastAsia="楷体" w:cs="楷体"/>
          <w:spacing w:val="2"/>
          <w:sz w:val="24"/>
          <w:szCs w:val="24"/>
          <w:highlight w:val="none"/>
        </w:rPr>
        <w:t>真实性负责。如有虚假，将依法承担相应责任。</w:t>
      </w:r>
    </w:p>
    <w:p w14:paraId="267880E0">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4"/>
          <w:szCs w:val="24"/>
          <w:highlight w:val="none"/>
        </w:rPr>
      </w:pPr>
    </w:p>
    <w:p w14:paraId="1CCE81AB">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4"/>
          <w:szCs w:val="24"/>
          <w:highlight w:val="none"/>
        </w:rPr>
      </w:pPr>
    </w:p>
    <w:p w14:paraId="20CD8202">
      <w:pPr>
        <w:keepNext w:val="0"/>
        <w:keepLines w:val="0"/>
        <w:pageBreakBefore w:val="0"/>
        <w:widowControl/>
        <w:kinsoku/>
        <w:wordWrap/>
        <w:overflowPunct/>
        <w:topLinePunct w:val="0"/>
        <w:autoSpaceDE/>
        <w:autoSpaceDN/>
        <w:bidi w:val="0"/>
        <w:adjustRightInd/>
        <w:snapToGrid/>
        <w:spacing w:line="240" w:lineRule="auto"/>
        <w:ind w:left="0" w:right="0" w:firstLine="4352" w:firstLineChars="1700"/>
        <w:textAlignment w:val="auto"/>
        <w:rPr>
          <w:rFonts w:hint="eastAsia" w:ascii="楷体" w:hAnsi="楷体" w:eastAsia="楷体" w:cs="楷体"/>
          <w:sz w:val="24"/>
          <w:szCs w:val="24"/>
          <w:highlight w:val="none"/>
        </w:rPr>
      </w:pPr>
      <w:r>
        <w:rPr>
          <w:rFonts w:hint="eastAsia" w:ascii="楷体" w:hAnsi="楷体" w:eastAsia="楷体" w:cs="楷体"/>
          <w:spacing w:val="2"/>
          <w:sz w:val="24"/>
          <w:szCs w:val="24"/>
          <w:highlight w:val="none"/>
        </w:rPr>
        <w:t>供应商：名称 (</w:t>
      </w:r>
      <w:r>
        <w:rPr>
          <w:rFonts w:hint="eastAsia" w:ascii="楷体" w:hAnsi="楷体" w:eastAsia="楷体" w:cs="楷体"/>
          <w:spacing w:val="1"/>
          <w:sz w:val="24"/>
          <w:szCs w:val="24"/>
          <w:highlight w:val="none"/>
        </w:rPr>
        <w:t>加盖公章)</w:t>
      </w:r>
    </w:p>
    <w:p w14:paraId="179B7300">
      <w:pPr>
        <w:keepNext w:val="0"/>
        <w:keepLines w:val="0"/>
        <w:pageBreakBefore w:val="0"/>
        <w:widowControl/>
        <w:kinsoku/>
        <w:wordWrap/>
        <w:overflowPunct/>
        <w:topLinePunct w:val="0"/>
        <w:autoSpaceDE/>
        <w:autoSpaceDN/>
        <w:bidi w:val="0"/>
        <w:adjustRightInd/>
        <w:snapToGrid/>
        <w:spacing w:line="240" w:lineRule="auto"/>
        <w:ind w:left="0" w:right="0" w:firstLine="4480" w:firstLineChars="2000"/>
        <w:textAlignment w:val="auto"/>
        <w:rPr>
          <w:rFonts w:hint="eastAsia" w:ascii="楷体" w:hAnsi="楷体" w:eastAsia="楷体" w:cs="楷体"/>
          <w:sz w:val="24"/>
          <w:szCs w:val="24"/>
          <w:highlight w:val="none"/>
        </w:rPr>
      </w:pPr>
      <w:r>
        <w:rPr>
          <w:rFonts w:hint="eastAsia" w:ascii="楷体" w:hAnsi="楷体" w:eastAsia="楷体" w:cs="楷体"/>
          <w:spacing w:val="-14"/>
          <w:sz w:val="24"/>
          <w:szCs w:val="24"/>
          <w:highlight w:val="none"/>
        </w:rPr>
        <w:t>日</w:t>
      </w:r>
      <w:r>
        <w:rPr>
          <w:rFonts w:hint="eastAsia" w:ascii="楷体" w:hAnsi="楷体" w:eastAsia="楷体" w:cs="楷体"/>
          <w:spacing w:val="-7"/>
          <w:sz w:val="24"/>
          <w:szCs w:val="24"/>
          <w:highlight w:val="none"/>
        </w:rPr>
        <w:t>期：     年  月  日</w:t>
      </w:r>
    </w:p>
    <w:p w14:paraId="53E59DF2">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4"/>
          <w:szCs w:val="24"/>
          <w:highlight w:val="none"/>
        </w:rPr>
      </w:pPr>
    </w:p>
    <w:p w14:paraId="7F8ADB43">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1"/>
          <w:szCs w:val="21"/>
          <w:highlight w:val="none"/>
        </w:rPr>
      </w:pPr>
      <w:r>
        <w:rPr>
          <w:rFonts w:hint="eastAsia" w:ascii="楷体" w:hAnsi="楷体" w:eastAsia="楷体" w:cs="楷体"/>
          <w:spacing w:val="22"/>
          <w:sz w:val="21"/>
          <w:szCs w:val="21"/>
          <w:highlight w:val="none"/>
        </w:rPr>
        <w:t>备</w:t>
      </w:r>
      <w:r>
        <w:rPr>
          <w:rFonts w:hint="eastAsia" w:ascii="楷体" w:hAnsi="楷体" w:eastAsia="楷体" w:cs="楷体"/>
          <w:spacing w:val="11"/>
          <w:sz w:val="21"/>
          <w:szCs w:val="21"/>
          <w:highlight w:val="none"/>
        </w:rPr>
        <w:t>注：项目不分标段的，第___标段空白处填写“/”。</w:t>
      </w:r>
    </w:p>
    <w:p w14:paraId="7E147DF3">
      <w:pPr>
        <w:keepNext w:val="0"/>
        <w:keepLines w:val="0"/>
        <w:pageBreakBefore w:val="0"/>
        <w:widowControl/>
        <w:kinsoku/>
        <w:wordWrap/>
        <w:overflowPunct/>
        <w:topLinePunct w:val="0"/>
        <w:autoSpaceDE/>
        <w:autoSpaceDN/>
        <w:bidi w:val="0"/>
        <w:adjustRightInd/>
        <w:snapToGrid/>
        <w:spacing w:line="240" w:lineRule="auto"/>
        <w:ind w:left="0" w:right="0"/>
        <w:textAlignment w:val="auto"/>
        <w:rPr>
          <w:rFonts w:hint="eastAsia" w:ascii="楷体" w:hAnsi="楷体" w:eastAsia="楷体" w:cs="楷体"/>
          <w:sz w:val="21"/>
          <w:szCs w:val="21"/>
          <w:highlight w:val="none"/>
        </w:rPr>
      </w:pPr>
    </w:p>
    <w:sectPr>
      <w:footerReference r:id="rId10" w:type="default"/>
      <w:type w:val="continuous"/>
      <w:pgSz w:w="11906" w:h="16838"/>
      <w:pgMar w:top="1417" w:right="1417" w:bottom="1417" w:left="1417" w:header="850" w:footer="992" w:gutter="0"/>
      <w:pgNumType w:fmt="decimal"/>
      <w:cols w:space="0" w:num="1"/>
      <w:rtlGutter w:val="0"/>
      <w:docGrid w:type="linesAndChars" w:linePitch="394" w:charSpace="258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3E5BF">
    <w:pPr>
      <w:pStyle w:val="17"/>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5A1AF7A">
                          <w:pPr>
                            <w:pStyle w:val="17"/>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3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ykRCp3gEAAL8DAAAOAAAAAAAA&#10;AAEAIAAAAB4BAABkcnMvZTJvRG9jLnhtbFBLBQYAAAAABgAGAFkBAABuBQAAAAA=&#10;">
              <v:fill on="f" focussize="0,0"/>
              <v:stroke on="f"/>
              <v:imagedata o:title=""/>
              <o:lock v:ext="edit" aspectratio="f"/>
              <v:textbox inset="0mm,0mm,0mm,0mm" style="mso-fit-shape-to-text:t;">
                <w:txbxContent>
                  <w:p w14:paraId="45A1AF7A">
                    <w:pPr>
                      <w:pStyle w:val="1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F357A">
    <w:pPr>
      <w:pStyle w:val="17"/>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DDFA84">
                          <w:pPr>
                            <w:pStyle w:val="17"/>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0">
                      <a:spAutoFit/>
                    </wps:bodyPr>
                  </wps:wsp>
                </a:graphicData>
              </a:graphic>
            </wp:anchor>
          </w:drawing>
        </mc:Choice>
        <mc:Fallback>
          <w:pict>
            <v:shape id="文本框 3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fFwnZ98BAAC/AwAADgAAAAAA&#10;AAABACAAAAAeAQAAZHJzL2Uyb0RvYy54bWxQSwUGAAAAAAYABgBZAQAAbwUAAAAA&#10;">
              <v:fill on="f" focussize="0,0"/>
              <v:stroke on="f"/>
              <v:imagedata o:title=""/>
              <o:lock v:ext="edit" aspectratio="f"/>
              <v:textbox inset="0mm,0mm,0mm,0mm" style="mso-fit-shape-to-text:t;">
                <w:txbxContent>
                  <w:p w14:paraId="52DDFA84">
                    <w:pPr>
                      <w:pStyle w:val="17"/>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CD7E2">
    <w:pPr>
      <w:pStyle w:val="17"/>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442C41">
                          <w:pPr>
                            <w:pStyle w:val="17"/>
                          </w:pPr>
                          <w:r>
                            <w:fldChar w:fldCharType="begin"/>
                          </w:r>
                          <w:r>
                            <w:instrText xml:space="preserve"> PAGE  \* MERGEFORMAT </w:instrText>
                          </w:r>
                          <w:r>
                            <w:fldChar w:fldCharType="separate"/>
                          </w:r>
                          <w:r>
                            <w:t>43</w:t>
                          </w:r>
                          <w:r>
                            <w:fldChar w:fldCharType="end"/>
                          </w:r>
                        </w:p>
                      </w:txbxContent>
                    </wps:txbx>
                    <wps:bodyPr vert="horz" wrap="none" lIns="0" tIns="0" rIns="0" bIns="0" anchor="t" anchorCtr="0" upright="0">
                      <a:spAutoFit/>
                    </wps:bodyPr>
                  </wps:wsp>
                </a:graphicData>
              </a:graphic>
            </wp:anchor>
          </w:drawing>
        </mc:Choice>
        <mc:Fallback>
          <w:pict>
            <v:shape id="文本框 3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C8nZw3gEAAMADAAAOAAAAAAAA&#10;AAEAIAAAAB4BAABkcnMvZTJvRG9jLnhtbFBLBQYAAAAABgAGAFkBAABuBQAAAAA=&#10;">
              <v:fill on="f" focussize="0,0"/>
              <v:stroke on="f"/>
              <v:imagedata o:title=""/>
              <o:lock v:ext="edit" aspectratio="f"/>
              <v:textbox inset="0mm,0mm,0mm,0mm" style="mso-fit-shape-to-text:t;">
                <w:txbxContent>
                  <w:p w14:paraId="6F442C41">
                    <w:pPr>
                      <w:pStyle w:val="17"/>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49A6A">
    <w:pPr>
      <w:pStyle w:val="17"/>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476388">
                          <w:pPr>
                            <w:pStyle w:val="17"/>
                          </w:pPr>
                          <w:r>
                            <w:fldChar w:fldCharType="begin"/>
                          </w:r>
                          <w:r>
                            <w:instrText xml:space="preserve"> PAGE  \* MERGEFORMAT </w:instrText>
                          </w:r>
                          <w:r>
                            <w:fldChar w:fldCharType="separate"/>
                          </w:r>
                          <w:r>
                            <w:t>51</w:t>
                          </w:r>
                          <w:r>
                            <w:fldChar w:fldCharType="end"/>
                          </w:r>
                        </w:p>
                      </w:txbxContent>
                    </wps:txbx>
                    <wps:bodyPr vert="horz" wrap="none" lIns="0" tIns="0" rIns="0" bIns="0" anchor="t" anchorCtr="0" upright="0">
                      <a:spAutoFit/>
                    </wps:bodyPr>
                  </wps:wsp>
                </a:graphicData>
              </a:graphic>
            </wp:anchor>
          </w:drawing>
        </mc:Choice>
        <mc:Fallback>
          <w:pict>
            <v:shape id="文本框 3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RdD5G3gEAAMADAAAOAAAAAAAA&#10;AAEAIAAAAB4BAABkcnMvZTJvRG9jLnhtbFBLBQYAAAAABgAGAFkBAABuBQAAAAA=&#10;">
              <v:fill on="f" focussize="0,0"/>
              <v:stroke on="f"/>
              <v:imagedata o:title=""/>
              <o:lock v:ext="edit" aspectratio="f"/>
              <v:textbox inset="0mm,0mm,0mm,0mm" style="mso-fit-shape-to-text:t;">
                <w:txbxContent>
                  <w:p w14:paraId="6D476388">
                    <w:pPr>
                      <w:pStyle w:val="1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D009E">
    <w:pPr>
      <w:pStyle w:val="17"/>
      <w:tabs>
        <w:tab w:val="clear" w:pos="4153"/>
        <w:tab w:val="clear" w:pos="8306"/>
      </w:tabs>
      <w:rPr>
        <w:rFonts w:ascii="宋体" w:hAnsi="宋体"/>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CA397FA">
                          <w:pPr>
                            <w:pStyle w:val="17"/>
                          </w:pPr>
                          <w:r>
                            <w:fldChar w:fldCharType="begin"/>
                          </w:r>
                          <w:r>
                            <w:instrText xml:space="preserve"> PAGE  \* MERGEFORMAT </w:instrText>
                          </w:r>
                          <w:r>
                            <w:fldChar w:fldCharType="separate"/>
                          </w:r>
                          <w:r>
                            <w:t>53</w:t>
                          </w:r>
                          <w:r>
                            <w:fldChar w:fldCharType="end"/>
                          </w:r>
                        </w:p>
                      </w:txbxContent>
                    </wps:txbx>
                    <wps:bodyPr vert="horz" wrap="none" lIns="0" tIns="0" rIns="0" bIns="0" anchor="t" anchorCtr="0" upright="0">
                      <a:spAutoFit/>
                    </wps:bodyPr>
                  </wps:wsp>
                </a:graphicData>
              </a:graphic>
            </wp:anchor>
          </w:drawing>
        </mc:Choice>
        <mc:Fallback>
          <w:pict>
            <v:shape id="文本框 3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qb6L7N8BAADAAwAADgAAAAAA&#10;AAABACAAAAAeAQAAZHJzL2Uyb0RvYy54bWxQSwUGAAAAAAYABgBZAQAAbwUAAAAA&#10;">
              <v:fill on="f" focussize="0,0"/>
              <v:stroke on="f"/>
              <v:imagedata o:title=""/>
              <o:lock v:ext="edit" aspectratio="f"/>
              <v:textbox inset="0mm,0mm,0mm,0mm" style="mso-fit-shape-to-text:t;">
                <w:txbxContent>
                  <w:p w14:paraId="7CA397FA">
                    <w:pPr>
                      <w:pStyle w:val="17"/>
                    </w:pPr>
                    <w:r>
                      <w:fldChar w:fldCharType="begin"/>
                    </w:r>
                    <w:r>
                      <w:instrText xml:space="preserve"> PAGE  \* MERGEFORMAT </w:instrText>
                    </w:r>
                    <w:r>
                      <w:fldChar w:fldCharType="separate"/>
                    </w:r>
                    <w:r>
                      <w:t>53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8836F">
    <w:pPr>
      <w:pStyle w:val="5"/>
      <w:pBdr>
        <w:bottom w:val="single" w:color="auto" w:sz="4" w:space="1"/>
      </w:pBdr>
      <w:jc w:val="left"/>
    </w:pPr>
    <w:r>
      <w:rPr>
        <w:rFonts w:hint="eastAsia"/>
      </w:rPr>
      <w:drawing>
        <wp:inline distT="0" distB="0" distL="114300" distR="114300">
          <wp:extent cx="429895" cy="287020"/>
          <wp:effectExtent l="0" t="0" r="12065" b="2540"/>
          <wp:docPr id="16" name="图片 1" descr="陕西中海建标识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descr="陕西中海建标识2"/>
                  <pic:cNvPicPr>
                    <a:picLocks noChangeAspect="1"/>
                  </pic:cNvPicPr>
                </pic:nvPicPr>
                <pic:blipFill>
                  <a:blip r:embed="rId1"/>
                  <a:stretch>
                    <a:fillRect/>
                  </a:stretch>
                </pic:blipFill>
                <pic:spPr>
                  <a:xfrm>
                    <a:off x="0" y="0"/>
                    <a:ext cx="429895" cy="287020"/>
                  </a:xfrm>
                  <a:prstGeom prst="rect">
                    <a:avLst/>
                  </a:prstGeom>
                  <a:noFill/>
                  <a:ln>
                    <a:noFill/>
                  </a:ln>
                </pic:spPr>
              </pic:pic>
            </a:graphicData>
          </a:graphic>
        </wp:inline>
      </w:drawing>
    </w:r>
    <w:r>
      <w:rPr>
        <w:rFonts w:hint="eastAsia"/>
      </w:rPr>
      <w:drawing>
        <wp:inline distT="0" distB="0" distL="114300" distR="114300">
          <wp:extent cx="1498600" cy="294005"/>
          <wp:effectExtent l="0" t="0" r="10160" b="10795"/>
          <wp:docPr id="13" name="图片 2" descr="陕西中海建标识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descr="陕西中海建标识1"/>
                  <pic:cNvPicPr>
                    <a:picLocks noChangeAspect="1"/>
                  </pic:cNvPicPr>
                </pic:nvPicPr>
                <pic:blipFill>
                  <a:blip r:embed="rId2"/>
                  <a:stretch>
                    <a:fillRect/>
                  </a:stretch>
                </pic:blipFill>
                <pic:spPr>
                  <a:xfrm>
                    <a:off x="0" y="0"/>
                    <a:ext cx="1498600" cy="2940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7C7A63"/>
    <w:multiLevelType w:val="singleLevel"/>
    <w:tmpl w:val="B17C7A63"/>
    <w:lvl w:ilvl="0" w:tentative="0">
      <w:start w:val="1"/>
      <w:numFmt w:val="decimal"/>
      <w:suff w:val="nothing"/>
      <w:lvlText w:val="%1、"/>
      <w:lvlJc w:val="left"/>
    </w:lvl>
  </w:abstractNum>
  <w:abstractNum w:abstractNumId="1">
    <w:nsid w:val="B2F75B42"/>
    <w:multiLevelType w:val="singleLevel"/>
    <w:tmpl w:val="B2F75B42"/>
    <w:lvl w:ilvl="0" w:tentative="0">
      <w:start w:val="1"/>
      <w:numFmt w:val="decimal"/>
      <w:lvlText w:val="%1."/>
      <w:lvlJc w:val="left"/>
      <w:pPr>
        <w:tabs>
          <w:tab w:val="left" w:pos="312"/>
        </w:tabs>
      </w:pPr>
    </w:lvl>
  </w:abstractNum>
  <w:abstractNum w:abstractNumId="2">
    <w:nsid w:val="EFC9C17F"/>
    <w:multiLevelType w:val="singleLevel"/>
    <w:tmpl w:val="EFC9C17F"/>
    <w:lvl w:ilvl="0" w:tentative="0">
      <w:start w:val="1"/>
      <w:numFmt w:val="decimal"/>
      <w:suff w:val="nothing"/>
      <w:lvlText w:val="%1、"/>
      <w:lvlJc w:val="left"/>
    </w:lvl>
  </w:abstractNum>
  <w:abstractNum w:abstractNumId="3">
    <w:nsid w:val="5C51E5CF"/>
    <w:multiLevelType w:val="singleLevel"/>
    <w:tmpl w:val="5C51E5CF"/>
    <w:lvl w:ilvl="0" w:tentative="0">
      <w:start w:val="3"/>
      <w:numFmt w:val="decimal"/>
      <w:suff w:val="nothing"/>
      <w:lvlText w:val="%1、"/>
      <w:lvlJc w:val="left"/>
    </w:lvl>
  </w:abstractNum>
  <w:abstractNum w:abstractNumId="4">
    <w:nsid w:val="650DA5B6"/>
    <w:multiLevelType w:val="singleLevel"/>
    <w:tmpl w:val="650DA5B6"/>
    <w:lvl w:ilvl="0" w:tentative="0">
      <w:start w:val="1"/>
      <w:numFmt w:val="chineseCounting"/>
      <w:suff w:val="nothing"/>
      <w:lvlText w:val="%1、"/>
      <w:lvlJc w:val="left"/>
      <w:rPr>
        <w:rFonts w:hint="eastAsia"/>
      </w:rPr>
    </w:lvl>
  </w:abstractNum>
  <w:abstractNum w:abstractNumId="5">
    <w:nsid w:val="66F82F00"/>
    <w:multiLevelType w:val="singleLevel"/>
    <w:tmpl w:val="66F82F00"/>
    <w:lvl w:ilvl="0" w:tentative="0">
      <w:start w:val="1"/>
      <w:numFmt w:val="decimal"/>
      <w:lvlText w:val="%1."/>
      <w:lvlJc w:val="left"/>
      <w:pPr>
        <w:tabs>
          <w:tab w:val="left" w:pos="312"/>
        </w:tabs>
      </w:p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isplayBackgroundShape w:val="1"/>
  <w:bordersDoNotSurroundHeader w:val="0"/>
  <w:bordersDoNotSurroundFooter w:val="0"/>
  <w:documentProtection w:enforcement="0"/>
  <w:defaultTabStop w:val="420"/>
  <w:hyphenationZone w:val="360"/>
  <w:drawingGridHorizontalSpacing w:val="146"/>
  <w:drawingGridVerticalSpacing w:val="197"/>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BhN2UyNGQyN2I4OTFjZjA5ZmViYjdmYzA4Yjg1MTIifQ=="/>
  </w:docVars>
  <w:rsids>
    <w:rsidRoot w:val="00172A27"/>
    <w:rsid w:val="00001916"/>
    <w:rsid w:val="00010D54"/>
    <w:rsid w:val="0002117A"/>
    <w:rsid w:val="00084184"/>
    <w:rsid w:val="00093AA4"/>
    <w:rsid w:val="000A515B"/>
    <w:rsid w:val="000D2DC1"/>
    <w:rsid w:val="000D3BFA"/>
    <w:rsid w:val="0010051A"/>
    <w:rsid w:val="0013064E"/>
    <w:rsid w:val="00132234"/>
    <w:rsid w:val="001563AB"/>
    <w:rsid w:val="00172A27"/>
    <w:rsid w:val="001B76D9"/>
    <w:rsid w:val="001D0B8E"/>
    <w:rsid w:val="001D5D13"/>
    <w:rsid w:val="001E5B09"/>
    <w:rsid w:val="00216C5F"/>
    <w:rsid w:val="00234E8A"/>
    <w:rsid w:val="00242D5F"/>
    <w:rsid w:val="00244852"/>
    <w:rsid w:val="00244D29"/>
    <w:rsid w:val="002715FE"/>
    <w:rsid w:val="002738B7"/>
    <w:rsid w:val="00291E77"/>
    <w:rsid w:val="0029327C"/>
    <w:rsid w:val="0029531F"/>
    <w:rsid w:val="002A4EF7"/>
    <w:rsid w:val="002D13B3"/>
    <w:rsid w:val="002E641B"/>
    <w:rsid w:val="002F5C52"/>
    <w:rsid w:val="003403A7"/>
    <w:rsid w:val="00347F71"/>
    <w:rsid w:val="003733D3"/>
    <w:rsid w:val="00375ADC"/>
    <w:rsid w:val="00382BEB"/>
    <w:rsid w:val="0039009D"/>
    <w:rsid w:val="003C2CD9"/>
    <w:rsid w:val="003C3408"/>
    <w:rsid w:val="003D607F"/>
    <w:rsid w:val="003E7BEA"/>
    <w:rsid w:val="00455500"/>
    <w:rsid w:val="00465629"/>
    <w:rsid w:val="004A7A0F"/>
    <w:rsid w:val="004E10DE"/>
    <w:rsid w:val="004E3629"/>
    <w:rsid w:val="00517359"/>
    <w:rsid w:val="00525D2F"/>
    <w:rsid w:val="00540F74"/>
    <w:rsid w:val="00542F46"/>
    <w:rsid w:val="00560D0B"/>
    <w:rsid w:val="0056187B"/>
    <w:rsid w:val="00570993"/>
    <w:rsid w:val="005D511F"/>
    <w:rsid w:val="005F7987"/>
    <w:rsid w:val="00605A5A"/>
    <w:rsid w:val="0061663C"/>
    <w:rsid w:val="006263F8"/>
    <w:rsid w:val="0063392F"/>
    <w:rsid w:val="00666CEE"/>
    <w:rsid w:val="006671A2"/>
    <w:rsid w:val="00685DB2"/>
    <w:rsid w:val="006A0775"/>
    <w:rsid w:val="006A545F"/>
    <w:rsid w:val="006B7308"/>
    <w:rsid w:val="006D50E3"/>
    <w:rsid w:val="006F0231"/>
    <w:rsid w:val="00742FC4"/>
    <w:rsid w:val="00766527"/>
    <w:rsid w:val="0076741E"/>
    <w:rsid w:val="0078086F"/>
    <w:rsid w:val="0078381A"/>
    <w:rsid w:val="00797972"/>
    <w:rsid w:val="007F2839"/>
    <w:rsid w:val="00856F7C"/>
    <w:rsid w:val="008630CD"/>
    <w:rsid w:val="00882311"/>
    <w:rsid w:val="008A411B"/>
    <w:rsid w:val="008B1596"/>
    <w:rsid w:val="008D590F"/>
    <w:rsid w:val="008E38A1"/>
    <w:rsid w:val="008E77F0"/>
    <w:rsid w:val="009026CE"/>
    <w:rsid w:val="00935384"/>
    <w:rsid w:val="00936CAD"/>
    <w:rsid w:val="00967A35"/>
    <w:rsid w:val="00996125"/>
    <w:rsid w:val="00997EF8"/>
    <w:rsid w:val="009A150F"/>
    <w:rsid w:val="009A3EB9"/>
    <w:rsid w:val="009C293C"/>
    <w:rsid w:val="009D3768"/>
    <w:rsid w:val="009D70C9"/>
    <w:rsid w:val="009E0900"/>
    <w:rsid w:val="00A1286E"/>
    <w:rsid w:val="00A23B07"/>
    <w:rsid w:val="00A30295"/>
    <w:rsid w:val="00AB5D81"/>
    <w:rsid w:val="00AE4E2C"/>
    <w:rsid w:val="00AE6407"/>
    <w:rsid w:val="00B30DBF"/>
    <w:rsid w:val="00B67940"/>
    <w:rsid w:val="00B700E4"/>
    <w:rsid w:val="00B84020"/>
    <w:rsid w:val="00BB4AE8"/>
    <w:rsid w:val="00BB5395"/>
    <w:rsid w:val="00BC239B"/>
    <w:rsid w:val="00BD4343"/>
    <w:rsid w:val="00BE7FAA"/>
    <w:rsid w:val="00C25424"/>
    <w:rsid w:val="00C3589A"/>
    <w:rsid w:val="00C43264"/>
    <w:rsid w:val="00C54F83"/>
    <w:rsid w:val="00C72491"/>
    <w:rsid w:val="00C765C0"/>
    <w:rsid w:val="00C93558"/>
    <w:rsid w:val="00CA214F"/>
    <w:rsid w:val="00CB4D7C"/>
    <w:rsid w:val="00CF0FBB"/>
    <w:rsid w:val="00CF7CFF"/>
    <w:rsid w:val="00D43275"/>
    <w:rsid w:val="00D57C96"/>
    <w:rsid w:val="00D929B4"/>
    <w:rsid w:val="00D95241"/>
    <w:rsid w:val="00D972A1"/>
    <w:rsid w:val="00DB6125"/>
    <w:rsid w:val="00DC66FC"/>
    <w:rsid w:val="00DC6B70"/>
    <w:rsid w:val="00DD470B"/>
    <w:rsid w:val="00DE535E"/>
    <w:rsid w:val="00E103D8"/>
    <w:rsid w:val="00E352F4"/>
    <w:rsid w:val="00E97772"/>
    <w:rsid w:val="00EA6E38"/>
    <w:rsid w:val="00F51B2B"/>
    <w:rsid w:val="00F66D89"/>
    <w:rsid w:val="00F80235"/>
    <w:rsid w:val="00F80CDF"/>
    <w:rsid w:val="00FE0782"/>
    <w:rsid w:val="010B1E96"/>
    <w:rsid w:val="011C626C"/>
    <w:rsid w:val="01505F15"/>
    <w:rsid w:val="01656C77"/>
    <w:rsid w:val="016F3DDD"/>
    <w:rsid w:val="01711782"/>
    <w:rsid w:val="017B11E4"/>
    <w:rsid w:val="018229ED"/>
    <w:rsid w:val="01845A1F"/>
    <w:rsid w:val="01901BD1"/>
    <w:rsid w:val="01AB6348"/>
    <w:rsid w:val="01C419A4"/>
    <w:rsid w:val="01C41B77"/>
    <w:rsid w:val="01CA6A18"/>
    <w:rsid w:val="01EA3E24"/>
    <w:rsid w:val="02251042"/>
    <w:rsid w:val="0248000B"/>
    <w:rsid w:val="02615A30"/>
    <w:rsid w:val="0295277A"/>
    <w:rsid w:val="029E78A8"/>
    <w:rsid w:val="02C306B9"/>
    <w:rsid w:val="02EB004E"/>
    <w:rsid w:val="02ED0CB5"/>
    <w:rsid w:val="02F11084"/>
    <w:rsid w:val="02F11420"/>
    <w:rsid w:val="02F508D5"/>
    <w:rsid w:val="03372ABD"/>
    <w:rsid w:val="033D2FD4"/>
    <w:rsid w:val="035B7D78"/>
    <w:rsid w:val="035F78A1"/>
    <w:rsid w:val="038A2CFD"/>
    <w:rsid w:val="03956555"/>
    <w:rsid w:val="03DE5A5A"/>
    <w:rsid w:val="03FD02CC"/>
    <w:rsid w:val="040720CD"/>
    <w:rsid w:val="041A3DD7"/>
    <w:rsid w:val="042F62B6"/>
    <w:rsid w:val="043812DD"/>
    <w:rsid w:val="04BD38C2"/>
    <w:rsid w:val="052B4CCF"/>
    <w:rsid w:val="05417265"/>
    <w:rsid w:val="054E4783"/>
    <w:rsid w:val="05594913"/>
    <w:rsid w:val="05744A1F"/>
    <w:rsid w:val="057573C1"/>
    <w:rsid w:val="058503A0"/>
    <w:rsid w:val="05926AFC"/>
    <w:rsid w:val="05C054F3"/>
    <w:rsid w:val="05E15C4B"/>
    <w:rsid w:val="05F178D7"/>
    <w:rsid w:val="062063B3"/>
    <w:rsid w:val="06257756"/>
    <w:rsid w:val="062E6E15"/>
    <w:rsid w:val="063672F8"/>
    <w:rsid w:val="06424369"/>
    <w:rsid w:val="064E338D"/>
    <w:rsid w:val="066438C8"/>
    <w:rsid w:val="068336E6"/>
    <w:rsid w:val="06864D08"/>
    <w:rsid w:val="06A50AB1"/>
    <w:rsid w:val="06C902A0"/>
    <w:rsid w:val="06F0421A"/>
    <w:rsid w:val="07032B0D"/>
    <w:rsid w:val="070A7E9D"/>
    <w:rsid w:val="070F20F6"/>
    <w:rsid w:val="07233555"/>
    <w:rsid w:val="07287718"/>
    <w:rsid w:val="073F0CA7"/>
    <w:rsid w:val="07464F05"/>
    <w:rsid w:val="076634ED"/>
    <w:rsid w:val="077310E1"/>
    <w:rsid w:val="07A50D69"/>
    <w:rsid w:val="07A92EC5"/>
    <w:rsid w:val="07B21088"/>
    <w:rsid w:val="07DB19CB"/>
    <w:rsid w:val="07E415F5"/>
    <w:rsid w:val="07EA2406"/>
    <w:rsid w:val="07F25F78"/>
    <w:rsid w:val="08204893"/>
    <w:rsid w:val="082D674B"/>
    <w:rsid w:val="08315EA0"/>
    <w:rsid w:val="08322010"/>
    <w:rsid w:val="08350249"/>
    <w:rsid w:val="08670478"/>
    <w:rsid w:val="087404F2"/>
    <w:rsid w:val="08762246"/>
    <w:rsid w:val="0877139F"/>
    <w:rsid w:val="08AE04CA"/>
    <w:rsid w:val="08CE0793"/>
    <w:rsid w:val="08D8596C"/>
    <w:rsid w:val="08F0070A"/>
    <w:rsid w:val="0923058C"/>
    <w:rsid w:val="0955586F"/>
    <w:rsid w:val="095F7313"/>
    <w:rsid w:val="09813826"/>
    <w:rsid w:val="09BC1A80"/>
    <w:rsid w:val="09D43387"/>
    <w:rsid w:val="09EB63CD"/>
    <w:rsid w:val="0A0650BA"/>
    <w:rsid w:val="0A2006DF"/>
    <w:rsid w:val="0A2663BC"/>
    <w:rsid w:val="0A424B46"/>
    <w:rsid w:val="0A4312FE"/>
    <w:rsid w:val="0A604ADF"/>
    <w:rsid w:val="0A700E7D"/>
    <w:rsid w:val="0A996424"/>
    <w:rsid w:val="0ACC4CA2"/>
    <w:rsid w:val="0ADD2F10"/>
    <w:rsid w:val="0ADD3FDD"/>
    <w:rsid w:val="0B043164"/>
    <w:rsid w:val="0B174E9E"/>
    <w:rsid w:val="0B1B6DF5"/>
    <w:rsid w:val="0B29009A"/>
    <w:rsid w:val="0B2D77FF"/>
    <w:rsid w:val="0B3674D7"/>
    <w:rsid w:val="0B445501"/>
    <w:rsid w:val="0B712AB3"/>
    <w:rsid w:val="0B7B15C8"/>
    <w:rsid w:val="0BE85246"/>
    <w:rsid w:val="0BEB546F"/>
    <w:rsid w:val="0BF059ED"/>
    <w:rsid w:val="0BFD315D"/>
    <w:rsid w:val="0BFE497D"/>
    <w:rsid w:val="0C2A06BF"/>
    <w:rsid w:val="0C3067DE"/>
    <w:rsid w:val="0C3F6C9B"/>
    <w:rsid w:val="0C4A09CE"/>
    <w:rsid w:val="0C630EA0"/>
    <w:rsid w:val="0C857B05"/>
    <w:rsid w:val="0C866485"/>
    <w:rsid w:val="0C9B105F"/>
    <w:rsid w:val="0CB26664"/>
    <w:rsid w:val="0CB5530E"/>
    <w:rsid w:val="0CEE2E17"/>
    <w:rsid w:val="0CF65A44"/>
    <w:rsid w:val="0D13254C"/>
    <w:rsid w:val="0D311DA9"/>
    <w:rsid w:val="0D367326"/>
    <w:rsid w:val="0D405BB7"/>
    <w:rsid w:val="0D4E297A"/>
    <w:rsid w:val="0D4E6953"/>
    <w:rsid w:val="0DA86354"/>
    <w:rsid w:val="0DB76539"/>
    <w:rsid w:val="0DD54FC8"/>
    <w:rsid w:val="0DDD7D0C"/>
    <w:rsid w:val="0DE85340"/>
    <w:rsid w:val="0DF01CDB"/>
    <w:rsid w:val="0DFF7E47"/>
    <w:rsid w:val="0E1120F7"/>
    <w:rsid w:val="0E1924B1"/>
    <w:rsid w:val="0E192BFC"/>
    <w:rsid w:val="0E1B5925"/>
    <w:rsid w:val="0E304630"/>
    <w:rsid w:val="0E330515"/>
    <w:rsid w:val="0E56490F"/>
    <w:rsid w:val="0E571D82"/>
    <w:rsid w:val="0E5A6B98"/>
    <w:rsid w:val="0E697928"/>
    <w:rsid w:val="0E8E62E2"/>
    <w:rsid w:val="0E9A2456"/>
    <w:rsid w:val="0ED156C2"/>
    <w:rsid w:val="0EF264ED"/>
    <w:rsid w:val="0EFD382C"/>
    <w:rsid w:val="0F093B02"/>
    <w:rsid w:val="0F132EDE"/>
    <w:rsid w:val="0F2833ED"/>
    <w:rsid w:val="0F3856DA"/>
    <w:rsid w:val="0F394BAA"/>
    <w:rsid w:val="0F85381C"/>
    <w:rsid w:val="0F937A0A"/>
    <w:rsid w:val="0F985657"/>
    <w:rsid w:val="0F993D12"/>
    <w:rsid w:val="0FA818E6"/>
    <w:rsid w:val="0FC31A7A"/>
    <w:rsid w:val="0FCF07F8"/>
    <w:rsid w:val="0FEB6E72"/>
    <w:rsid w:val="1001696B"/>
    <w:rsid w:val="10773F05"/>
    <w:rsid w:val="10B81123"/>
    <w:rsid w:val="10C909B3"/>
    <w:rsid w:val="10CF50B1"/>
    <w:rsid w:val="10D75D0B"/>
    <w:rsid w:val="10E708F0"/>
    <w:rsid w:val="10EF574B"/>
    <w:rsid w:val="10EF74F9"/>
    <w:rsid w:val="11015FEE"/>
    <w:rsid w:val="11041A55"/>
    <w:rsid w:val="1111277E"/>
    <w:rsid w:val="114333A1"/>
    <w:rsid w:val="11596D7F"/>
    <w:rsid w:val="1161716F"/>
    <w:rsid w:val="11943BFC"/>
    <w:rsid w:val="11AD40C0"/>
    <w:rsid w:val="11D20B4B"/>
    <w:rsid w:val="11DF30A5"/>
    <w:rsid w:val="11EC5A98"/>
    <w:rsid w:val="11F25F53"/>
    <w:rsid w:val="11FF5A20"/>
    <w:rsid w:val="123110EB"/>
    <w:rsid w:val="12315756"/>
    <w:rsid w:val="123D6042"/>
    <w:rsid w:val="12550A22"/>
    <w:rsid w:val="12804BAA"/>
    <w:rsid w:val="129C0A65"/>
    <w:rsid w:val="12B00DB5"/>
    <w:rsid w:val="12B02A58"/>
    <w:rsid w:val="12F5187D"/>
    <w:rsid w:val="130848A2"/>
    <w:rsid w:val="131D659F"/>
    <w:rsid w:val="13413D09"/>
    <w:rsid w:val="136D09AC"/>
    <w:rsid w:val="13A15150"/>
    <w:rsid w:val="13B12DEB"/>
    <w:rsid w:val="13DC325E"/>
    <w:rsid w:val="13EC37D6"/>
    <w:rsid w:val="13ED447C"/>
    <w:rsid w:val="14081536"/>
    <w:rsid w:val="140F3162"/>
    <w:rsid w:val="142A4426"/>
    <w:rsid w:val="142F7E9D"/>
    <w:rsid w:val="14455E80"/>
    <w:rsid w:val="145777F4"/>
    <w:rsid w:val="145C71D9"/>
    <w:rsid w:val="14736F42"/>
    <w:rsid w:val="14B22909"/>
    <w:rsid w:val="14D12616"/>
    <w:rsid w:val="14D577BC"/>
    <w:rsid w:val="14DA74C7"/>
    <w:rsid w:val="14E12D9B"/>
    <w:rsid w:val="15032503"/>
    <w:rsid w:val="15032B74"/>
    <w:rsid w:val="152534E9"/>
    <w:rsid w:val="152A2ADC"/>
    <w:rsid w:val="15625068"/>
    <w:rsid w:val="15894FFC"/>
    <w:rsid w:val="159440B5"/>
    <w:rsid w:val="15A5324B"/>
    <w:rsid w:val="15B9280B"/>
    <w:rsid w:val="15DB44F0"/>
    <w:rsid w:val="15E75077"/>
    <w:rsid w:val="15E85788"/>
    <w:rsid w:val="15F455B0"/>
    <w:rsid w:val="160266A1"/>
    <w:rsid w:val="160E30FF"/>
    <w:rsid w:val="161476BB"/>
    <w:rsid w:val="161E6A30"/>
    <w:rsid w:val="163F0355"/>
    <w:rsid w:val="163F613D"/>
    <w:rsid w:val="164176E0"/>
    <w:rsid w:val="164B51A1"/>
    <w:rsid w:val="164D719B"/>
    <w:rsid w:val="165D5B06"/>
    <w:rsid w:val="165E5055"/>
    <w:rsid w:val="165F4CB9"/>
    <w:rsid w:val="16712A7D"/>
    <w:rsid w:val="167144B1"/>
    <w:rsid w:val="16872734"/>
    <w:rsid w:val="16F8368F"/>
    <w:rsid w:val="17331F2B"/>
    <w:rsid w:val="1745344E"/>
    <w:rsid w:val="17493312"/>
    <w:rsid w:val="17514FCE"/>
    <w:rsid w:val="17555BDC"/>
    <w:rsid w:val="1767428D"/>
    <w:rsid w:val="1791130A"/>
    <w:rsid w:val="17AF6388"/>
    <w:rsid w:val="17C32B10"/>
    <w:rsid w:val="17E24C4E"/>
    <w:rsid w:val="17E550FA"/>
    <w:rsid w:val="18234722"/>
    <w:rsid w:val="18342FA3"/>
    <w:rsid w:val="183A72AB"/>
    <w:rsid w:val="184500D8"/>
    <w:rsid w:val="185664E8"/>
    <w:rsid w:val="185F31B6"/>
    <w:rsid w:val="189640E9"/>
    <w:rsid w:val="18966F0B"/>
    <w:rsid w:val="189A5CC2"/>
    <w:rsid w:val="18A227E6"/>
    <w:rsid w:val="18A87D94"/>
    <w:rsid w:val="18B810E3"/>
    <w:rsid w:val="19265A82"/>
    <w:rsid w:val="1935637B"/>
    <w:rsid w:val="194E2132"/>
    <w:rsid w:val="1997435E"/>
    <w:rsid w:val="199E62FC"/>
    <w:rsid w:val="19F62B56"/>
    <w:rsid w:val="19FA57AB"/>
    <w:rsid w:val="1A292444"/>
    <w:rsid w:val="1A5A3C35"/>
    <w:rsid w:val="1A845156"/>
    <w:rsid w:val="1ABB7887"/>
    <w:rsid w:val="1AD601DC"/>
    <w:rsid w:val="1AE57BCB"/>
    <w:rsid w:val="1AED4AA9"/>
    <w:rsid w:val="1AEE2726"/>
    <w:rsid w:val="1B064F19"/>
    <w:rsid w:val="1B0E2DEF"/>
    <w:rsid w:val="1B156EAD"/>
    <w:rsid w:val="1B3E70B3"/>
    <w:rsid w:val="1B4B79BA"/>
    <w:rsid w:val="1B512D18"/>
    <w:rsid w:val="1B5542A6"/>
    <w:rsid w:val="1BB97E1C"/>
    <w:rsid w:val="1BCF26FC"/>
    <w:rsid w:val="1BDD4B1E"/>
    <w:rsid w:val="1BFC0A35"/>
    <w:rsid w:val="1C0F6133"/>
    <w:rsid w:val="1C3417A8"/>
    <w:rsid w:val="1C4F47B8"/>
    <w:rsid w:val="1C5006B8"/>
    <w:rsid w:val="1C8265B1"/>
    <w:rsid w:val="1C8C02F2"/>
    <w:rsid w:val="1C942E5F"/>
    <w:rsid w:val="1C98389B"/>
    <w:rsid w:val="1C9C01C2"/>
    <w:rsid w:val="1CA02FA9"/>
    <w:rsid w:val="1D230593"/>
    <w:rsid w:val="1D4A3D6D"/>
    <w:rsid w:val="1D4B581F"/>
    <w:rsid w:val="1D507571"/>
    <w:rsid w:val="1D74500E"/>
    <w:rsid w:val="1D7C07C1"/>
    <w:rsid w:val="1D970CFC"/>
    <w:rsid w:val="1D9E347C"/>
    <w:rsid w:val="1DCA6310"/>
    <w:rsid w:val="1DCC733C"/>
    <w:rsid w:val="1DEA1774"/>
    <w:rsid w:val="1DFD14A7"/>
    <w:rsid w:val="1E0E1A77"/>
    <w:rsid w:val="1E190ED1"/>
    <w:rsid w:val="1E365129"/>
    <w:rsid w:val="1E570657"/>
    <w:rsid w:val="1E652915"/>
    <w:rsid w:val="1E831280"/>
    <w:rsid w:val="1E875215"/>
    <w:rsid w:val="1E8E696A"/>
    <w:rsid w:val="1E9605A0"/>
    <w:rsid w:val="1EAC5D4E"/>
    <w:rsid w:val="1EAF2075"/>
    <w:rsid w:val="1EB42688"/>
    <w:rsid w:val="1EF65EF6"/>
    <w:rsid w:val="1F150B23"/>
    <w:rsid w:val="1F16618C"/>
    <w:rsid w:val="1F2142BD"/>
    <w:rsid w:val="1F274D0F"/>
    <w:rsid w:val="1F4D5E04"/>
    <w:rsid w:val="1F6F4E21"/>
    <w:rsid w:val="1F752B76"/>
    <w:rsid w:val="1F766DB5"/>
    <w:rsid w:val="1FB16FB5"/>
    <w:rsid w:val="1FE50C66"/>
    <w:rsid w:val="1FE93A82"/>
    <w:rsid w:val="1FFC12EA"/>
    <w:rsid w:val="20150A20"/>
    <w:rsid w:val="20316D23"/>
    <w:rsid w:val="20372F22"/>
    <w:rsid w:val="20377035"/>
    <w:rsid w:val="205109A5"/>
    <w:rsid w:val="20657643"/>
    <w:rsid w:val="207417C9"/>
    <w:rsid w:val="207672EF"/>
    <w:rsid w:val="20831A0C"/>
    <w:rsid w:val="2084218A"/>
    <w:rsid w:val="20942F47"/>
    <w:rsid w:val="20B70213"/>
    <w:rsid w:val="20BD316F"/>
    <w:rsid w:val="20C34C54"/>
    <w:rsid w:val="20CE4CC1"/>
    <w:rsid w:val="20D600D3"/>
    <w:rsid w:val="21101469"/>
    <w:rsid w:val="21220857"/>
    <w:rsid w:val="212C6804"/>
    <w:rsid w:val="21406D15"/>
    <w:rsid w:val="21505D92"/>
    <w:rsid w:val="2157412F"/>
    <w:rsid w:val="216B2168"/>
    <w:rsid w:val="216B497A"/>
    <w:rsid w:val="21D038B0"/>
    <w:rsid w:val="21E5472C"/>
    <w:rsid w:val="21EA5A77"/>
    <w:rsid w:val="22190D7C"/>
    <w:rsid w:val="223A733C"/>
    <w:rsid w:val="225F0ECD"/>
    <w:rsid w:val="22A42BB5"/>
    <w:rsid w:val="22A752A0"/>
    <w:rsid w:val="22B22A24"/>
    <w:rsid w:val="22BB723B"/>
    <w:rsid w:val="22BF2074"/>
    <w:rsid w:val="22F97D63"/>
    <w:rsid w:val="230D2FCA"/>
    <w:rsid w:val="231E6AFC"/>
    <w:rsid w:val="23215B1D"/>
    <w:rsid w:val="23302525"/>
    <w:rsid w:val="234E6301"/>
    <w:rsid w:val="236F2961"/>
    <w:rsid w:val="23881A78"/>
    <w:rsid w:val="23923E6F"/>
    <w:rsid w:val="23955CDE"/>
    <w:rsid w:val="23956888"/>
    <w:rsid w:val="23E777CE"/>
    <w:rsid w:val="23E8379B"/>
    <w:rsid w:val="23F55DD4"/>
    <w:rsid w:val="243506FD"/>
    <w:rsid w:val="243C73F8"/>
    <w:rsid w:val="24584F2B"/>
    <w:rsid w:val="245E509E"/>
    <w:rsid w:val="24B108F5"/>
    <w:rsid w:val="24C30629"/>
    <w:rsid w:val="24C46541"/>
    <w:rsid w:val="24C77FBE"/>
    <w:rsid w:val="24D24A25"/>
    <w:rsid w:val="24E258D9"/>
    <w:rsid w:val="24ED3151"/>
    <w:rsid w:val="24ED38F7"/>
    <w:rsid w:val="24F13392"/>
    <w:rsid w:val="25146B1D"/>
    <w:rsid w:val="252614E7"/>
    <w:rsid w:val="253B75E8"/>
    <w:rsid w:val="25483EE1"/>
    <w:rsid w:val="25635DB9"/>
    <w:rsid w:val="2576495E"/>
    <w:rsid w:val="257A162F"/>
    <w:rsid w:val="259A0775"/>
    <w:rsid w:val="25B20D14"/>
    <w:rsid w:val="25C100E9"/>
    <w:rsid w:val="25C1100C"/>
    <w:rsid w:val="25E63D4A"/>
    <w:rsid w:val="260513DD"/>
    <w:rsid w:val="26053AA5"/>
    <w:rsid w:val="260E0ADF"/>
    <w:rsid w:val="2628593F"/>
    <w:rsid w:val="263E440B"/>
    <w:rsid w:val="26410511"/>
    <w:rsid w:val="26455F3B"/>
    <w:rsid w:val="26553BCD"/>
    <w:rsid w:val="26695200"/>
    <w:rsid w:val="267047E0"/>
    <w:rsid w:val="268E6530"/>
    <w:rsid w:val="26902A6F"/>
    <w:rsid w:val="26937F27"/>
    <w:rsid w:val="2696313E"/>
    <w:rsid w:val="26A83F7A"/>
    <w:rsid w:val="26C6369E"/>
    <w:rsid w:val="26E07FCC"/>
    <w:rsid w:val="26E86A6C"/>
    <w:rsid w:val="27050247"/>
    <w:rsid w:val="2716477B"/>
    <w:rsid w:val="27411D7E"/>
    <w:rsid w:val="275D452D"/>
    <w:rsid w:val="277D4196"/>
    <w:rsid w:val="27954D29"/>
    <w:rsid w:val="2799472D"/>
    <w:rsid w:val="27A91D58"/>
    <w:rsid w:val="27AC6324"/>
    <w:rsid w:val="27C31E0B"/>
    <w:rsid w:val="27C63036"/>
    <w:rsid w:val="27D25119"/>
    <w:rsid w:val="27E211CE"/>
    <w:rsid w:val="27E71F31"/>
    <w:rsid w:val="27F51441"/>
    <w:rsid w:val="28011BDE"/>
    <w:rsid w:val="28093FCF"/>
    <w:rsid w:val="281102E0"/>
    <w:rsid w:val="281A5D26"/>
    <w:rsid w:val="28414686"/>
    <w:rsid w:val="288F0A8A"/>
    <w:rsid w:val="28951D7B"/>
    <w:rsid w:val="2897789A"/>
    <w:rsid w:val="28B41F7A"/>
    <w:rsid w:val="28B5472C"/>
    <w:rsid w:val="28D177B8"/>
    <w:rsid w:val="28F96D0F"/>
    <w:rsid w:val="29335353"/>
    <w:rsid w:val="29357969"/>
    <w:rsid w:val="29441212"/>
    <w:rsid w:val="295811AE"/>
    <w:rsid w:val="296E3E86"/>
    <w:rsid w:val="2986329B"/>
    <w:rsid w:val="298D1DEF"/>
    <w:rsid w:val="299425C7"/>
    <w:rsid w:val="299D3CC2"/>
    <w:rsid w:val="29B644DD"/>
    <w:rsid w:val="29BB6DAB"/>
    <w:rsid w:val="29BF7E45"/>
    <w:rsid w:val="29CB0257"/>
    <w:rsid w:val="29E51E6F"/>
    <w:rsid w:val="29E700D2"/>
    <w:rsid w:val="2A1262DA"/>
    <w:rsid w:val="2A1D4E7B"/>
    <w:rsid w:val="2A2658E2"/>
    <w:rsid w:val="2A296EF2"/>
    <w:rsid w:val="2A32072A"/>
    <w:rsid w:val="2A4C5AC5"/>
    <w:rsid w:val="2A756869"/>
    <w:rsid w:val="2AA607D0"/>
    <w:rsid w:val="2ABB4E32"/>
    <w:rsid w:val="2AD044D2"/>
    <w:rsid w:val="2ADE7259"/>
    <w:rsid w:val="2AE5579D"/>
    <w:rsid w:val="2AE810C1"/>
    <w:rsid w:val="2B357C84"/>
    <w:rsid w:val="2B460B1F"/>
    <w:rsid w:val="2B4C1378"/>
    <w:rsid w:val="2B6205F4"/>
    <w:rsid w:val="2B623F39"/>
    <w:rsid w:val="2B7012CF"/>
    <w:rsid w:val="2B7545E2"/>
    <w:rsid w:val="2B764647"/>
    <w:rsid w:val="2BA127DE"/>
    <w:rsid w:val="2BAA609E"/>
    <w:rsid w:val="2BB1742D"/>
    <w:rsid w:val="2BB279CA"/>
    <w:rsid w:val="2BD94C9F"/>
    <w:rsid w:val="2BDB6BA0"/>
    <w:rsid w:val="2C1F4CDE"/>
    <w:rsid w:val="2C2460A5"/>
    <w:rsid w:val="2C2B0CE0"/>
    <w:rsid w:val="2C794ED2"/>
    <w:rsid w:val="2C8425EF"/>
    <w:rsid w:val="2C8C4254"/>
    <w:rsid w:val="2C9E20A7"/>
    <w:rsid w:val="2CAD4098"/>
    <w:rsid w:val="2CB52F4D"/>
    <w:rsid w:val="2CD9000B"/>
    <w:rsid w:val="2CEB0B05"/>
    <w:rsid w:val="2CF0667B"/>
    <w:rsid w:val="2D105B88"/>
    <w:rsid w:val="2D317261"/>
    <w:rsid w:val="2D6A6CF3"/>
    <w:rsid w:val="2D6E2F97"/>
    <w:rsid w:val="2D740237"/>
    <w:rsid w:val="2D7B455B"/>
    <w:rsid w:val="2D843603"/>
    <w:rsid w:val="2D984220"/>
    <w:rsid w:val="2DB969AC"/>
    <w:rsid w:val="2DE66D43"/>
    <w:rsid w:val="2DEA7746"/>
    <w:rsid w:val="2DF262D9"/>
    <w:rsid w:val="2E1135A2"/>
    <w:rsid w:val="2E2575CF"/>
    <w:rsid w:val="2E4052C9"/>
    <w:rsid w:val="2E541F88"/>
    <w:rsid w:val="2E775643"/>
    <w:rsid w:val="2E911344"/>
    <w:rsid w:val="2EAC0F02"/>
    <w:rsid w:val="2EC15BD9"/>
    <w:rsid w:val="2ED522EB"/>
    <w:rsid w:val="2EDF2503"/>
    <w:rsid w:val="2EE225D9"/>
    <w:rsid w:val="2EE35BBA"/>
    <w:rsid w:val="2EE61AE3"/>
    <w:rsid w:val="2EE87609"/>
    <w:rsid w:val="2EEC54EB"/>
    <w:rsid w:val="2F0A3754"/>
    <w:rsid w:val="2F0E0E81"/>
    <w:rsid w:val="2F1B23B1"/>
    <w:rsid w:val="2F234A04"/>
    <w:rsid w:val="2F2A5C08"/>
    <w:rsid w:val="2F2C02B1"/>
    <w:rsid w:val="2F2F2993"/>
    <w:rsid w:val="2F350375"/>
    <w:rsid w:val="2F3C1703"/>
    <w:rsid w:val="2F4319C4"/>
    <w:rsid w:val="2F511653"/>
    <w:rsid w:val="2F64517C"/>
    <w:rsid w:val="2F72033B"/>
    <w:rsid w:val="2F7C55B5"/>
    <w:rsid w:val="2F814675"/>
    <w:rsid w:val="2F8B61E7"/>
    <w:rsid w:val="2FA32702"/>
    <w:rsid w:val="2FA45BDE"/>
    <w:rsid w:val="2FC55B9D"/>
    <w:rsid w:val="2FD45805"/>
    <w:rsid w:val="2FDD10AB"/>
    <w:rsid w:val="2FF344BC"/>
    <w:rsid w:val="300C37CC"/>
    <w:rsid w:val="302455A1"/>
    <w:rsid w:val="302E1A84"/>
    <w:rsid w:val="303E290D"/>
    <w:rsid w:val="30427438"/>
    <w:rsid w:val="304545E8"/>
    <w:rsid w:val="30525A93"/>
    <w:rsid w:val="30566085"/>
    <w:rsid w:val="305A39A9"/>
    <w:rsid w:val="306436EC"/>
    <w:rsid w:val="30780FBE"/>
    <w:rsid w:val="307F0A3C"/>
    <w:rsid w:val="3091640C"/>
    <w:rsid w:val="309706E8"/>
    <w:rsid w:val="30A13F14"/>
    <w:rsid w:val="30CD5E8E"/>
    <w:rsid w:val="30CE2227"/>
    <w:rsid w:val="30E5492B"/>
    <w:rsid w:val="30FB0891"/>
    <w:rsid w:val="31074CC6"/>
    <w:rsid w:val="31295CB7"/>
    <w:rsid w:val="31382864"/>
    <w:rsid w:val="313F3825"/>
    <w:rsid w:val="3150589C"/>
    <w:rsid w:val="317653A0"/>
    <w:rsid w:val="3181316E"/>
    <w:rsid w:val="319C0B7F"/>
    <w:rsid w:val="319F7C82"/>
    <w:rsid w:val="31B92E7D"/>
    <w:rsid w:val="31D13224"/>
    <w:rsid w:val="31D31CA4"/>
    <w:rsid w:val="31D766C2"/>
    <w:rsid w:val="31D80E70"/>
    <w:rsid w:val="3219327C"/>
    <w:rsid w:val="32821926"/>
    <w:rsid w:val="32987598"/>
    <w:rsid w:val="32D9496E"/>
    <w:rsid w:val="32E6470E"/>
    <w:rsid w:val="32F736C5"/>
    <w:rsid w:val="32FC18D5"/>
    <w:rsid w:val="33057E37"/>
    <w:rsid w:val="331F7B1D"/>
    <w:rsid w:val="334B2C9C"/>
    <w:rsid w:val="334D2131"/>
    <w:rsid w:val="33681C4E"/>
    <w:rsid w:val="3380195C"/>
    <w:rsid w:val="338E38D7"/>
    <w:rsid w:val="338F274A"/>
    <w:rsid w:val="3397731B"/>
    <w:rsid w:val="33DA14EB"/>
    <w:rsid w:val="33E40B73"/>
    <w:rsid w:val="33F33484"/>
    <w:rsid w:val="34232E17"/>
    <w:rsid w:val="34545741"/>
    <w:rsid w:val="345F031B"/>
    <w:rsid w:val="34621C0C"/>
    <w:rsid w:val="346B143F"/>
    <w:rsid w:val="347B3D42"/>
    <w:rsid w:val="349E285C"/>
    <w:rsid w:val="34B647A0"/>
    <w:rsid w:val="34B955A4"/>
    <w:rsid w:val="34C40830"/>
    <w:rsid w:val="34CC4FAF"/>
    <w:rsid w:val="34DC72EC"/>
    <w:rsid w:val="34EE28B4"/>
    <w:rsid w:val="3509067B"/>
    <w:rsid w:val="35114F73"/>
    <w:rsid w:val="351331F9"/>
    <w:rsid w:val="352A4799"/>
    <w:rsid w:val="352A6255"/>
    <w:rsid w:val="35335357"/>
    <w:rsid w:val="35392370"/>
    <w:rsid w:val="35793BE0"/>
    <w:rsid w:val="35850A1D"/>
    <w:rsid w:val="35A60F06"/>
    <w:rsid w:val="35B778E1"/>
    <w:rsid w:val="35C1274C"/>
    <w:rsid w:val="35C30488"/>
    <w:rsid w:val="35EB3E83"/>
    <w:rsid w:val="35FD679D"/>
    <w:rsid w:val="360C783C"/>
    <w:rsid w:val="363366EC"/>
    <w:rsid w:val="36343134"/>
    <w:rsid w:val="36415913"/>
    <w:rsid w:val="36435A6D"/>
    <w:rsid w:val="36503EE1"/>
    <w:rsid w:val="365C3CF4"/>
    <w:rsid w:val="3667757C"/>
    <w:rsid w:val="36763741"/>
    <w:rsid w:val="367E2601"/>
    <w:rsid w:val="368C7C23"/>
    <w:rsid w:val="3699052E"/>
    <w:rsid w:val="36C02492"/>
    <w:rsid w:val="36D604AD"/>
    <w:rsid w:val="36EB6D88"/>
    <w:rsid w:val="36F07299"/>
    <w:rsid w:val="36F668C1"/>
    <w:rsid w:val="36F670F7"/>
    <w:rsid w:val="36FF7ACA"/>
    <w:rsid w:val="370276FA"/>
    <w:rsid w:val="373D5CAD"/>
    <w:rsid w:val="37415551"/>
    <w:rsid w:val="37480D70"/>
    <w:rsid w:val="37596F6E"/>
    <w:rsid w:val="37696EE2"/>
    <w:rsid w:val="37701ECF"/>
    <w:rsid w:val="3793032E"/>
    <w:rsid w:val="379D2569"/>
    <w:rsid w:val="37C04DF2"/>
    <w:rsid w:val="37DF6208"/>
    <w:rsid w:val="37EA34B3"/>
    <w:rsid w:val="38210FAD"/>
    <w:rsid w:val="383D6E69"/>
    <w:rsid w:val="384D4981"/>
    <w:rsid w:val="38682222"/>
    <w:rsid w:val="386F591C"/>
    <w:rsid w:val="3870241E"/>
    <w:rsid w:val="387B329C"/>
    <w:rsid w:val="3892123A"/>
    <w:rsid w:val="389D6F8E"/>
    <w:rsid w:val="38A60DFB"/>
    <w:rsid w:val="38B17171"/>
    <w:rsid w:val="38B612A5"/>
    <w:rsid w:val="38EA7659"/>
    <w:rsid w:val="38EC4FD5"/>
    <w:rsid w:val="38FD0155"/>
    <w:rsid w:val="38FE4E7B"/>
    <w:rsid w:val="3930052B"/>
    <w:rsid w:val="393500E7"/>
    <w:rsid w:val="3967437A"/>
    <w:rsid w:val="398F0B84"/>
    <w:rsid w:val="39914226"/>
    <w:rsid w:val="39923B2A"/>
    <w:rsid w:val="399B0E36"/>
    <w:rsid w:val="399C486D"/>
    <w:rsid w:val="39B7436B"/>
    <w:rsid w:val="39C72A4A"/>
    <w:rsid w:val="39F350B4"/>
    <w:rsid w:val="39F50E2C"/>
    <w:rsid w:val="39FE1A63"/>
    <w:rsid w:val="3A085004"/>
    <w:rsid w:val="3A12643F"/>
    <w:rsid w:val="3A18298D"/>
    <w:rsid w:val="3A2E752D"/>
    <w:rsid w:val="3A79657C"/>
    <w:rsid w:val="3A8B48E8"/>
    <w:rsid w:val="3A9473E4"/>
    <w:rsid w:val="3A9769AD"/>
    <w:rsid w:val="3AD1456B"/>
    <w:rsid w:val="3AF13464"/>
    <w:rsid w:val="3B1519CA"/>
    <w:rsid w:val="3B3E1BCF"/>
    <w:rsid w:val="3B415613"/>
    <w:rsid w:val="3B424545"/>
    <w:rsid w:val="3B4A15EF"/>
    <w:rsid w:val="3B505D1C"/>
    <w:rsid w:val="3B5346A9"/>
    <w:rsid w:val="3B8F5142"/>
    <w:rsid w:val="3BDD0731"/>
    <w:rsid w:val="3BDF44AF"/>
    <w:rsid w:val="3BEB4950"/>
    <w:rsid w:val="3BF41B76"/>
    <w:rsid w:val="3BF84C04"/>
    <w:rsid w:val="3BF87736"/>
    <w:rsid w:val="3BF951D5"/>
    <w:rsid w:val="3BFE66BE"/>
    <w:rsid w:val="3C0435A9"/>
    <w:rsid w:val="3C352994"/>
    <w:rsid w:val="3C4A6E73"/>
    <w:rsid w:val="3C4A71D8"/>
    <w:rsid w:val="3C4D31A2"/>
    <w:rsid w:val="3C5B0687"/>
    <w:rsid w:val="3C653583"/>
    <w:rsid w:val="3C7312E5"/>
    <w:rsid w:val="3CA0643B"/>
    <w:rsid w:val="3CAA0963"/>
    <w:rsid w:val="3CBA010B"/>
    <w:rsid w:val="3CC95180"/>
    <w:rsid w:val="3CFF6AF3"/>
    <w:rsid w:val="3D197528"/>
    <w:rsid w:val="3D2F0478"/>
    <w:rsid w:val="3D334A82"/>
    <w:rsid w:val="3D475C1D"/>
    <w:rsid w:val="3D60006D"/>
    <w:rsid w:val="3DBA6431"/>
    <w:rsid w:val="3DC408C7"/>
    <w:rsid w:val="3DCA00D0"/>
    <w:rsid w:val="3DD6019B"/>
    <w:rsid w:val="3DDF4127"/>
    <w:rsid w:val="3DE63525"/>
    <w:rsid w:val="3DF4351E"/>
    <w:rsid w:val="3DF82C60"/>
    <w:rsid w:val="3E722D64"/>
    <w:rsid w:val="3E7324C8"/>
    <w:rsid w:val="3E7418DE"/>
    <w:rsid w:val="3E883889"/>
    <w:rsid w:val="3E8D4137"/>
    <w:rsid w:val="3E95071B"/>
    <w:rsid w:val="3E98316B"/>
    <w:rsid w:val="3EA4635F"/>
    <w:rsid w:val="3EB86799"/>
    <w:rsid w:val="3EB90CA4"/>
    <w:rsid w:val="3EB94B1E"/>
    <w:rsid w:val="3F073968"/>
    <w:rsid w:val="3F133C55"/>
    <w:rsid w:val="3F2D33A5"/>
    <w:rsid w:val="3F2E1A93"/>
    <w:rsid w:val="3F43366E"/>
    <w:rsid w:val="3F6A22C9"/>
    <w:rsid w:val="3F9614BE"/>
    <w:rsid w:val="3F9877BA"/>
    <w:rsid w:val="3FA4132B"/>
    <w:rsid w:val="3FA44006"/>
    <w:rsid w:val="3FA57E56"/>
    <w:rsid w:val="3FB22C15"/>
    <w:rsid w:val="3FB57570"/>
    <w:rsid w:val="3FD55988"/>
    <w:rsid w:val="3FE94CB5"/>
    <w:rsid w:val="401F6738"/>
    <w:rsid w:val="40242916"/>
    <w:rsid w:val="402C4B27"/>
    <w:rsid w:val="404E1FB1"/>
    <w:rsid w:val="404E573A"/>
    <w:rsid w:val="407439C5"/>
    <w:rsid w:val="40760E8C"/>
    <w:rsid w:val="408A31D9"/>
    <w:rsid w:val="4090365D"/>
    <w:rsid w:val="40BC6FCB"/>
    <w:rsid w:val="40CE4185"/>
    <w:rsid w:val="40F11107"/>
    <w:rsid w:val="40F2256A"/>
    <w:rsid w:val="40F232E7"/>
    <w:rsid w:val="410B7187"/>
    <w:rsid w:val="41236604"/>
    <w:rsid w:val="41543EE0"/>
    <w:rsid w:val="415E65CF"/>
    <w:rsid w:val="416060BA"/>
    <w:rsid w:val="41883CD7"/>
    <w:rsid w:val="418F0696"/>
    <w:rsid w:val="419E624E"/>
    <w:rsid w:val="41A93698"/>
    <w:rsid w:val="41BA070A"/>
    <w:rsid w:val="41C826FB"/>
    <w:rsid w:val="41DE2CC8"/>
    <w:rsid w:val="41DF2AEE"/>
    <w:rsid w:val="41F12AD4"/>
    <w:rsid w:val="42101BB7"/>
    <w:rsid w:val="4228206A"/>
    <w:rsid w:val="42440BA3"/>
    <w:rsid w:val="424B0183"/>
    <w:rsid w:val="424D060C"/>
    <w:rsid w:val="424E1A22"/>
    <w:rsid w:val="42A104CF"/>
    <w:rsid w:val="42CA4770"/>
    <w:rsid w:val="42D72D69"/>
    <w:rsid w:val="42EC7BF5"/>
    <w:rsid w:val="42F1783F"/>
    <w:rsid w:val="42F638E0"/>
    <w:rsid w:val="43114C09"/>
    <w:rsid w:val="432A2FBF"/>
    <w:rsid w:val="432D65E1"/>
    <w:rsid w:val="43631293"/>
    <w:rsid w:val="439A164E"/>
    <w:rsid w:val="43AA2713"/>
    <w:rsid w:val="43C34368"/>
    <w:rsid w:val="43CF0230"/>
    <w:rsid w:val="43E140AB"/>
    <w:rsid w:val="4402473F"/>
    <w:rsid w:val="440700DA"/>
    <w:rsid w:val="44084987"/>
    <w:rsid w:val="442B32FB"/>
    <w:rsid w:val="444D1390"/>
    <w:rsid w:val="44596F65"/>
    <w:rsid w:val="44630200"/>
    <w:rsid w:val="446D0225"/>
    <w:rsid w:val="44A815AB"/>
    <w:rsid w:val="44DC4046"/>
    <w:rsid w:val="44E01B94"/>
    <w:rsid w:val="44E73A68"/>
    <w:rsid w:val="45104400"/>
    <w:rsid w:val="45204392"/>
    <w:rsid w:val="45276D82"/>
    <w:rsid w:val="45794CDE"/>
    <w:rsid w:val="4582210E"/>
    <w:rsid w:val="45981945"/>
    <w:rsid w:val="459B3839"/>
    <w:rsid w:val="45A36D5D"/>
    <w:rsid w:val="45AC069E"/>
    <w:rsid w:val="45BB7A1B"/>
    <w:rsid w:val="45C17918"/>
    <w:rsid w:val="45CF4C28"/>
    <w:rsid w:val="45EA4AB1"/>
    <w:rsid w:val="461509F9"/>
    <w:rsid w:val="461C5C91"/>
    <w:rsid w:val="461D3BE5"/>
    <w:rsid w:val="462D77E4"/>
    <w:rsid w:val="464072C9"/>
    <w:rsid w:val="464A0FBC"/>
    <w:rsid w:val="464E1425"/>
    <w:rsid w:val="468E4679"/>
    <w:rsid w:val="469B5679"/>
    <w:rsid w:val="46B221FD"/>
    <w:rsid w:val="46CF4218"/>
    <w:rsid w:val="46D12ADD"/>
    <w:rsid w:val="471A6376"/>
    <w:rsid w:val="471A7A15"/>
    <w:rsid w:val="472A1C99"/>
    <w:rsid w:val="473F54A1"/>
    <w:rsid w:val="4760023B"/>
    <w:rsid w:val="47641D0F"/>
    <w:rsid w:val="477041E8"/>
    <w:rsid w:val="477C5BA2"/>
    <w:rsid w:val="479965F9"/>
    <w:rsid w:val="47BE6F14"/>
    <w:rsid w:val="47DB3D58"/>
    <w:rsid w:val="47EF724B"/>
    <w:rsid w:val="47F54856"/>
    <w:rsid w:val="48233C25"/>
    <w:rsid w:val="482422CD"/>
    <w:rsid w:val="48413B48"/>
    <w:rsid w:val="48575BD9"/>
    <w:rsid w:val="485F60FA"/>
    <w:rsid w:val="4867383D"/>
    <w:rsid w:val="4876582E"/>
    <w:rsid w:val="48BB6A5D"/>
    <w:rsid w:val="48C1465F"/>
    <w:rsid w:val="48DA121C"/>
    <w:rsid w:val="48F34DB8"/>
    <w:rsid w:val="48F41B2D"/>
    <w:rsid w:val="49153299"/>
    <w:rsid w:val="491E23C6"/>
    <w:rsid w:val="49230281"/>
    <w:rsid w:val="49322BBA"/>
    <w:rsid w:val="49462D7B"/>
    <w:rsid w:val="49522A05"/>
    <w:rsid w:val="498506D8"/>
    <w:rsid w:val="49980EDD"/>
    <w:rsid w:val="49A31507"/>
    <w:rsid w:val="49A743DC"/>
    <w:rsid w:val="49B25D27"/>
    <w:rsid w:val="49DC7913"/>
    <w:rsid w:val="49EE703D"/>
    <w:rsid w:val="4A1E6FE1"/>
    <w:rsid w:val="4A281265"/>
    <w:rsid w:val="4A5D4CD4"/>
    <w:rsid w:val="4A62250E"/>
    <w:rsid w:val="4AAE3FCC"/>
    <w:rsid w:val="4AB77EF4"/>
    <w:rsid w:val="4ABA409E"/>
    <w:rsid w:val="4AC271BC"/>
    <w:rsid w:val="4ADF2B28"/>
    <w:rsid w:val="4AFB026D"/>
    <w:rsid w:val="4AFD2237"/>
    <w:rsid w:val="4B0645B8"/>
    <w:rsid w:val="4B3666D8"/>
    <w:rsid w:val="4B3A4402"/>
    <w:rsid w:val="4B6C3DC3"/>
    <w:rsid w:val="4B7031B5"/>
    <w:rsid w:val="4B782A97"/>
    <w:rsid w:val="4B9705C6"/>
    <w:rsid w:val="4BA97CC9"/>
    <w:rsid w:val="4BAD7ECF"/>
    <w:rsid w:val="4BB248DF"/>
    <w:rsid w:val="4BBD50B4"/>
    <w:rsid w:val="4BC450C9"/>
    <w:rsid w:val="4BE81DC3"/>
    <w:rsid w:val="4BED5E48"/>
    <w:rsid w:val="4C003FAB"/>
    <w:rsid w:val="4C0373D9"/>
    <w:rsid w:val="4C0C45AD"/>
    <w:rsid w:val="4C0D3C8B"/>
    <w:rsid w:val="4C3605C6"/>
    <w:rsid w:val="4C3E30C1"/>
    <w:rsid w:val="4C3F26BA"/>
    <w:rsid w:val="4C56353D"/>
    <w:rsid w:val="4C7B453D"/>
    <w:rsid w:val="4C8E75EA"/>
    <w:rsid w:val="4CBE6437"/>
    <w:rsid w:val="4CC725EA"/>
    <w:rsid w:val="4CD42089"/>
    <w:rsid w:val="4CF4722C"/>
    <w:rsid w:val="4D0C711D"/>
    <w:rsid w:val="4D1825E1"/>
    <w:rsid w:val="4D21045F"/>
    <w:rsid w:val="4D212023"/>
    <w:rsid w:val="4D244A74"/>
    <w:rsid w:val="4D3C76F6"/>
    <w:rsid w:val="4D3E449E"/>
    <w:rsid w:val="4D532AD2"/>
    <w:rsid w:val="4D622684"/>
    <w:rsid w:val="4D700A9E"/>
    <w:rsid w:val="4D9511A9"/>
    <w:rsid w:val="4DD619D5"/>
    <w:rsid w:val="4DFA27E5"/>
    <w:rsid w:val="4E007E84"/>
    <w:rsid w:val="4E305F9A"/>
    <w:rsid w:val="4E320593"/>
    <w:rsid w:val="4E383D1E"/>
    <w:rsid w:val="4E5879D7"/>
    <w:rsid w:val="4E690274"/>
    <w:rsid w:val="4E6D2AF2"/>
    <w:rsid w:val="4E6E3FBD"/>
    <w:rsid w:val="4E704ACE"/>
    <w:rsid w:val="4E755693"/>
    <w:rsid w:val="4E8011B5"/>
    <w:rsid w:val="4E834801"/>
    <w:rsid w:val="4E922D55"/>
    <w:rsid w:val="4E98403C"/>
    <w:rsid w:val="4EA26182"/>
    <w:rsid w:val="4EBD7C6C"/>
    <w:rsid w:val="4EC27B59"/>
    <w:rsid w:val="4EC50822"/>
    <w:rsid w:val="4EC52573"/>
    <w:rsid w:val="4EC70B92"/>
    <w:rsid w:val="4EFA2C36"/>
    <w:rsid w:val="4EFA4EBF"/>
    <w:rsid w:val="4F635510"/>
    <w:rsid w:val="4F642884"/>
    <w:rsid w:val="4F6A2C53"/>
    <w:rsid w:val="4F6D0EA9"/>
    <w:rsid w:val="4F7B372A"/>
    <w:rsid w:val="4F7C426C"/>
    <w:rsid w:val="4F7D4CCE"/>
    <w:rsid w:val="4F893BB7"/>
    <w:rsid w:val="4FCE1FB1"/>
    <w:rsid w:val="4FD325DB"/>
    <w:rsid w:val="4FD56908"/>
    <w:rsid w:val="4FDA2B47"/>
    <w:rsid w:val="4FE46514"/>
    <w:rsid w:val="4FFB655A"/>
    <w:rsid w:val="502B23BF"/>
    <w:rsid w:val="504A6734"/>
    <w:rsid w:val="50507626"/>
    <w:rsid w:val="50666188"/>
    <w:rsid w:val="5069797A"/>
    <w:rsid w:val="50724B2D"/>
    <w:rsid w:val="50821560"/>
    <w:rsid w:val="50A5132E"/>
    <w:rsid w:val="50B769E4"/>
    <w:rsid w:val="50BB4726"/>
    <w:rsid w:val="50BC0DA6"/>
    <w:rsid w:val="50C04386"/>
    <w:rsid w:val="50C53D17"/>
    <w:rsid w:val="50C85095"/>
    <w:rsid w:val="50CD6207"/>
    <w:rsid w:val="50D17AA6"/>
    <w:rsid w:val="50D54406"/>
    <w:rsid w:val="50F93265"/>
    <w:rsid w:val="50FF4027"/>
    <w:rsid w:val="513D338D"/>
    <w:rsid w:val="513E4D75"/>
    <w:rsid w:val="51426C93"/>
    <w:rsid w:val="516052CE"/>
    <w:rsid w:val="51695F31"/>
    <w:rsid w:val="51874608"/>
    <w:rsid w:val="518D617A"/>
    <w:rsid w:val="518F5E7E"/>
    <w:rsid w:val="51D24E05"/>
    <w:rsid w:val="51EA6A58"/>
    <w:rsid w:val="51EF7CAA"/>
    <w:rsid w:val="51F078E9"/>
    <w:rsid w:val="51F8507C"/>
    <w:rsid w:val="52081E53"/>
    <w:rsid w:val="520D477C"/>
    <w:rsid w:val="521C11F4"/>
    <w:rsid w:val="522B5BCF"/>
    <w:rsid w:val="524F384E"/>
    <w:rsid w:val="526572F9"/>
    <w:rsid w:val="527C6137"/>
    <w:rsid w:val="52A65A45"/>
    <w:rsid w:val="52B34C9A"/>
    <w:rsid w:val="52D41347"/>
    <w:rsid w:val="52E87A4B"/>
    <w:rsid w:val="52ED51E8"/>
    <w:rsid w:val="52F67E97"/>
    <w:rsid w:val="53020DEF"/>
    <w:rsid w:val="53152C11"/>
    <w:rsid w:val="53206163"/>
    <w:rsid w:val="5327253F"/>
    <w:rsid w:val="533B56AA"/>
    <w:rsid w:val="534741D8"/>
    <w:rsid w:val="53502F28"/>
    <w:rsid w:val="538925BD"/>
    <w:rsid w:val="539A4AC7"/>
    <w:rsid w:val="53A62014"/>
    <w:rsid w:val="53B778C6"/>
    <w:rsid w:val="53BA11DE"/>
    <w:rsid w:val="53CC38FD"/>
    <w:rsid w:val="53F266B1"/>
    <w:rsid w:val="54240054"/>
    <w:rsid w:val="542C398B"/>
    <w:rsid w:val="546F6F25"/>
    <w:rsid w:val="54782553"/>
    <w:rsid w:val="547D44FB"/>
    <w:rsid w:val="547D63E8"/>
    <w:rsid w:val="54921C42"/>
    <w:rsid w:val="54BB5AFD"/>
    <w:rsid w:val="54D63194"/>
    <w:rsid w:val="54D813DF"/>
    <w:rsid w:val="54E77AA5"/>
    <w:rsid w:val="54EA6DF6"/>
    <w:rsid w:val="54EB23C5"/>
    <w:rsid w:val="54EB459D"/>
    <w:rsid w:val="5503356C"/>
    <w:rsid w:val="55102A77"/>
    <w:rsid w:val="55236E94"/>
    <w:rsid w:val="554F18E1"/>
    <w:rsid w:val="55595DBA"/>
    <w:rsid w:val="55650A6E"/>
    <w:rsid w:val="55733821"/>
    <w:rsid w:val="55794BB0"/>
    <w:rsid w:val="55BA0980"/>
    <w:rsid w:val="55BF4915"/>
    <w:rsid w:val="55C36B7D"/>
    <w:rsid w:val="55E113C1"/>
    <w:rsid w:val="55E46FF7"/>
    <w:rsid w:val="560808AE"/>
    <w:rsid w:val="560C1580"/>
    <w:rsid w:val="56192B5D"/>
    <w:rsid w:val="56275399"/>
    <w:rsid w:val="56311114"/>
    <w:rsid w:val="56487061"/>
    <w:rsid w:val="56510192"/>
    <w:rsid w:val="56551D49"/>
    <w:rsid w:val="565F7902"/>
    <w:rsid w:val="566B4D96"/>
    <w:rsid w:val="56A3601C"/>
    <w:rsid w:val="56A45389"/>
    <w:rsid w:val="56AA0C5F"/>
    <w:rsid w:val="56AC1796"/>
    <w:rsid w:val="56AC613B"/>
    <w:rsid w:val="56AE4585"/>
    <w:rsid w:val="56B62977"/>
    <w:rsid w:val="56BA001B"/>
    <w:rsid w:val="56DD2C38"/>
    <w:rsid w:val="56E86F58"/>
    <w:rsid w:val="56F50266"/>
    <w:rsid w:val="56F748C1"/>
    <w:rsid w:val="5708463A"/>
    <w:rsid w:val="571246B0"/>
    <w:rsid w:val="57224260"/>
    <w:rsid w:val="572823EA"/>
    <w:rsid w:val="573C7004"/>
    <w:rsid w:val="573D0000"/>
    <w:rsid w:val="575256B8"/>
    <w:rsid w:val="57665544"/>
    <w:rsid w:val="57793367"/>
    <w:rsid w:val="57B10028"/>
    <w:rsid w:val="57C62B19"/>
    <w:rsid w:val="57D63109"/>
    <w:rsid w:val="57EA57FD"/>
    <w:rsid w:val="57F23498"/>
    <w:rsid w:val="58163FD6"/>
    <w:rsid w:val="583A0626"/>
    <w:rsid w:val="583A6878"/>
    <w:rsid w:val="5842045D"/>
    <w:rsid w:val="587E6FC1"/>
    <w:rsid w:val="589046EA"/>
    <w:rsid w:val="58B50DEB"/>
    <w:rsid w:val="58BD785A"/>
    <w:rsid w:val="58C043D5"/>
    <w:rsid w:val="58C07777"/>
    <w:rsid w:val="58C54B31"/>
    <w:rsid w:val="58C60A24"/>
    <w:rsid w:val="58D371B8"/>
    <w:rsid w:val="58DC6B0B"/>
    <w:rsid w:val="591A7813"/>
    <w:rsid w:val="592A4A0C"/>
    <w:rsid w:val="594554D5"/>
    <w:rsid w:val="594A6647"/>
    <w:rsid w:val="59557FE6"/>
    <w:rsid w:val="597B7220"/>
    <w:rsid w:val="59945790"/>
    <w:rsid w:val="59A3044D"/>
    <w:rsid w:val="59BB61ED"/>
    <w:rsid w:val="59BC0C61"/>
    <w:rsid w:val="59C671E1"/>
    <w:rsid w:val="59E447D4"/>
    <w:rsid w:val="59F4285A"/>
    <w:rsid w:val="5A19236C"/>
    <w:rsid w:val="5A7A3909"/>
    <w:rsid w:val="5A7B48AA"/>
    <w:rsid w:val="5A840FFA"/>
    <w:rsid w:val="5A8A4315"/>
    <w:rsid w:val="5A9D5292"/>
    <w:rsid w:val="5AB476D5"/>
    <w:rsid w:val="5AB70C34"/>
    <w:rsid w:val="5ABC091F"/>
    <w:rsid w:val="5AC2230F"/>
    <w:rsid w:val="5AC24903"/>
    <w:rsid w:val="5AF2343A"/>
    <w:rsid w:val="5B026CB5"/>
    <w:rsid w:val="5B2D4472"/>
    <w:rsid w:val="5B3B38CF"/>
    <w:rsid w:val="5B6826D4"/>
    <w:rsid w:val="5B957051"/>
    <w:rsid w:val="5B982433"/>
    <w:rsid w:val="5BC31808"/>
    <w:rsid w:val="5BE733DB"/>
    <w:rsid w:val="5BF42E78"/>
    <w:rsid w:val="5BF907F8"/>
    <w:rsid w:val="5C0056E3"/>
    <w:rsid w:val="5C0339D7"/>
    <w:rsid w:val="5C4A0C92"/>
    <w:rsid w:val="5C896514"/>
    <w:rsid w:val="5C9E21C4"/>
    <w:rsid w:val="5CD00FE7"/>
    <w:rsid w:val="5CD83C1F"/>
    <w:rsid w:val="5CE0788A"/>
    <w:rsid w:val="5CE40890"/>
    <w:rsid w:val="5D021C56"/>
    <w:rsid w:val="5D1A0A26"/>
    <w:rsid w:val="5D3E51EC"/>
    <w:rsid w:val="5D4635C9"/>
    <w:rsid w:val="5D4B44AF"/>
    <w:rsid w:val="5D5E4DB7"/>
    <w:rsid w:val="5D70601B"/>
    <w:rsid w:val="5D781108"/>
    <w:rsid w:val="5DA31FCA"/>
    <w:rsid w:val="5DAC264E"/>
    <w:rsid w:val="5DCB3202"/>
    <w:rsid w:val="5DD70328"/>
    <w:rsid w:val="5DE551C1"/>
    <w:rsid w:val="5DE712FB"/>
    <w:rsid w:val="5DEE0F99"/>
    <w:rsid w:val="5E162F9C"/>
    <w:rsid w:val="5E231AA8"/>
    <w:rsid w:val="5E2A7970"/>
    <w:rsid w:val="5E391921"/>
    <w:rsid w:val="5E416A53"/>
    <w:rsid w:val="5E584386"/>
    <w:rsid w:val="5E6A3D8C"/>
    <w:rsid w:val="5E6B68EA"/>
    <w:rsid w:val="5E736086"/>
    <w:rsid w:val="5E79225C"/>
    <w:rsid w:val="5E7B4B7F"/>
    <w:rsid w:val="5E93522C"/>
    <w:rsid w:val="5E9C19B3"/>
    <w:rsid w:val="5EEE32E8"/>
    <w:rsid w:val="5F2912B3"/>
    <w:rsid w:val="5F3C5CD8"/>
    <w:rsid w:val="5F8A194A"/>
    <w:rsid w:val="5FA20B0D"/>
    <w:rsid w:val="5FCA05F9"/>
    <w:rsid w:val="5FF24D4A"/>
    <w:rsid w:val="6017690C"/>
    <w:rsid w:val="603B13E0"/>
    <w:rsid w:val="604E1113"/>
    <w:rsid w:val="605A62C0"/>
    <w:rsid w:val="60603BA3"/>
    <w:rsid w:val="60776EB1"/>
    <w:rsid w:val="607D0F8E"/>
    <w:rsid w:val="608218BA"/>
    <w:rsid w:val="608A4A68"/>
    <w:rsid w:val="609141ED"/>
    <w:rsid w:val="60AD36C2"/>
    <w:rsid w:val="60B90EFD"/>
    <w:rsid w:val="60ED2BE7"/>
    <w:rsid w:val="60F5158E"/>
    <w:rsid w:val="60F524FF"/>
    <w:rsid w:val="60F85C4C"/>
    <w:rsid w:val="610D2355"/>
    <w:rsid w:val="611952C9"/>
    <w:rsid w:val="61266A63"/>
    <w:rsid w:val="615B1E8C"/>
    <w:rsid w:val="616E34D1"/>
    <w:rsid w:val="618644C7"/>
    <w:rsid w:val="618C13FC"/>
    <w:rsid w:val="61A11716"/>
    <w:rsid w:val="61A2355B"/>
    <w:rsid w:val="61BB16CA"/>
    <w:rsid w:val="61D96EE4"/>
    <w:rsid w:val="61E11396"/>
    <w:rsid w:val="61EA66B8"/>
    <w:rsid w:val="61F16ABA"/>
    <w:rsid w:val="61FC6AC8"/>
    <w:rsid w:val="62015D11"/>
    <w:rsid w:val="62115A67"/>
    <w:rsid w:val="621B11C6"/>
    <w:rsid w:val="62200BC0"/>
    <w:rsid w:val="62347E94"/>
    <w:rsid w:val="624502F4"/>
    <w:rsid w:val="624E7850"/>
    <w:rsid w:val="62592D2F"/>
    <w:rsid w:val="626A5FAC"/>
    <w:rsid w:val="62850356"/>
    <w:rsid w:val="628A4BD9"/>
    <w:rsid w:val="629F4D7F"/>
    <w:rsid w:val="62A0552A"/>
    <w:rsid w:val="62A31965"/>
    <w:rsid w:val="62A711D3"/>
    <w:rsid w:val="62B14CB8"/>
    <w:rsid w:val="62CF1196"/>
    <w:rsid w:val="62F921A1"/>
    <w:rsid w:val="63042BBC"/>
    <w:rsid w:val="63133F4E"/>
    <w:rsid w:val="63144E09"/>
    <w:rsid w:val="6316159D"/>
    <w:rsid w:val="63170EF6"/>
    <w:rsid w:val="632B0BF1"/>
    <w:rsid w:val="634E142A"/>
    <w:rsid w:val="635602DE"/>
    <w:rsid w:val="636F07E5"/>
    <w:rsid w:val="63750C2D"/>
    <w:rsid w:val="638C7FE1"/>
    <w:rsid w:val="639507B4"/>
    <w:rsid w:val="63952BB5"/>
    <w:rsid w:val="639D3B6F"/>
    <w:rsid w:val="63BB6636"/>
    <w:rsid w:val="63C942BA"/>
    <w:rsid w:val="63D20B3C"/>
    <w:rsid w:val="63EB4851"/>
    <w:rsid w:val="63F07FF6"/>
    <w:rsid w:val="6404589F"/>
    <w:rsid w:val="64287ECD"/>
    <w:rsid w:val="642B52C7"/>
    <w:rsid w:val="6430581B"/>
    <w:rsid w:val="646146DA"/>
    <w:rsid w:val="6483152A"/>
    <w:rsid w:val="64952520"/>
    <w:rsid w:val="649B296D"/>
    <w:rsid w:val="64A37BC1"/>
    <w:rsid w:val="64AF729A"/>
    <w:rsid w:val="64BD6867"/>
    <w:rsid w:val="64DD1299"/>
    <w:rsid w:val="64FE1BC9"/>
    <w:rsid w:val="65144F0F"/>
    <w:rsid w:val="65314B5F"/>
    <w:rsid w:val="65385EEE"/>
    <w:rsid w:val="654056A8"/>
    <w:rsid w:val="655C0CCA"/>
    <w:rsid w:val="658A450D"/>
    <w:rsid w:val="65A96DEB"/>
    <w:rsid w:val="65B6048D"/>
    <w:rsid w:val="65BC569D"/>
    <w:rsid w:val="65E63B20"/>
    <w:rsid w:val="65EC76FC"/>
    <w:rsid w:val="66125E53"/>
    <w:rsid w:val="661B2FD1"/>
    <w:rsid w:val="6626043C"/>
    <w:rsid w:val="662A5342"/>
    <w:rsid w:val="66407DCF"/>
    <w:rsid w:val="664A014C"/>
    <w:rsid w:val="665242EE"/>
    <w:rsid w:val="66BF4FBB"/>
    <w:rsid w:val="66C0263F"/>
    <w:rsid w:val="66D33D3B"/>
    <w:rsid w:val="66DB1226"/>
    <w:rsid w:val="66DB1C37"/>
    <w:rsid w:val="66F02D0F"/>
    <w:rsid w:val="66F75B38"/>
    <w:rsid w:val="6707201B"/>
    <w:rsid w:val="6714392B"/>
    <w:rsid w:val="671E3114"/>
    <w:rsid w:val="67323376"/>
    <w:rsid w:val="674B1CC8"/>
    <w:rsid w:val="675F3C06"/>
    <w:rsid w:val="676B1D6C"/>
    <w:rsid w:val="67AF138D"/>
    <w:rsid w:val="67B716D5"/>
    <w:rsid w:val="67B96FA3"/>
    <w:rsid w:val="67C92D5B"/>
    <w:rsid w:val="67F51849"/>
    <w:rsid w:val="68171AA4"/>
    <w:rsid w:val="681D2A77"/>
    <w:rsid w:val="68362C30"/>
    <w:rsid w:val="683B7387"/>
    <w:rsid w:val="683D6045"/>
    <w:rsid w:val="684F62E3"/>
    <w:rsid w:val="685A5149"/>
    <w:rsid w:val="68790CF7"/>
    <w:rsid w:val="68882CE8"/>
    <w:rsid w:val="68935ACB"/>
    <w:rsid w:val="68AC3E6C"/>
    <w:rsid w:val="68AE40EE"/>
    <w:rsid w:val="68B36368"/>
    <w:rsid w:val="68B90AA5"/>
    <w:rsid w:val="68BE2796"/>
    <w:rsid w:val="68C55DC2"/>
    <w:rsid w:val="68CF008F"/>
    <w:rsid w:val="68E1689C"/>
    <w:rsid w:val="68F306F2"/>
    <w:rsid w:val="68F337B7"/>
    <w:rsid w:val="6900675C"/>
    <w:rsid w:val="690836DC"/>
    <w:rsid w:val="690F2BF8"/>
    <w:rsid w:val="69151013"/>
    <w:rsid w:val="693F27B8"/>
    <w:rsid w:val="6945757E"/>
    <w:rsid w:val="69566742"/>
    <w:rsid w:val="69824813"/>
    <w:rsid w:val="6986235F"/>
    <w:rsid w:val="699659E7"/>
    <w:rsid w:val="69CA1498"/>
    <w:rsid w:val="69CB37D4"/>
    <w:rsid w:val="69D7273C"/>
    <w:rsid w:val="69F03169"/>
    <w:rsid w:val="6A174007"/>
    <w:rsid w:val="6A37494A"/>
    <w:rsid w:val="6A4112E5"/>
    <w:rsid w:val="6A450C1C"/>
    <w:rsid w:val="6A6451DE"/>
    <w:rsid w:val="6A6B466F"/>
    <w:rsid w:val="6A732E52"/>
    <w:rsid w:val="6A7351ED"/>
    <w:rsid w:val="6A742782"/>
    <w:rsid w:val="6A7A437C"/>
    <w:rsid w:val="6AA54025"/>
    <w:rsid w:val="6ABD3B1C"/>
    <w:rsid w:val="6AF328A0"/>
    <w:rsid w:val="6B145E12"/>
    <w:rsid w:val="6B307301"/>
    <w:rsid w:val="6B3C600C"/>
    <w:rsid w:val="6B6A57BF"/>
    <w:rsid w:val="6B6C4EEB"/>
    <w:rsid w:val="6B7D0BC3"/>
    <w:rsid w:val="6B92221E"/>
    <w:rsid w:val="6B935461"/>
    <w:rsid w:val="6B945931"/>
    <w:rsid w:val="6BA77420"/>
    <w:rsid w:val="6BAF1892"/>
    <w:rsid w:val="6BD867E6"/>
    <w:rsid w:val="6BE259E4"/>
    <w:rsid w:val="6BF568E6"/>
    <w:rsid w:val="6BF845D5"/>
    <w:rsid w:val="6C0143A0"/>
    <w:rsid w:val="6C022DB1"/>
    <w:rsid w:val="6C2B0FE5"/>
    <w:rsid w:val="6C2C7E2E"/>
    <w:rsid w:val="6C3219B1"/>
    <w:rsid w:val="6C467559"/>
    <w:rsid w:val="6C4D7576"/>
    <w:rsid w:val="6C5012E3"/>
    <w:rsid w:val="6C6D15AD"/>
    <w:rsid w:val="6C6D7902"/>
    <w:rsid w:val="6C743DC1"/>
    <w:rsid w:val="6CA1081C"/>
    <w:rsid w:val="6CA572C4"/>
    <w:rsid w:val="6CAB5E61"/>
    <w:rsid w:val="6CC912FB"/>
    <w:rsid w:val="6CE150BD"/>
    <w:rsid w:val="6CF272CA"/>
    <w:rsid w:val="6CF64A51"/>
    <w:rsid w:val="6D131480"/>
    <w:rsid w:val="6D5835D1"/>
    <w:rsid w:val="6D6B4046"/>
    <w:rsid w:val="6D70751A"/>
    <w:rsid w:val="6D89263D"/>
    <w:rsid w:val="6D8E73F9"/>
    <w:rsid w:val="6DB108C8"/>
    <w:rsid w:val="6DCC4F2A"/>
    <w:rsid w:val="6DE2420A"/>
    <w:rsid w:val="6E1F69B4"/>
    <w:rsid w:val="6E2B2A93"/>
    <w:rsid w:val="6E3A3C96"/>
    <w:rsid w:val="6E415531"/>
    <w:rsid w:val="6E530B11"/>
    <w:rsid w:val="6E534DDB"/>
    <w:rsid w:val="6E6F6738"/>
    <w:rsid w:val="6E9172BB"/>
    <w:rsid w:val="6E9203ED"/>
    <w:rsid w:val="6EAC0CD7"/>
    <w:rsid w:val="6EBC7B8F"/>
    <w:rsid w:val="6EC163B8"/>
    <w:rsid w:val="6EC627BC"/>
    <w:rsid w:val="6F0C3D55"/>
    <w:rsid w:val="6F342406"/>
    <w:rsid w:val="6F4062C9"/>
    <w:rsid w:val="6F97468E"/>
    <w:rsid w:val="6FB24AEE"/>
    <w:rsid w:val="6FD10773"/>
    <w:rsid w:val="6FD45576"/>
    <w:rsid w:val="6FE637C9"/>
    <w:rsid w:val="6FEE1FCA"/>
    <w:rsid w:val="70160948"/>
    <w:rsid w:val="70282001"/>
    <w:rsid w:val="705943FE"/>
    <w:rsid w:val="7062739B"/>
    <w:rsid w:val="70805F36"/>
    <w:rsid w:val="70A45F91"/>
    <w:rsid w:val="70B50466"/>
    <w:rsid w:val="70BB4603"/>
    <w:rsid w:val="710C11DA"/>
    <w:rsid w:val="71293CDD"/>
    <w:rsid w:val="71381023"/>
    <w:rsid w:val="715126EF"/>
    <w:rsid w:val="716C17CB"/>
    <w:rsid w:val="718C1A9B"/>
    <w:rsid w:val="71943DF6"/>
    <w:rsid w:val="71953793"/>
    <w:rsid w:val="719631BA"/>
    <w:rsid w:val="71B54111"/>
    <w:rsid w:val="71CD7A4C"/>
    <w:rsid w:val="71DC7268"/>
    <w:rsid w:val="71E44E04"/>
    <w:rsid w:val="71F2516A"/>
    <w:rsid w:val="71FD0F52"/>
    <w:rsid w:val="720E0734"/>
    <w:rsid w:val="72172323"/>
    <w:rsid w:val="721D5C92"/>
    <w:rsid w:val="721E268A"/>
    <w:rsid w:val="7223270E"/>
    <w:rsid w:val="722A63E4"/>
    <w:rsid w:val="7246140B"/>
    <w:rsid w:val="724D0AFE"/>
    <w:rsid w:val="72722DCD"/>
    <w:rsid w:val="7274556F"/>
    <w:rsid w:val="72767308"/>
    <w:rsid w:val="727A4FEC"/>
    <w:rsid w:val="727E2C34"/>
    <w:rsid w:val="729130E1"/>
    <w:rsid w:val="72A8447B"/>
    <w:rsid w:val="72AF3E95"/>
    <w:rsid w:val="72B00718"/>
    <w:rsid w:val="72B134EA"/>
    <w:rsid w:val="72EC05B8"/>
    <w:rsid w:val="72EF5B36"/>
    <w:rsid w:val="73140212"/>
    <w:rsid w:val="73260B3F"/>
    <w:rsid w:val="732E1DBD"/>
    <w:rsid w:val="73336A7B"/>
    <w:rsid w:val="734D525A"/>
    <w:rsid w:val="73517F54"/>
    <w:rsid w:val="73716273"/>
    <w:rsid w:val="73C866D7"/>
    <w:rsid w:val="73CD639B"/>
    <w:rsid w:val="73DB0AB8"/>
    <w:rsid w:val="73E536E4"/>
    <w:rsid w:val="73F310C6"/>
    <w:rsid w:val="73F54AC5"/>
    <w:rsid w:val="74026735"/>
    <w:rsid w:val="7442173D"/>
    <w:rsid w:val="744C72C0"/>
    <w:rsid w:val="745615E4"/>
    <w:rsid w:val="746248AF"/>
    <w:rsid w:val="74950E53"/>
    <w:rsid w:val="74AA79F1"/>
    <w:rsid w:val="74EB6897"/>
    <w:rsid w:val="74F758D7"/>
    <w:rsid w:val="74FB73D8"/>
    <w:rsid w:val="751332C6"/>
    <w:rsid w:val="75463035"/>
    <w:rsid w:val="7548217D"/>
    <w:rsid w:val="75510906"/>
    <w:rsid w:val="755C4616"/>
    <w:rsid w:val="75696952"/>
    <w:rsid w:val="75726687"/>
    <w:rsid w:val="7595129F"/>
    <w:rsid w:val="759A04FF"/>
    <w:rsid w:val="75A1363B"/>
    <w:rsid w:val="75AB674F"/>
    <w:rsid w:val="75B07D22"/>
    <w:rsid w:val="75BB6A6C"/>
    <w:rsid w:val="75D121B3"/>
    <w:rsid w:val="75DC5B41"/>
    <w:rsid w:val="75DE5534"/>
    <w:rsid w:val="75EA2343"/>
    <w:rsid w:val="75F224DF"/>
    <w:rsid w:val="76085468"/>
    <w:rsid w:val="76105103"/>
    <w:rsid w:val="761A519B"/>
    <w:rsid w:val="761C2C55"/>
    <w:rsid w:val="765A6F05"/>
    <w:rsid w:val="76685F07"/>
    <w:rsid w:val="766C47E9"/>
    <w:rsid w:val="768A2399"/>
    <w:rsid w:val="76952CC0"/>
    <w:rsid w:val="76973B19"/>
    <w:rsid w:val="76D42084"/>
    <w:rsid w:val="76D9421D"/>
    <w:rsid w:val="76EB7220"/>
    <w:rsid w:val="76FB6D7B"/>
    <w:rsid w:val="76FF1B3A"/>
    <w:rsid w:val="7747223C"/>
    <w:rsid w:val="775125E6"/>
    <w:rsid w:val="776A77CD"/>
    <w:rsid w:val="77B77146"/>
    <w:rsid w:val="77C14A76"/>
    <w:rsid w:val="77D4101A"/>
    <w:rsid w:val="77D549BF"/>
    <w:rsid w:val="77ED700C"/>
    <w:rsid w:val="77F71C38"/>
    <w:rsid w:val="780C0334"/>
    <w:rsid w:val="780D3DDA"/>
    <w:rsid w:val="780E44CA"/>
    <w:rsid w:val="781E7F46"/>
    <w:rsid w:val="78463542"/>
    <w:rsid w:val="78694E1A"/>
    <w:rsid w:val="78800CE8"/>
    <w:rsid w:val="789015FC"/>
    <w:rsid w:val="78925B44"/>
    <w:rsid w:val="78AA2908"/>
    <w:rsid w:val="78BE2403"/>
    <w:rsid w:val="78C04A64"/>
    <w:rsid w:val="78C064CE"/>
    <w:rsid w:val="78CD4B60"/>
    <w:rsid w:val="78CF442F"/>
    <w:rsid w:val="78E42201"/>
    <w:rsid w:val="78EE4DA4"/>
    <w:rsid w:val="78F969EA"/>
    <w:rsid w:val="790345C8"/>
    <w:rsid w:val="79164693"/>
    <w:rsid w:val="79312E0C"/>
    <w:rsid w:val="79327D21"/>
    <w:rsid w:val="79346574"/>
    <w:rsid w:val="79400519"/>
    <w:rsid w:val="79442C5B"/>
    <w:rsid w:val="79453598"/>
    <w:rsid w:val="794F65E7"/>
    <w:rsid w:val="79501600"/>
    <w:rsid w:val="795B139E"/>
    <w:rsid w:val="797C500C"/>
    <w:rsid w:val="797D2927"/>
    <w:rsid w:val="7995504F"/>
    <w:rsid w:val="7A10264B"/>
    <w:rsid w:val="7A170370"/>
    <w:rsid w:val="7A3621B4"/>
    <w:rsid w:val="7A417007"/>
    <w:rsid w:val="7A613399"/>
    <w:rsid w:val="7A654DC9"/>
    <w:rsid w:val="7A8F3624"/>
    <w:rsid w:val="7AA058B8"/>
    <w:rsid w:val="7ABD2CC5"/>
    <w:rsid w:val="7ABE3513"/>
    <w:rsid w:val="7AD820C3"/>
    <w:rsid w:val="7AE161E0"/>
    <w:rsid w:val="7AF40ED0"/>
    <w:rsid w:val="7B1D1864"/>
    <w:rsid w:val="7B2A7734"/>
    <w:rsid w:val="7B2C4966"/>
    <w:rsid w:val="7B3867F0"/>
    <w:rsid w:val="7B604378"/>
    <w:rsid w:val="7B6D1CE0"/>
    <w:rsid w:val="7BB265A2"/>
    <w:rsid w:val="7BB5420D"/>
    <w:rsid w:val="7BC056BF"/>
    <w:rsid w:val="7C0B1113"/>
    <w:rsid w:val="7C0D167A"/>
    <w:rsid w:val="7C156B31"/>
    <w:rsid w:val="7C290E1A"/>
    <w:rsid w:val="7C3274E7"/>
    <w:rsid w:val="7C3F770A"/>
    <w:rsid w:val="7C72188D"/>
    <w:rsid w:val="7C967352"/>
    <w:rsid w:val="7CA0464C"/>
    <w:rsid w:val="7CAD1658"/>
    <w:rsid w:val="7CCF7A96"/>
    <w:rsid w:val="7CDD7CAE"/>
    <w:rsid w:val="7CF229CE"/>
    <w:rsid w:val="7D0637B8"/>
    <w:rsid w:val="7D065626"/>
    <w:rsid w:val="7D2654FC"/>
    <w:rsid w:val="7D2A6A4D"/>
    <w:rsid w:val="7D360EC1"/>
    <w:rsid w:val="7D591A48"/>
    <w:rsid w:val="7D7C6CCA"/>
    <w:rsid w:val="7D8802C6"/>
    <w:rsid w:val="7DAA4072"/>
    <w:rsid w:val="7DAB14FB"/>
    <w:rsid w:val="7DAC279C"/>
    <w:rsid w:val="7DB86B88"/>
    <w:rsid w:val="7DBF6D54"/>
    <w:rsid w:val="7DC4540C"/>
    <w:rsid w:val="7DCC76C3"/>
    <w:rsid w:val="7DE06860"/>
    <w:rsid w:val="7DF960A2"/>
    <w:rsid w:val="7E000139"/>
    <w:rsid w:val="7E046E5D"/>
    <w:rsid w:val="7E0C070F"/>
    <w:rsid w:val="7E312174"/>
    <w:rsid w:val="7E5C50CB"/>
    <w:rsid w:val="7E6873EC"/>
    <w:rsid w:val="7E77534C"/>
    <w:rsid w:val="7E83799E"/>
    <w:rsid w:val="7E986425"/>
    <w:rsid w:val="7EB75FF5"/>
    <w:rsid w:val="7EBF0F55"/>
    <w:rsid w:val="7EC04CD8"/>
    <w:rsid w:val="7ED06673"/>
    <w:rsid w:val="7F005C45"/>
    <w:rsid w:val="7F062236"/>
    <w:rsid w:val="7F13040A"/>
    <w:rsid w:val="7F1349DA"/>
    <w:rsid w:val="7F2A3A4A"/>
    <w:rsid w:val="7F344203"/>
    <w:rsid w:val="7F3B4076"/>
    <w:rsid w:val="7F731F22"/>
    <w:rsid w:val="7F74210A"/>
    <w:rsid w:val="7FA505DA"/>
    <w:rsid w:val="7FE274FB"/>
    <w:rsid w:val="7FEA131B"/>
    <w:rsid w:val="7FFD1D9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iPriority="0" w:semiHidden="0" w:name="Body Text First Indent"/>
    <w:lsdException w:qFormat="1"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99" w:semiHidden="0" w:name="HTML Acronym"/>
    <w:lsdException w:unhideWhenUsed="0" w:uiPriority="0"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0"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45"/>
    <w:autoRedefine/>
    <w:qFormat/>
    <w:uiPriority w:val="9"/>
    <w:pPr>
      <w:keepNext/>
      <w:keepLines/>
      <w:spacing w:line="240" w:lineRule="auto"/>
      <w:jc w:val="center"/>
      <w:outlineLvl w:val="0"/>
    </w:pPr>
    <w:rPr>
      <w:rFonts w:ascii="Times New Roman" w:hAnsi="Times New Roman" w:eastAsia="仿宋" w:cs="Times New Roman"/>
      <w:b/>
      <w:color w:val="000000"/>
      <w:kern w:val="44"/>
      <w:sz w:val="36"/>
      <w:szCs w:val="44"/>
    </w:rPr>
  </w:style>
  <w:style w:type="paragraph" w:styleId="3">
    <w:name w:val="heading 2"/>
    <w:basedOn w:val="1"/>
    <w:next w:val="4"/>
    <w:link w:val="46"/>
    <w:autoRedefine/>
    <w:qFormat/>
    <w:uiPriority w:val="9"/>
    <w:pPr>
      <w:keepNext/>
      <w:keepLines/>
      <w:spacing w:line="240" w:lineRule="auto"/>
      <w:outlineLvl w:val="1"/>
    </w:pPr>
    <w:rPr>
      <w:rFonts w:ascii="Calibri" w:hAnsi="Calibri" w:cs="Times New Roman"/>
      <w:b/>
      <w:bCs/>
      <w:kern w:val="0"/>
      <w:sz w:val="32"/>
      <w:szCs w:val="32"/>
    </w:rPr>
  </w:style>
  <w:style w:type="paragraph" w:styleId="6">
    <w:name w:val="heading 3"/>
    <w:basedOn w:val="1"/>
    <w:next w:val="1"/>
    <w:link w:val="47"/>
    <w:autoRedefine/>
    <w:qFormat/>
    <w:uiPriority w:val="9"/>
    <w:pPr>
      <w:keepNext/>
      <w:keepLines/>
      <w:spacing w:line="400" w:lineRule="atLeast"/>
      <w:jc w:val="center"/>
      <w:outlineLvl w:val="2"/>
    </w:pPr>
    <w:rPr>
      <w:rFonts w:ascii="Times New Roman" w:hAnsi="Times New Roman" w:eastAsia="宋体" w:cs="Times New Roman"/>
      <w:b/>
      <w:bCs/>
      <w:kern w:val="0"/>
      <w:sz w:val="32"/>
      <w:szCs w:val="32"/>
      <w:u w:val="double"/>
    </w:rPr>
  </w:style>
  <w:style w:type="paragraph" w:styleId="7">
    <w:name w:val="heading 4"/>
    <w:basedOn w:val="1"/>
    <w:next w:val="1"/>
    <w:autoRedefine/>
    <w:qFormat/>
    <w:uiPriority w:val="0"/>
    <w:pPr>
      <w:keepNext/>
      <w:keepLines/>
      <w:spacing w:before="280" w:after="290" w:line="376" w:lineRule="auto"/>
      <w:outlineLvl w:val="3"/>
    </w:pPr>
    <w:rPr>
      <w:rFonts w:ascii="Arial" w:hAnsi="Arial" w:eastAsia="黑体"/>
      <w:b/>
      <w:bCs/>
    </w:rPr>
  </w:style>
  <w:style w:type="paragraph" w:styleId="8">
    <w:name w:val="heading 6"/>
    <w:basedOn w:val="1"/>
    <w:next w:val="1"/>
    <w:autoRedefine/>
    <w:qFormat/>
    <w:uiPriority w:val="0"/>
    <w:pPr>
      <w:spacing w:beforeAutospacing="1" w:afterAutospacing="1"/>
      <w:jc w:val="left"/>
      <w:outlineLvl w:val="5"/>
    </w:pPr>
    <w:rPr>
      <w:rFonts w:hint="eastAsia" w:ascii="宋体" w:hAnsi="宋体" w:eastAsia="宋体" w:cs="Times New Roman"/>
      <w:b/>
      <w:bCs/>
      <w:kern w:val="0"/>
      <w:sz w:val="15"/>
      <w:szCs w:val="15"/>
    </w:rPr>
  </w:style>
  <w:style w:type="character" w:default="1" w:styleId="30">
    <w:name w:val="Default Paragraph Font"/>
    <w:autoRedefine/>
    <w:unhideWhenUsed/>
    <w:qFormat/>
    <w:uiPriority w:val="1"/>
  </w:style>
  <w:style w:type="table" w:default="1" w:styleId="28">
    <w:name w:val="Normal Table"/>
    <w:autoRedefine/>
    <w:unhideWhenUsed/>
    <w:qFormat/>
    <w:uiPriority w:val="99"/>
    <w:tblPr>
      <w:tblCellMar>
        <w:top w:w="0" w:type="dxa"/>
        <w:left w:w="108" w:type="dxa"/>
        <w:bottom w:w="0" w:type="dxa"/>
        <w:right w:w="108" w:type="dxa"/>
      </w:tblCellMar>
    </w:tblPr>
  </w:style>
  <w:style w:type="paragraph" w:styleId="4">
    <w:name w:val="Normal Indent"/>
    <w:basedOn w:val="1"/>
    <w:next w:val="5"/>
    <w:autoRedefine/>
    <w:qFormat/>
    <w:uiPriority w:val="99"/>
    <w:pPr>
      <w:ind w:firstLine="420"/>
    </w:pPr>
  </w:style>
  <w:style w:type="paragraph" w:styleId="5">
    <w:name w:val="header"/>
    <w:basedOn w:val="1"/>
    <w:link w:val="53"/>
    <w:autoRedefine/>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cs="Times New Roman"/>
      <w:kern w:val="0"/>
      <w:sz w:val="18"/>
      <w:szCs w:val="20"/>
    </w:rPr>
  </w:style>
  <w:style w:type="paragraph" w:styleId="9">
    <w:name w:val="Document Map"/>
    <w:basedOn w:val="1"/>
    <w:link w:val="48"/>
    <w:autoRedefine/>
    <w:qFormat/>
    <w:uiPriority w:val="99"/>
    <w:rPr>
      <w:rFonts w:ascii="宋体" w:hAnsi="Times New Roman" w:eastAsia="宋体" w:cs="Times New Roman"/>
      <w:kern w:val="0"/>
      <w:sz w:val="18"/>
      <w:szCs w:val="18"/>
    </w:rPr>
  </w:style>
  <w:style w:type="paragraph" w:styleId="10">
    <w:name w:val="toa heading"/>
    <w:basedOn w:val="1"/>
    <w:next w:val="1"/>
    <w:autoRedefine/>
    <w:qFormat/>
    <w:uiPriority w:val="0"/>
    <w:pPr>
      <w:spacing w:before="120"/>
    </w:pPr>
    <w:rPr>
      <w:rFonts w:ascii="Cambria" w:hAnsi="Cambria" w:eastAsia="宋体" w:cs="Times New Roman"/>
      <w:sz w:val="24"/>
    </w:rPr>
  </w:style>
  <w:style w:type="paragraph" w:styleId="11">
    <w:name w:val="annotation text"/>
    <w:basedOn w:val="1"/>
    <w:link w:val="49"/>
    <w:autoRedefine/>
    <w:qFormat/>
    <w:uiPriority w:val="99"/>
    <w:pPr>
      <w:jc w:val="left"/>
    </w:pPr>
  </w:style>
  <w:style w:type="paragraph" w:styleId="12">
    <w:name w:val="Body Text"/>
    <w:basedOn w:val="1"/>
    <w:autoRedefine/>
    <w:qFormat/>
    <w:uiPriority w:val="99"/>
    <w:pPr>
      <w:spacing w:after="120"/>
    </w:pPr>
  </w:style>
  <w:style w:type="paragraph" w:styleId="13">
    <w:name w:val="Body Text Indent"/>
    <w:basedOn w:val="1"/>
    <w:autoRedefine/>
    <w:qFormat/>
    <w:uiPriority w:val="0"/>
    <w:pPr>
      <w:ind w:firstLine="830" w:firstLineChars="352"/>
    </w:pPr>
    <w:rPr>
      <w:rFonts w:ascii="仿宋_GB2312" w:eastAsia="仿宋_GB2312"/>
      <w:sz w:val="32"/>
    </w:rPr>
  </w:style>
  <w:style w:type="paragraph" w:styleId="14">
    <w:name w:val="Plain Text"/>
    <w:basedOn w:val="1"/>
    <w:autoRedefine/>
    <w:qFormat/>
    <w:uiPriority w:val="0"/>
    <w:pPr>
      <w:spacing w:line="324" w:lineRule="auto"/>
    </w:pPr>
    <w:rPr>
      <w:rFonts w:ascii="宋体" w:hAnsi="Courier New"/>
      <w:szCs w:val="21"/>
    </w:rPr>
  </w:style>
  <w:style w:type="paragraph" w:styleId="15">
    <w:name w:val="Date"/>
    <w:basedOn w:val="1"/>
    <w:next w:val="1"/>
    <w:link w:val="50"/>
    <w:autoRedefine/>
    <w:qFormat/>
    <w:uiPriority w:val="99"/>
    <w:pPr>
      <w:ind w:left="100" w:leftChars="2500"/>
    </w:pPr>
    <w:rPr>
      <w:rFonts w:cs="Times New Roman"/>
      <w:kern w:val="0"/>
      <w:szCs w:val="20"/>
    </w:rPr>
  </w:style>
  <w:style w:type="paragraph" w:styleId="16">
    <w:name w:val="Balloon Text"/>
    <w:basedOn w:val="1"/>
    <w:link w:val="51"/>
    <w:autoRedefine/>
    <w:qFormat/>
    <w:uiPriority w:val="99"/>
    <w:pPr>
      <w:spacing w:line="240" w:lineRule="auto"/>
    </w:pPr>
    <w:rPr>
      <w:rFonts w:ascii="Times New Roman" w:hAnsi="Times New Roman" w:eastAsia="宋体" w:cs="Times New Roman"/>
      <w:kern w:val="0"/>
      <w:sz w:val="18"/>
      <w:szCs w:val="18"/>
    </w:rPr>
  </w:style>
  <w:style w:type="paragraph" w:styleId="17">
    <w:name w:val="footer"/>
    <w:basedOn w:val="1"/>
    <w:link w:val="52"/>
    <w:autoRedefine/>
    <w:qFormat/>
    <w:uiPriority w:val="99"/>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18">
    <w:name w:val="toc 1"/>
    <w:basedOn w:val="1"/>
    <w:next w:val="1"/>
    <w:autoRedefine/>
    <w:qFormat/>
    <w:uiPriority w:val="39"/>
  </w:style>
  <w:style w:type="paragraph" w:styleId="19">
    <w:name w:val="toc 4"/>
    <w:basedOn w:val="1"/>
    <w:next w:val="1"/>
    <w:autoRedefine/>
    <w:qFormat/>
    <w:uiPriority w:val="0"/>
    <w:pPr>
      <w:ind w:left="630"/>
      <w:jc w:val="left"/>
    </w:pPr>
    <w:rPr>
      <w:sz w:val="18"/>
      <w:szCs w:val="18"/>
    </w:rPr>
  </w:style>
  <w:style w:type="paragraph" w:styleId="20">
    <w:name w:val="toc 6"/>
    <w:basedOn w:val="1"/>
    <w:next w:val="1"/>
    <w:autoRedefine/>
    <w:qFormat/>
    <w:uiPriority w:val="0"/>
    <w:pPr>
      <w:ind w:left="2100" w:leftChars="1000"/>
    </w:pPr>
    <w:rPr>
      <w:rFonts w:ascii="Times New Roman" w:hAnsi="Times New Roman" w:eastAsia="宋体" w:cs="Times New Roman"/>
    </w:rPr>
  </w:style>
  <w:style w:type="paragraph" w:styleId="21">
    <w:name w:val="toc 2"/>
    <w:basedOn w:val="1"/>
    <w:next w:val="1"/>
    <w:autoRedefine/>
    <w:unhideWhenUsed/>
    <w:qFormat/>
    <w:uiPriority w:val="39"/>
    <w:pPr>
      <w:ind w:left="420" w:leftChars="200"/>
    </w:pPr>
  </w:style>
  <w:style w:type="paragraph" w:styleId="22">
    <w:name w:val="Body Text 2"/>
    <w:basedOn w:val="1"/>
    <w:autoRedefine/>
    <w:qFormat/>
    <w:uiPriority w:val="0"/>
    <w:pPr>
      <w:jc w:val="center"/>
    </w:pPr>
    <w:rPr>
      <w:b/>
      <w:spacing w:val="-20"/>
      <w:w w:val="130"/>
      <w:sz w:val="48"/>
      <w:szCs w:val="20"/>
    </w:rPr>
  </w:style>
  <w:style w:type="paragraph" w:styleId="23">
    <w:name w:val="HTML Preformatted"/>
    <w:basedOn w:val="1"/>
    <w:autoRedefine/>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24">
    <w:name w:val="Normal (Web)"/>
    <w:basedOn w:val="1"/>
    <w:autoRedefine/>
    <w:qFormat/>
    <w:uiPriority w:val="99"/>
    <w:pPr>
      <w:spacing w:beforeAutospacing="1" w:afterAutospacing="1"/>
      <w:jc w:val="left"/>
    </w:pPr>
    <w:rPr>
      <w:rFonts w:cs="Times New Roman"/>
      <w:kern w:val="0"/>
      <w:sz w:val="24"/>
    </w:rPr>
  </w:style>
  <w:style w:type="paragraph" w:styleId="25">
    <w:name w:val="annotation subject"/>
    <w:basedOn w:val="11"/>
    <w:next w:val="11"/>
    <w:link w:val="54"/>
    <w:autoRedefine/>
    <w:qFormat/>
    <w:uiPriority w:val="99"/>
    <w:rPr>
      <w:rFonts w:ascii="Times New Roman" w:hAnsi="Times New Roman" w:eastAsia="宋体" w:cs="Times New Roman"/>
      <w:b/>
      <w:bCs/>
      <w:kern w:val="0"/>
      <w:sz w:val="20"/>
      <w:szCs w:val="20"/>
    </w:rPr>
  </w:style>
  <w:style w:type="paragraph" w:styleId="26">
    <w:name w:val="Body Text First Indent"/>
    <w:basedOn w:val="12"/>
    <w:autoRedefine/>
    <w:unhideWhenUsed/>
    <w:qFormat/>
    <w:uiPriority w:val="0"/>
    <w:pPr>
      <w:spacing w:line="240" w:lineRule="auto"/>
      <w:ind w:firstLine="420" w:firstLineChars="100"/>
    </w:pPr>
    <w:rPr>
      <w:rFonts w:ascii="Times New Roman" w:hAnsi="Times New Roman"/>
      <w:sz w:val="18"/>
      <w:szCs w:val="18"/>
    </w:rPr>
  </w:style>
  <w:style w:type="paragraph" w:styleId="27">
    <w:name w:val="Body Text First Indent 2"/>
    <w:basedOn w:val="13"/>
    <w:autoRedefine/>
    <w:unhideWhenUsed/>
    <w:qFormat/>
    <w:uiPriority w:val="0"/>
    <w:pPr>
      <w:ind w:firstLine="420" w:firstLineChars="200"/>
    </w:pPr>
    <w:rPr>
      <w:rFonts w:ascii="Times New Roman"/>
    </w:rPr>
  </w:style>
  <w:style w:type="table" w:styleId="29">
    <w:name w:val="Table Grid"/>
    <w:basedOn w:val="2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basedOn w:val="30"/>
    <w:autoRedefine/>
    <w:qFormat/>
    <w:uiPriority w:val="22"/>
    <w:rPr>
      <w:b/>
      <w:bdr w:val="single" w:color="D6D6D6" w:sz="6" w:space="0"/>
      <w:shd w:val="clear" w:color="auto" w:fill="FFFFFF"/>
      <w:vertAlign w:val="baseline"/>
    </w:rPr>
  </w:style>
  <w:style w:type="character" w:styleId="32">
    <w:name w:val="page number"/>
    <w:autoRedefine/>
    <w:qFormat/>
    <w:uiPriority w:val="0"/>
    <w:rPr>
      <w:rFonts w:ascii="Times New Roman" w:hAnsi="Times New Roman" w:eastAsia="宋体" w:cs="Times New Roman"/>
    </w:rPr>
  </w:style>
  <w:style w:type="character" w:styleId="33">
    <w:name w:val="FollowedHyperlink"/>
    <w:autoRedefine/>
    <w:qFormat/>
    <w:uiPriority w:val="99"/>
    <w:rPr>
      <w:rFonts w:hint="eastAsia" w:ascii="宋体" w:hAnsi="宋体" w:eastAsia="宋体" w:cs="宋体"/>
      <w:color w:val="000000"/>
      <w:sz w:val="18"/>
      <w:szCs w:val="18"/>
      <w:u w:val="none"/>
    </w:rPr>
  </w:style>
  <w:style w:type="character" w:styleId="34">
    <w:name w:val="Emphasis"/>
    <w:autoRedefine/>
    <w:qFormat/>
    <w:uiPriority w:val="20"/>
    <w:rPr>
      <w:b/>
    </w:rPr>
  </w:style>
  <w:style w:type="character" w:styleId="35">
    <w:name w:val="HTML Definition"/>
    <w:autoRedefine/>
    <w:qFormat/>
    <w:uiPriority w:val="99"/>
  </w:style>
  <w:style w:type="character" w:styleId="36">
    <w:name w:val="HTML Typewriter"/>
    <w:autoRedefine/>
    <w:qFormat/>
    <w:uiPriority w:val="99"/>
    <w:rPr>
      <w:rFonts w:hint="default" w:ascii="monospace" w:hAnsi="monospace" w:eastAsia="monospace" w:cs="monospace"/>
      <w:sz w:val="20"/>
    </w:rPr>
  </w:style>
  <w:style w:type="character" w:styleId="37">
    <w:name w:val="HTML Acronym"/>
    <w:basedOn w:val="30"/>
    <w:autoRedefine/>
    <w:qFormat/>
    <w:uiPriority w:val="99"/>
  </w:style>
  <w:style w:type="character" w:styleId="38">
    <w:name w:val="HTML Variable"/>
    <w:autoRedefine/>
    <w:qFormat/>
    <w:uiPriority w:val="99"/>
  </w:style>
  <w:style w:type="character" w:styleId="39">
    <w:name w:val="Hyperlink"/>
    <w:basedOn w:val="30"/>
    <w:autoRedefine/>
    <w:qFormat/>
    <w:uiPriority w:val="99"/>
    <w:rPr>
      <w:color w:val="000000"/>
      <w:sz w:val="18"/>
      <w:szCs w:val="18"/>
      <w:u w:val="none"/>
    </w:rPr>
  </w:style>
  <w:style w:type="character" w:styleId="40">
    <w:name w:val="HTML Code"/>
    <w:autoRedefine/>
    <w:qFormat/>
    <w:uiPriority w:val="99"/>
    <w:rPr>
      <w:rFonts w:ascii="monospace" w:hAnsi="monospace" w:eastAsia="monospace" w:cs="monospace"/>
      <w:sz w:val="20"/>
    </w:rPr>
  </w:style>
  <w:style w:type="character" w:styleId="41">
    <w:name w:val="annotation reference"/>
    <w:autoRedefine/>
    <w:qFormat/>
    <w:uiPriority w:val="99"/>
    <w:rPr>
      <w:sz w:val="21"/>
      <w:szCs w:val="21"/>
    </w:rPr>
  </w:style>
  <w:style w:type="character" w:styleId="42">
    <w:name w:val="HTML Cite"/>
    <w:autoRedefine/>
    <w:qFormat/>
    <w:uiPriority w:val="99"/>
  </w:style>
  <w:style w:type="character" w:styleId="43">
    <w:name w:val="HTML Keyboard"/>
    <w:autoRedefine/>
    <w:qFormat/>
    <w:uiPriority w:val="99"/>
    <w:rPr>
      <w:rFonts w:hint="default" w:ascii="monospace" w:hAnsi="monospace" w:eastAsia="monospace" w:cs="monospace"/>
      <w:sz w:val="20"/>
    </w:rPr>
  </w:style>
  <w:style w:type="character" w:styleId="44">
    <w:name w:val="HTML Sample"/>
    <w:autoRedefine/>
    <w:qFormat/>
    <w:uiPriority w:val="99"/>
    <w:rPr>
      <w:rFonts w:hint="default" w:ascii="monospace" w:hAnsi="monospace" w:eastAsia="monospace" w:cs="monospace"/>
    </w:rPr>
  </w:style>
  <w:style w:type="character" w:customStyle="1" w:styleId="45">
    <w:name w:val="标题 1 Char"/>
    <w:link w:val="2"/>
    <w:autoRedefine/>
    <w:qFormat/>
    <w:uiPriority w:val="9"/>
    <w:rPr>
      <w:rFonts w:eastAsia="仿宋" w:cs="Calibri Light"/>
      <w:b/>
      <w:color w:val="000000"/>
      <w:kern w:val="44"/>
      <w:sz w:val="36"/>
      <w:szCs w:val="44"/>
    </w:rPr>
  </w:style>
  <w:style w:type="character" w:customStyle="1" w:styleId="46">
    <w:name w:val="标题 2 Char"/>
    <w:link w:val="3"/>
    <w:autoRedefine/>
    <w:qFormat/>
    <w:uiPriority w:val="9"/>
    <w:rPr>
      <w:rFonts w:ascii="Calibri" w:hAnsi="Calibri" w:eastAsia="华文仿宋" w:cs="黑体"/>
      <w:b/>
      <w:bCs/>
      <w:sz w:val="32"/>
      <w:szCs w:val="32"/>
    </w:rPr>
  </w:style>
  <w:style w:type="character" w:customStyle="1" w:styleId="47">
    <w:name w:val="标题 3 Char"/>
    <w:link w:val="6"/>
    <w:autoRedefine/>
    <w:qFormat/>
    <w:uiPriority w:val="9"/>
    <w:rPr>
      <w:b/>
      <w:bCs/>
      <w:sz w:val="32"/>
      <w:szCs w:val="32"/>
      <w:u w:val="double"/>
    </w:rPr>
  </w:style>
  <w:style w:type="character" w:customStyle="1" w:styleId="48">
    <w:name w:val="文档结构图 Char"/>
    <w:link w:val="9"/>
    <w:autoRedefine/>
    <w:qFormat/>
    <w:uiPriority w:val="99"/>
    <w:rPr>
      <w:rFonts w:ascii="宋体" w:eastAsia="宋体"/>
      <w:sz w:val="18"/>
      <w:szCs w:val="18"/>
    </w:rPr>
  </w:style>
  <w:style w:type="character" w:customStyle="1" w:styleId="49">
    <w:name w:val="批注文字 Char"/>
    <w:link w:val="11"/>
    <w:autoRedefine/>
    <w:qFormat/>
    <w:uiPriority w:val="99"/>
  </w:style>
  <w:style w:type="character" w:customStyle="1" w:styleId="50">
    <w:name w:val="日期 Char"/>
    <w:link w:val="15"/>
    <w:autoRedefine/>
    <w:qFormat/>
    <w:uiPriority w:val="99"/>
    <w:rPr>
      <w:rFonts w:ascii="Calibri Light" w:hAnsi="Calibri Light" w:eastAsia="华文仿宋"/>
      <w:sz w:val="28"/>
    </w:rPr>
  </w:style>
  <w:style w:type="character" w:customStyle="1" w:styleId="51">
    <w:name w:val="批注框文本 Char"/>
    <w:link w:val="16"/>
    <w:autoRedefine/>
    <w:qFormat/>
    <w:uiPriority w:val="99"/>
    <w:rPr>
      <w:sz w:val="18"/>
      <w:szCs w:val="18"/>
    </w:rPr>
  </w:style>
  <w:style w:type="character" w:customStyle="1" w:styleId="52">
    <w:name w:val="页脚 Char"/>
    <w:link w:val="17"/>
    <w:autoRedefine/>
    <w:qFormat/>
    <w:uiPriority w:val="99"/>
    <w:rPr>
      <w:sz w:val="18"/>
    </w:rPr>
  </w:style>
  <w:style w:type="character" w:customStyle="1" w:styleId="53">
    <w:name w:val="页眉 Char"/>
    <w:link w:val="5"/>
    <w:autoRedefine/>
    <w:qFormat/>
    <w:uiPriority w:val="0"/>
    <w:rPr>
      <w:sz w:val="18"/>
    </w:rPr>
  </w:style>
  <w:style w:type="character" w:customStyle="1" w:styleId="54">
    <w:name w:val="批注主题 Char"/>
    <w:link w:val="25"/>
    <w:autoRedefine/>
    <w:qFormat/>
    <w:uiPriority w:val="99"/>
    <w:rPr>
      <w:b/>
      <w:bCs/>
    </w:rPr>
  </w:style>
  <w:style w:type="paragraph" w:customStyle="1" w:styleId="55">
    <w:name w:val="WPSOffice手动目录 1"/>
    <w:autoRedefine/>
    <w:qFormat/>
    <w:uiPriority w:val="0"/>
    <w:rPr>
      <w:rFonts w:ascii="Times New Roman" w:hAnsi="Times New Roman" w:eastAsia="宋体" w:cs="Times New Roman"/>
      <w:lang w:val="en-US" w:eastAsia="zh-CN" w:bidi="ar-SA"/>
    </w:rPr>
  </w:style>
  <w:style w:type="paragraph" w:customStyle="1" w:styleId="56">
    <w:name w:val="List Paragraph1"/>
    <w:basedOn w:val="1"/>
    <w:autoRedefine/>
    <w:qFormat/>
    <w:uiPriority w:val="99"/>
    <w:pPr>
      <w:ind w:firstLine="420" w:firstLineChars="200"/>
    </w:pPr>
  </w:style>
  <w:style w:type="paragraph" w:customStyle="1" w:styleId="57">
    <w:name w:val="列出段落1"/>
    <w:basedOn w:val="1"/>
    <w:autoRedefine/>
    <w:qFormat/>
    <w:uiPriority w:val="34"/>
    <w:pPr>
      <w:ind w:firstLine="420" w:firstLineChars="200"/>
    </w:pPr>
  </w:style>
  <w:style w:type="paragraph" w:customStyle="1" w:styleId="58">
    <w:name w:val="列出段落111"/>
    <w:basedOn w:val="1"/>
    <w:autoRedefine/>
    <w:qFormat/>
    <w:uiPriority w:val="0"/>
    <w:pPr>
      <w:spacing w:line="240" w:lineRule="auto"/>
      <w:ind w:firstLine="420" w:firstLineChars="200"/>
      <w:jc w:val="left"/>
    </w:pPr>
    <w:rPr>
      <w:rFonts w:ascii="Times New Roman" w:hAnsi="Times New Roman" w:eastAsia="宋体" w:cs="Times New Roman"/>
      <w:kern w:val="0"/>
      <w:sz w:val="24"/>
      <w:szCs w:val="24"/>
      <w:lang w:eastAsia="en-US"/>
    </w:rPr>
  </w:style>
  <w:style w:type="paragraph" w:customStyle="1" w:styleId="59">
    <w:name w:val="正文（缩进 2 字符）"/>
    <w:basedOn w:val="1"/>
    <w:autoRedefine/>
    <w:qFormat/>
    <w:uiPriority w:val="0"/>
    <w:pPr>
      <w:ind w:firstLine="200" w:firstLineChars="200"/>
    </w:pPr>
  </w:style>
  <w:style w:type="paragraph" w:customStyle="1" w:styleId="60">
    <w:name w:val="列表段落"/>
    <w:basedOn w:val="1"/>
    <w:autoRedefine/>
    <w:qFormat/>
    <w:uiPriority w:val="34"/>
    <w:pPr>
      <w:ind w:firstLine="420" w:firstLineChars="200"/>
    </w:pPr>
    <w:rPr>
      <w:rFonts w:ascii="Times New Roman" w:hAnsi="Times New Roman"/>
    </w:rPr>
  </w:style>
  <w:style w:type="paragraph" w:customStyle="1" w:styleId="61">
    <w:name w:val="Default"/>
    <w:next w:val="62"/>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2">
    <w:name w:val="表格文字"/>
    <w:basedOn w:val="1"/>
    <w:qFormat/>
    <w:uiPriority w:val="0"/>
    <w:pPr>
      <w:spacing w:before="25" w:after="25" w:line="240" w:lineRule="auto"/>
      <w:ind w:firstLine="0"/>
      <w:jc w:val="left"/>
    </w:pPr>
    <w:rPr>
      <w:bCs/>
      <w:spacing w:val="10"/>
      <w:kern w:val="0"/>
      <w:sz w:val="24"/>
    </w:rPr>
  </w:style>
  <w:style w:type="paragraph" w:customStyle="1" w:styleId="63">
    <w:name w:val="正文首行缩进1"/>
    <w:basedOn w:val="12"/>
    <w:autoRedefine/>
    <w:qFormat/>
    <w:uiPriority w:val="0"/>
    <w:pPr>
      <w:ind w:firstLine="420"/>
      <w:jc w:val="left"/>
    </w:pPr>
    <w:rPr>
      <w:rFonts w:eastAsia="宋体"/>
      <w:sz w:val="24"/>
      <w:szCs w:val="24"/>
    </w:rPr>
  </w:style>
  <w:style w:type="paragraph" w:customStyle="1" w:styleId="64">
    <w:name w:val="正文缩进1"/>
    <w:basedOn w:val="1"/>
    <w:autoRedefine/>
    <w:qFormat/>
    <w:uiPriority w:val="0"/>
    <w:pPr>
      <w:ind w:firstLine="420" w:firstLineChars="200"/>
    </w:pPr>
  </w:style>
  <w:style w:type="paragraph" w:customStyle="1" w:styleId="65">
    <w:name w:val="列出段落2"/>
    <w:basedOn w:val="1"/>
    <w:autoRedefine/>
    <w:qFormat/>
    <w:uiPriority w:val="99"/>
    <w:pPr>
      <w:ind w:firstLine="420" w:firstLineChars="200"/>
    </w:pPr>
  </w:style>
  <w:style w:type="paragraph" w:customStyle="1" w:styleId="66">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67">
    <w:name w:val="列出段落3"/>
    <w:basedOn w:val="1"/>
    <w:autoRedefine/>
    <w:qFormat/>
    <w:uiPriority w:val="99"/>
    <w:pPr>
      <w:ind w:firstLine="420" w:firstLineChars="200"/>
    </w:pPr>
  </w:style>
  <w:style w:type="paragraph" w:customStyle="1" w:styleId="68">
    <w:name w:val="正文（缩进 4 字符）"/>
    <w:basedOn w:val="1"/>
    <w:autoRedefine/>
    <w:qFormat/>
    <w:uiPriority w:val="0"/>
    <w:pPr>
      <w:ind w:firstLine="1134" w:firstLineChars="400"/>
    </w:pPr>
  </w:style>
  <w:style w:type="paragraph" w:customStyle="1" w:styleId="69">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70">
    <w:name w:val="标题 3（投标文件）"/>
    <w:basedOn w:val="6"/>
    <w:autoRedefine/>
    <w:qFormat/>
    <w:uiPriority w:val="0"/>
    <w:pPr>
      <w:jc w:val="left"/>
    </w:pPr>
    <w:rPr>
      <w:u w:val="none"/>
    </w:rPr>
  </w:style>
  <w:style w:type="paragraph" w:customStyle="1" w:styleId="71">
    <w:name w:val="列出段落11"/>
    <w:basedOn w:val="1"/>
    <w:autoRedefine/>
    <w:qFormat/>
    <w:uiPriority w:val="99"/>
    <w:pPr>
      <w:ind w:firstLine="420" w:firstLineChars="200"/>
    </w:pPr>
    <w:rPr>
      <w:rFonts w:ascii="Calibri" w:hAnsi="Calibri" w:cs="Calibri"/>
    </w:rPr>
  </w:style>
  <w:style w:type="paragraph" w:customStyle="1" w:styleId="72">
    <w:name w:val="标题 2（投标文件）"/>
    <w:basedOn w:val="3"/>
    <w:autoRedefine/>
    <w:qFormat/>
    <w:uiPriority w:val="0"/>
    <w:pPr>
      <w:jc w:val="center"/>
    </w:pPr>
  </w:style>
  <w:style w:type="paragraph" w:customStyle="1" w:styleId="73">
    <w:name w:val="列出段落31"/>
    <w:basedOn w:val="1"/>
    <w:autoRedefine/>
    <w:qFormat/>
    <w:uiPriority w:val="0"/>
    <w:pPr>
      <w:widowControl w:val="0"/>
      <w:spacing w:line="240" w:lineRule="auto"/>
      <w:ind w:firstLine="420" w:firstLineChars="200"/>
    </w:pPr>
    <w:rPr>
      <w:rFonts w:ascii="Calibri" w:hAnsi="Calibri" w:eastAsia="宋体" w:cs="Times New Roman"/>
      <w:sz w:val="21"/>
      <w:szCs w:val="22"/>
    </w:rPr>
  </w:style>
  <w:style w:type="character" w:customStyle="1" w:styleId="74">
    <w:name w:val="占位符文本1"/>
    <w:autoRedefine/>
    <w:qFormat/>
    <w:uiPriority w:val="99"/>
    <w:rPr>
      <w:color w:val="808080"/>
    </w:rPr>
  </w:style>
  <w:style w:type="character" w:customStyle="1" w:styleId="75">
    <w:name w:val="glyphicon"/>
    <w:autoRedefine/>
    <w:qFormat/>
    <w:uiPriority w:val="0"/>
  </w:style>
  <w:style w:type="character" w:customStyle="1" w:styleId="76">
    <w:name w:val="old"/>
    <w:autoRedefine/>
    <w:qFormat/>
    <w:uiPriority w:val="0"/>
    <w:rPr>
      <w:color w:val="999999"/>
    </w:rPr>
  </w:style>
  <w:style w:type="character" w:customStyle="1" w:styleId="77">
    <w:name w:val="hour_am"/>
    <w:autoRedefine/>
    <w:qFormat/>
    <w:uiPriority w:val="0"/>
  </w:style>
  <w:style w:type="character" w:customStyle="1" w:styleId="78">
    <w:name w:val="页脚 Char1"/>
    <w:autoRedefine/>
    <w:qFormat/>
    <w:uiPriority w:val="99"/>
    <w:rPr>
      <w:sz w:val="18"/>
      <w:szCs w:val="18"/>
    </w:rPr>
  </w:style>
  <w:style w:type="character" w:customStyle="1" w:styleId="79">
    <w:name w:val="font11"/>
    <w:autoRedefine/>
    <w:qFormat/>
    <w:uiPriority w:val="0"/>
    <w:rPr>
      <w:rFonts w:hint="eastAsia" w:ascii="宋体" w:hAnsi="宋体" w:eastAsia="宋体" w:cs="宋体"/>
      <w:color w:val="FF0000"/>
      <w:sz w:val="22"/>
      <w:szCs w:val="22"/>
      <w:u w:val="none"/>
    </w:rPr>
  </w:style>
  <w:style w:type="character" w:customStyle="1" w:styleId="80">
    <w:name w:val="页眉 Char1"/>
    <w:autoRedefine/>
    <w:qFormat/>
    <w:uiPriority w:val="99"/>
    <w:rPr>
      <w:sz w:val="18"/>
      <w:szCs w:val="18"/>
    </w:rPr>
  </w:style>
  <w:style w:type="character" w:customStyle="1" w:styleId="81">
    <w:name w:val="tmpztreemove_arrow"/>
    <w:autoRedefine/>
    <w:qFormat/>
    <w:uiPriority w:val="0"/>
    <w:rPr>
      <w:shd w:val="clear" w:color="000000" w:fill="FFFFFF"/>
    </w:rPr>
  </w:style>
  <w:style w:type="character" w:customStyle="1" w:styleId="82">
    <w:name w:val="hour_pm"/>
    <w:autoRedefine/>
    <w:qFormat/>
    <w:uiPriority w:val="0"/>
  </w:style>
  <w:style w:type="character" w:customStyle="1" w:styleId="83">
    <w:name w:val="hover"/>
    <w:autoRedefine/>
    <w:qFormat/>
    <w:uiPriority w:val="0"/>
    <w:rPr>
      <w:shd w:val="clear" w:color="000000" w:fill="EEEEEE"/>
    </w:rPr>
  </w:style>
  <w:style w:type="character" w:customStyle="1" w:styleId="84">
    <w:name w:val="button"/>
    <w:autoRedefine/>
    <w:qFormat/>
    <w:uiPriority w:val="0"/>
  </w:style>
  <w:style w:type="paragraph" w:customStyle="1" w:styleId="85">
    <w:name w:val="表格"/>
    <w:basedOn w:val="1"/>
    <w:autoRedefine/>
    <w:qFormat/>
    <w:uiPriority w:val="0"/>
    <w:pPr>
      <w:spacing w:line="360" w:lineRule="auto"/>
      <w:jc w:val="center"/>
    </w:pPr>
    <w:rPr>
      <w:rFonts w:ascii="Calibri" w:hAnsi="Calibri" w:eastAsia="宋体" w:cs="Times New Roman"/>
      <w:szCs w:val="20"/>
    </w:rPr>
  </w:style>
  <w:style w:type="paragraph" w:customStyle="1" w:styleId="86">
    <w:name w:val="Body text|2"/>
    <w:basedOn w:val="1"/>
    <w:autoRedefine/>
    <w:qFormat/>
    <w:uiPriority w:val="0"/>
    <w:pPr>
      <w:widowControl w:val="0"/>
      <w:spacing w:line="310" w:lineRule="exact"/>
      <w:ind w:firstLine="420"/>
    </w:pPr>
    <w:rPr>
      <w:rFonts w:ascii="宋体" w:hAnsi="宋体" w:eastAsia="宋体" w:cs="宋体"/>
      <w:sz w:val="20"/>
      <w:szCs w:val="20"/>
      <w:lang w:val="zh-TW" w:eastAsia="zh-TW" w:bidi="zh-TW"/>
    </w:rPr>
  </w:style>
  <w:style w:type="paragraph" w:customStyle="1" w:styleId="87">
    <w:name w:val="Other|1"/>
    <w:basedOn w:val="1"/>
    <w:autoRedefine/>
    <w:qFormat/>
    <w:uiPriority w:val="0"/>
    <w:pPr>
      <w:widowControl w:val="0"/>
      <w:spacing w:line="401" w:lineRule="auto"/>
      <w:ind w:firstLine="400"/>
    </w:pPr>
    <w:rPr>
      <w:rFonts w:ascii="宋体" w:hAnsi="宋体" w:eastAsia="宋体" w:cs="宋体"/>
      <w:sz w:val="30"/>
      <w:szCs w:val="30"/>
      <w:lang w:val="zh-TW" w:eastAsia="zh-TW" w:bidi="zh-TW"/>
    </w:rPr>
  </w:style>
  <w:style w:type="paragraph" w:customStyle="1" w:styleId="88">
    <w:name w:val="Header or footer|1"/>
    <w:basedOn w:val="1"/>
    <w:autoRedefine/>
    <w:qFormat/>
    <w:uiPriority w:val="0"/>
    <w:pPr>
      <w:widowControl w:val="0"/>
    </w:pPr>
    <w:rPr>
      <w:sz w:val="30"/>
      <w:szCs w:val="30"/>
      <w:lang w:val="zh-TW" w:eastAsia="zh-TW" w:bidi="zh-TW"/>
    </w:rPr>
  </w:style>
  <w:style w:type="paragraph" w:customStyle="1" w:styleId="8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table" w:customStyle="1" w:styleId="91">
    <w:name w:val="Table Normal"/>
    <w:autoRedefine/>
    <w:unhideWhenUsed/>
    <w:qFormat/>
    <w:uiPriority w:val="0"/>
    <w:rPr>
      <w:lang w:val="en-US" w:eastAsia="zh-CN" w:bidi="ar-SA"/>
    </w:rPr>
    <w:tblPr>
      <w:tblCellMar>
        <w:top w:w="0" w:type="dxa"/>
        <w:left w:w="0" w:type="dxa"/>
        <w:bottom w:w="0" w:type="dxa"/>
        <w:right w:w="0" w:type="dxa"/>
      </w:tblCellMar>
    </w:tblPr>
  </w:style>
  <w:style w:type="paragraph" w:customStyle="1" w:styleId="92">
    <w:name w:val="Body text|1"/>
    <w:basedOn w:val="1"/>
    <w:autoRedefine/>
    <w:qFormat/>
    <w:uiPriority w:val="0"/>
    <w:pPr>
      <w:spacing w:line="434" w:lineRule="auto"/>
      <w:ind w:firstLine="400"/>
    </w:pPr>
    <w:rPr>
      <w:rFonts w:ascii="宋体" w:hAnsi="宋体" w:cs="宋体"/>
      <w:sz w:val="28"/>
      <w:szCs w:val="28"/>
      <w:lang w:val="zh-TW" w:eastAsia="zh-TW" w:bidi="zh-TW"/>
    </w:rPr>
  </w:style>
  <w:style w:type="character" w:customStyle="1" w:styleId="93">
    <w:name w:val="mini-outputtext1"/>
    <w:basedOn w:val="30"/>
    <w:autoRedefine/>
    <w:qFormat/>
    <w:uiPriority w:val="0"/>
  </w:style>
  <w:style w:type="paragraph" w:customStyle="1" w:styleId="94">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95">
    <w:name w:val="null3"/>
    <w:autoRedefine/>
    <w:hidden/>
    <w:qFormat/>
    <w:uiPriority w:val="0"/>
    <w:rPr>
      <w:rFonts w:hint="eastAsia" w:asciiTheme="minorHAnsi" w:hAnsiTheme="minorHAnsi" w:eastAsiaTheme="minorEastAsia" w:cstheme="minorBidi"/>
      <w:lang w:val="en-US" w:eastAsia="zh-Hans"/>
    </w:rPr>
  </w:style>
  <w:style w:type="paragraph" w:styleId="96">
    <w:name w:val="List Paragraph"/>
    <w:basedOn w:val="1"/>
    <w:qFormat/>
    <w:uiPriority w:val="34"/>
    <w:pPr>
      <w:ind w:firstLine="420" w:firstLineChars="200"/>
    </w:pPr>
    <w:rPr>
      <w:szCs w:val="20"/>
    </w:rPr>
  </w:style>
  <w:style w:type="paragraph" w:customStyle="1" w:styleId="97">
    <w:name w:val="图片"/>
    <w:basedOn w:val="4"/>
    <w:qFormat/>
    <w:uiPriority w:val="0"/>
    <w:pPr>
      <w:adjustRightInd/>
      <w:snapToGrid/>
      <w:ind w:firstLine="0" w:firstLineChars="0"/>
      <w:jc w:val="center"/>
    </w:pPr>
    <w:rPr>
      <w:rFonts w:hint="default" w:ascii="Arial" w:hAnsi="Arial" w:cs="楷体"/>
      <w:sz w:val="24"/>
      <w:szCs w:val="21"/>
    </w:rPr>
  </w:style>
  <w:style w:type="paragraph" w:customStyle="1" w:styleId="98">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xczx</Company>
  <Pages>50</Pages>
  <Words>2260</Words>
  <Characters>2515</Characters>
  <Lines>177</Lines>
  <Paragraphs>49</Paragraphs>
  <TotalTime>5</TotalTime>
  <ScaleCrop>false</ScaleCrop>
  <LinksUpToDate>false</LinksUpToDate>
  <CharactersWithSpaces>2590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2021-02-08T02:53:00Z</dcterms:created>
  <dc:creator>lenovo</dc:creator>
  <cp:lastModifiedBy>Administrator</cp:lastModifiedBy>
  <cp:lastPrinted>2026-07-30T07:27:00Z</cp:lastPrinted>
  <dcterms:modified xsi:type="dcterms:W3CDTF">2026-07-31T08:21:07Z</dcterms:modified>
  <dc:title>陕西省省级单位政府采购中心</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BFD5BBA71DC24318B7E360C6570B3DBA_13</vt:lpwstr>
  </property>
  <property fmtid="{D5CDD505-2E9C-101B-9397-08002B2CF9AE}" pid="4" name="KSOTemplateDocerSaveRecord">
    <vt:lpwstr>eyJoZGlkIjoiOTM5ZDgyYTNmM2ZiZjk5MmIyMWRjY2E5ZWE5ZDgwNjQifQ==</vt:lpwstr>
  </property>
</Properties>
</file>