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版本号：zdzc202607090320260716001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2026年胥家营村黄茶种植及道路硬化项目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zdzc2026070903</w:t>
      </w:r>
      <w:r>
        <w:br/>
      </w:r>
      <w:r>
        <w:br/>
      </w:r>
      <w:r>
        <w:br/>
      </w:r>
    </w:p>
    <w:p>
      <w:pPr>
        <w:pStyle w:val="null3"/>
        <w:jc w:val="center"/>
        <w:outlineLvl w:val="2"/>
      </w:pPr>
      <w:r>
        <w:rPr>
          <w:rFonts w:ascii="仿宋_GB2312" w:hAnsi="仿宋_GB2312" w:cs="仿宋_GB2312" w:eastAsia="仿宋_GB2312"/>
          <w:sz w:val="28"/>
          <w:b/>
        </w:rPr>
        <w:t>城固县董家营镇人民政府</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城固县董家营镇人民政府</w:t>
      </w:r>
      <w:r>
        <w:rPr>
          <w:rFonts w:ascii="仿宋_GB2312" w:hAnsi="仿宋_GB2312" w:cs="仿宋_GB2312" w:eastAsia="仿宋_GB2312"/>
        </w:rPr>
        <w:t>委托，拟对</w:t>
      </w:r>
      <w:r>
        <w:rPr>
          <w:rFonts w:ascii="仿宋_GB2312" w:hAnsi="仿宋_GB2312" w:cs="仿宋_GB2312" w:eastAsia="仿宋_GB2312"/>
        </w:rPr>
        <w:t>2026年胥家营村黄茶种植及道路硬化项目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zdzc2026070903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2026年胥家营村黄茶种植及道路硬化项目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 建设地点：城固县董家营镇胥家营村； 2 建设内容：种植黄茶50亩；配套产业路建设，砌护路基4400㎡；配套产业路建设，路面长1100米、宽3米、厚0.18米；边坡砌护343m³； 3 项目投资总额：120.00 万元； 4 计划工期：60 日历天 5 标段划分： 标段1：标段名称：2026年胥家营村黄茶种植及道路硬化项目（黄茶种植标段）； 标段2：标段名称：2026年胥家营村黄茶种植及道路硬化项目（道路硬化标段）；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采购包1（2026年胥家营村黄茶种植及道路硬化项目（黄茶种植标段））：属于专门面向中小企业采购。</w:t>
      </w:r>
    </w:p>
    <w:p>
      <w:pPr>
        <w:pStyle w:val="null3"/>
      </w:pPr>
      <w:r>
        <w:rPr>
          <w:rFonts w:ascii="仿宋_GB2312" w:hAnsi="仿宋_GB2312" w:cs="仿宋_GB2312" w:eastAsia="仿宋_GB2312"/>
        </w:rPr>
        <w:t>采购包2（2026年胥家营村黄茶种植及道路硬化项目（道路硬化标段））：属于专门面向中小企业采购。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具有独立承担民事责任能力的法定代表人、其他组织或自然人，营业执照、组织机构代码证、税务登记证（多证合一只提供营业执照，事业单位提供事业单位法定代表人证书，自然人提供本人身份证）合法有效。</w:t>
      </w:r>
    </w:p>
    <w:p>
      <w:pPr>
        <w:pStyle w:val="null3"/>
      </w:pPr>
      <w:r>
        <w:rPr>
          <w:rFonts w:ascii="仿宋_GB2312" w:hAnsi="仿宋_GB2312" w:cs="仿宋_GB2312" w:eastAsia="仿宋_GB2312"/>
        </w:rPr>
        <w:t>2、《汉中市政府采购供应商资格承诺函》；：供应商提供《汉中市政府采购供应商资格承诺函》；</w:t>
      </w:r>
    </w:p>
    <w:p>
      <w:pPr>
        <w:pStyle w:val="null3"/>
      </w:pPr>
      <w:r>
        <w:rPr>
          <w:rFonts w:ascii="仿宋_GB2312" w:hAnsi="仿宋_GB2312" w:cs="仿宋_GB2312" w:eastAsia="仿宋_GB2312"/>
        </w:rPr>
        <w:t>3、供应商信誉要求：供应商信誉要求：“信用中国”网站（www.creditchina.gov.cn）和“中国政府采购网”（ccgp.gov.cn）为供应商信用信息查询渠道，如果供应商被查实在投标截止时间前已列入失信被执行人、重大税收违法失信主体名单、政府采购严重违法失信行为记录名单，其投标为无效；</w:t>
      </w:r>
    </w:p>
    <w:p>
      <w:pPr>
        <w:pStyle w:val="null3"/>
      </w:pPr>
      <w:r>
        <w:rPr>
          <w:rFonts w:ascii="仿宋_GB2312" w:hAnsi="仿宋_GB2312" w:cs="仿宋_GB2312" w:eastAsia="仿宋_GB2312"/>
        </w:rPr>
        <w:t>4、法定代表人授权委托书：法定代表人参加磋商活动的，须提供法定代表人身份证明书；法定代表人授权代表参加磋商活动的，须提供法定代表人授权委托书。</w:t>
      </w:r>
    </w:p>
    <w:p>
      <w:pPr>
        <w:pStyle w:val="null3"/>
      </w:pPr>
      <w:r>
        <w:rPr>
          <w:rFonts w:ascii="仿宋_GB2312" w:hAnsi="仿宋_GB2312" w:cs="仿宋_GB2312" w:eastAsia="仿宋_GB2312"/>
        </w:rPr>
        <w:t>5、项目核心承诺书：苗木进场验收时，成交供应商须提供该批次黄茶苗木有效的《植物检疫证书》（可由苗木繁育基地出具），同步提供苗木来源证明（购销合同、育苗单位种子生产经营许可证、苗木标签、苗木质量检验合格证），做到货证相符；所有证件原件备查。投标文件中提供《履约承诺函》，承诺苗木进场时完整提交上述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主体资格：具有独立承担民事责任能力的法定代表人、其他组织或自然人，营业执照、组织机构代码证、税务登记证（多证合一只提供营业执照，事业单位提供事业单位法定代表人证书，自然人提供本人身份证）合法有效。</w:t>
      </w:r>
    </w:p>
    <w:p>
      <w:pPr>
        <w:pStyle w:val="null3"/>
      </w:pPr>
      <w:r>
        <w:rPr>
          <w:rFonts w:ascii="仿宋_GB2312" w:hAnsi="仿宋_GB2312" w:cs="仿宋_GB2312" w:eastAsia="仿宋_GB2312"/>
        </w:rPr>
        <w:t>2、《汉中市政府采购供应商资格承诺函》；：供应商提供《汉中市政府采购供应商资格承诺函》；</w:t>
      </w:r>
    </w:p>
    <w:p>
      <w:pPr>
        <w:pStyle w:val="null3"/>
      </w:pPr>
      <w:r>
        <w:rPr>
          <w:rFonts w:ascii="仿宋_GB2312" w:hAnsi="仿宋_GB2312" w:cs="仿宋_GB2312" w:eastAsia="仿宋_GB2312"/>
        </w:rPr>
        <w:t>3、供应商信誉要求：供应商信誉要求：“信用中国”网站（www.creditchina.gov.cn）和“中国政府采购网”（ccgp.gov.cn）为供应商信用信息查询渠道，如果供应商被查实在投标截止时间前已列入失信被执行人、重大税收违法失信主体名单、政府采购严重违法失信行为记录名单，其投标为无效；</w:t>
      </w:r>
    </w:p>
    <w:p>
      <w:pPr>
        <w:pStyle w:val="null3"/>
      </w:pPr>
      <w:r>
        <w:rPr>
          <w:rFonts w:ascii="仿宋_GB2312" w:hAnsi="仿宋_GB2312" w:cs="仿宋_GB2312" w:eastAsia="仿宋_GB2312"/>
        </w:rPr>
        <w:t>4、供应商资质能力：投标供应商必须具备建设行政主管部门核发的公路工程施工总承包三级以上（含三级）资质或市政公用工程施工总承包三级以上（含三级）资质；取得建设行政主管部门颁发的安全生产许可证，并在人员、设备、资金等方面具有相应的施工能力；项目经理须具有公路工程（或市政公用工程）二级以上（含二级）注册建造师执业资格证书，并具有B类安全考核合格证书，无在建项目；</w:t>
      </w:r>
    </w:p>
    <w:p>
      <w:pPr>
        <w:pStyle w:val="null3"/>
      </w:pPr>
      <w:r>
        <w:rPr>
          <w:rFonts w:ascii="仿宋_GB2312" w:hAnsi="仿宋_GB2312" w:cs="仿宋_GB2312" w:eastAsia="仿宋_GB2312"/>
        </w:rPr>
        <w:t>5、法定代表人授权委托书：法定代表人参加磋商活动的，须提供法定代表人身份证明书；法定代表人授权代表参加磋商活动的，须提供法定代表人授权委托书。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城固县董家营镇人民政府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城固县董家营镇徐李湾社区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723214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城固县董家营镇人民政府经办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13630266656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陕西省西安市新城区长乐中路38号金花新都汇C座12层01室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18092099688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采购包1：473,012.16元</w:t>
            </w:r>
          </w:p>
          <w:p>
            <w:pPr>
              <w:pStyle w:val="null3"/>
            </w:pPr>
            <w:r>
              <w:rPr>
                <w:rFonts w:ascii="仿宋_GB2312" w:hAnsi="仿宋_GB2312" w:cs="仿宋_GB2312" w:eastAsia="仿宋_GB2312"/>
              </w:rPr>
              <w:t>采购包2：726,987.84元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代理服务费收费标准：以项目成交金额为计费基数，按成交金额的 1.5% 全额计取。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城固县董家营镇人民政府</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城固县董家营镇人民政府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城固县董家营镇人民政府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以最终签订的合同为准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以采购文件及最终签订合同为准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以采购文件及最终签订合同为准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联系电话：18789478749</w:t>
      </w:r>
    </w:p>
    <w:p>
      <w:pPr>
        <w:pStyle w:val="null3"/>
      </w:pPr>
      <w:r>
        <w:rPr>
          <w:rFonts w:ascii="仿宋_GB2312" w:hAnsi="仿宋_GB2312" w:cs="仿宋_GB2312" w:eastAsia="仿宋_GB2312"/>
        </w:rPr>
        <w:t>地址：汉中市汉台区东关街道办事处盛世国际 写字楼2号楼1109室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种植黄茶50亩；配套产业路建设，砌护路基4400㎡；配套产业路建设，路面长1100米、宽3米、厚0.18米；边坡砌护343m³；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473,012.16</w:t>
      </w:r>
    </w:p>
    <w:p>
      <w:pPr>
        <w:pStyle w:val="null3"/>
      </w:pPr>
      <w:r>
        <w:rPr>
          <w:rFonts w:ascii="仿宋_GB2312" w:hAnsi="仿宋_GB2312" w:cs="仿宋_GB2312" w:eastAsia="仿宋_GB2312"/>
        </w:rPr>
        <w:t>采购包最高限价（元）: 473,012.16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2026年胥家营村黄茶种植及道路硬化项目（黄茶种植标段）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473,012.16</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726,987.84</w:t>
      </w:r>
    </w:p>
    <w:p>
      <w:pPr>
        <w:pStyle w:val="null3"/>
      </w:pPr>
      <w:r>
        <w:rPr>
          <w:rFonts w:ascii="仿宋_GB2312" w:hAnsi="仿宋_GB2312" w:cs="仿宋_GB2312" w:eastAsia="仿宋_GB2312"/>
        </w:rPr>
        <w:t>采购包最高限价（元）: 726,987.84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2026年胥家营村黄茶种植及道路硬化项目（道路硬化标段）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726,987.84</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标的名称：2026年胥家营村黄茶种植及道路硬化项目（黄茶种植标段）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rPr>
              <w:t>茶苗苗木质量</w:t>
            </w:r>
          </w:p>
          <w:p>
            <w:pPr>
              <w:pStyle w:val="null3"/>
              <w:ind w:firstLine="480"/>
              <w:jc w:val="both"/>
            </w:pPr>
            <w:r>
              <w:rPr>
                <w:rFonts w:ascii="仿宋_GB2312" w:hAnsi="仿宋_GB2312" w:cs="仿宋_GB2312" w:eastAsia="仿宋_GB2312"/>
                <w:sz w:val="24"/>
              </w:rPr>
              <w:t>执行</w:t>
            </w:r>
            <w:r>
              <w:rPr>
                <w:rFonts w:ascii="仿宋_GB2312" w:hAnsi="仿宋_GB2312" w:cs="仿宋_GB2312" w:eastAsia="仿宋_GB2312"/>
                <w:sz w:val="24"/>
              </w:rPr>
              <w:t xml:space="preserve"> GB 11767 茶树苗木标准，优先选用</w:t>
            </w:r>
            <w:r>
              <w:rPr>
                <w:rFonts w:ascii="仿宋_GB2312" w:hAnsi="仿宋_GB2312" w:cs="仿宋_GB2312" w:eastAsia="仿宋_GB2312"/>
                <w:sz w:val="24"/>
                <w:color w:val="000000"/>
              </w:rPr>
              <w:t>Ⅰ 级扦插无性系茶苗</w:t>
            </w:r>
          </w:p>
          <w:p>
            <w:pPr>
              <w:pStyle w:val="null3"/>
              <w:ind w:firstLine="480"/>
              <w:jc w:val="both"/>
            </w:pPr>
            <w:r>
              <w:rPr>
                <w:rFonts w:ascii="仿宋_GB2312" w:hAnsi="仿宋_GB2312" w:cs="仿宋_GB2312" w:eastAsia="仿宋_GB2312"/>
                <w:sz w:val="24"/>
                <w:color w:val="000000"/>
              </w:rPr>
              <w:t>苗龄</w:t>
            </w:r>
            <w:r>
              <w:rPr>
                <w:rFonts w:ascii="仿宋_GB2312" w:hAnsi="仿宋_GB2312" w:cs="仿宋_GB2312" w:eastAsia="仿宋_GB2312"/>
                <w:sz w:val="24"/>
                <w:color w:val="000000"/>
              </w:rPr>
              <w:t>：</w:t>
            </w:r>
            <w:r>
              <w:rPr>
                <w:rFonts w:ascii="仿宋_GB2312" w:hAnsi="仿宋_GB2312" w:cs="仿宋_GB2312" w:eastAsia="仿宋_GB2312"/>
                <w:sz w:val="24"/>
                <w:color w:val="000000"/>
              </w:rPr>
              <w:t>一足龄扦插苗</w:t>
            </w:r>
            <w:r>
              <w:rPr>
                <w:rFonts w:ascii="仿宋_GB2312" w:hAnsi="仿宋_GB2312" w:cs="仿宋_GB2312" w:eastAsia="仿宋_GB2312"/>
                <w:sz w:val="24"/>
                <w:color w:val="000000"/>
              </w:rPr>
              <w:t>；</w:t>
            </w:r>
            <w:r>
              <w:rPr>
                <w:rFonts w:ascii="仿宋_GB2312" w:hAnsi="仿宋_GB2312" w:cs="仿宋_GB2312" w:eastAsia="仿宋_GB2312"/>
                <w:sz w:val="24"/>
                <w:color w:val="000000"/>
              </w:rPr>
              <w:t>苗高</w:t>
            </w:r>
            <w:r>
              <w:rPr>
                <w:rFonts w:ascii="仿宋_GB2312" w:hAnsi="仿宋_GB2312" w:cs="仿宋_GB2312" w:eastAsia="仿宋_GB2312"/>
                <w:sz w:val="24"/>
                <w:color w:val="000000"/>
              </w:rPr>
              <w:t>：</w:t>
            </w:r>
            <w:r>
              <w:rPr>
                <w:rFonts w:ascii="仿宋_GB2312" w:hAnsi="仿宋_GB2312" w:cs="仿宋_GB2312" w:eastAsia="仿宋_GB2312"/>
                <w:sz w:val="24"/>
                <w:color w:val="000000"/>
              </w:rPr>
              <w:t>≥30cm</w:t>
            </w:r>
            <w:r>
              <w:rPr>
                <w:rFonts w:ascii="仿宋_GB2312" w:hAnsi="仿宋_GB2312" w:cs="仿宋_GB2312" w:eastAsia="仿宋_GB2312"/>
                <w:sz w:val="24"/>
                <w:color w:val="000000"/>
              </w:rPr>
              <w:t>；</w:t>
            </w:r>
            <w:r>
              <w:rPr>
                <w:rFonts w:ascii="仿宋_GB2312" w:hAnsi="仿宋_GB2312" w:cs="仿宋_GB2312" w:eastAsia="仿宋_GB2312"/>
                <w:sz w:val="24"/>
                <w:color w:val="000000"/>
              </w:rPr>
              <w:t>离地</w:t>
            </w:r>
            <w:r>
              <w:rPr>
                <w:rFonts w:ascii="仿宋_GB2312" w:hAnsi="仿宋_GB2312" w:cs="仿宋_GB2312" w:eastAsia="仿宋_GB2312"/>
                <w:sz w:val="24"/>
                <w:color w:val="000000"/>
              </w:rPr>
              <w:t>5cm 根茎粗度</w:t>
            </w:r>
            <w:r>
              <w:rPr>
                <w:rFonts w:ascii="仿宋_GB2312" w:hAnsi="仿宋_GB2312" w:cs="仿宋_GB2312" w:eastAsia="仿宋_GB2312"/>
                <w:sz w:val="24"/>
                <w:color w:val="000000"/>
              </w:rPr>
              <w:t>：</w:t>
            </w:r>
            <w:r>
              <w:rPr>
                <w:rFonts w:ascii="仿宋_GB2312" w:hAnsi="仿宋_GB2312" w:cs="仿宋_GB2312" w:eastAsia="仿宋_GB2312"/>
                <w:sz w:val="24"/>
                <w:color w:val="000000"/>
              </w:rPr>
              <w:t>≥3.0mm</w:t>
            </w:r>
            <w:r>
              <w:rPr>
                <w:rFonts w:ascii="仿宋_GB2312" w:hAnsi="仿宋_GB2312" w:cs="仿宋_GB2312" w:eastAsia="仿宋_GB2312"/>
                <w:sz w:val="24"/>
                <w:color w:val="000000"/>
              </w:rPr>
              <w:t>；</w:t>
            </w:r>
            <w:r>
              <w:rPr>
                <w:rFonts w:ascii="仿宋_GB2312" w:hAnsi="仿宋_GB2312" w:cs="仿宋_GB2312" w:eastAsia="仿宋_GB2312"/>
                <w:sz w:val="24"/>
                <w:color w:val="000000"/>
              </w:rPr>
              <w:t>侧根数量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≥3 条，须根发达</w:t>
            </w:r>
            <w:r>
              <w:rPr>
                <w:rFonts w:ascii="仿宋_GB2312" w:hAnsi="仿宋_GB2312" w:cs="仿宋_GB2312" w:eastAsia="仿宋_GB2312"/>
                <w:sz w:val="24"/>
                <w:color w:val="000000"/>
              </w:rPr>
              <w:t>；</w:t>
            </w:r>
            <w:r>
              <w:rPr>
                <w:rFonts w:ascii="仿宋_GB2312" w:hAnsi="仿宋_GB2312" w:cs="仿宋_GB2312" w:eastAsia="仿宋_GB2312"/>
                <w:sz w:val="24"/>
                <w:color w:val="000000"/>
              </w:rPr>
              <w:t>品种纯度</w:t>
            </w:r>
            <w:r>
              <w:rPr>
                <w:rFonts w:ascii="仿宋_GB2312" w:hAnsi="仿宋_GB2312" w:cs="仿宋_GB2312" w:eastAsia="仿宋_GB2312"/>
                <w:sz w:val="24"/>
                <w:color w:val="000000"/>
              </w:rPr>
              <w:t>：</w:t>
            </w:r>
            <w:r>
              <w:rPr>
                <w:rFonts w:ascii="仿宋_GB2312" w:hAnsi="仿宋_GB2312" w:cs="仿宋_GB2312" w:eastAsia="仿宋_GB2312"/>
                <w:sz w:val="24"/>
                <w:color w:val="000000"/>
              </w:rPr>
              <w:t>≥99%</w:t>
            </w:r>
            <w:r>
              <w:rPr>
                <w:rFonts w:ascii="仿宋_GB2312" w:hAnsi="仿宋_GB2312" w:cs="仿宋_GB2312" w:eastAsia="仿宋_GB2312"/>
                <w:sz w:val="24"/>
                <w:color w:val="000000"/>
              </w:rPr>
              <w:t>；</w:t>
            </w:r>
            <w:r>
              <w:rPr>
                <w:rFonts w:ascii="仿宋_GB2312" w:hAnsi="仿宋_GB2312" w:cs="仿宋_GB2312" w:eastAsia="仿宋_GB2312"/>
                <w:sz w:val="24"/>
              </w:rPr>
              <w:t>检疫要求</w:t>
            </w:r>
            <w:r>
              <w:rPr>
                <w:rFonts w:ascii="仿宋_GB2312" w:hAnsi="仿宋_GB2312" w:cs="仿宋_GB2312" w:eastAsia="仿宋_GB2312"/>
                <w:sz w:val="24"/>
              </w:rPr>
              <w:t>：</w:t>
            </w:r>
            <w:r>
              <w:rPr>
                <w:rFonts w:ascii="仿宋_GB2312" w:hAnsi="仿宋_GB2312" w:cs="仿宋_GB2312" w:eastAsia="仿宋_GB2312"/>
                <w:sz w:val="24"/>
              </w:rPr>
              <w:t>无根结线虫、茶根腐病、茶饼病等检疫性病虫害</w:t>
            </w:r>
            <w:r>
              <w:rPr>
                <w:rFonts w:ascii="仿宋_GB2312" w:hAnsi="仿宋_GB2312" w:cs="仿宋_GB2312" w:eastAsia="仿宋_GB2312"/>
                <w:sz w:val="24"/>
              </w:rPr>
              <w:t>；</w:t>
            </w:r>
            <w:r>
              <w:rPr>
                <w:rFonts w:ascii="仿宋_GB2312" w:hAnsi="仿宋_GB2312" w:cs="仿宋_GB2312" w:eastAsia="仿宋_GB2312"/>
                <w:sz w:val="24"/>
              </w:rPr>
              <w:t>外观</w:t>
            </w:r>
            <w:r>
              <w:rPr>
                <w:rFonts w:ascii="仿宋_GB2312" w:hAnsi="仿宋_GB2312" w:cs="仿宋_GB2312" w:eastAsia="仿宋_GB2312"/>
                <w:sz w:val="24"/>
              </w:rPr>
              <w:t>：</w:t>
            </w:r>
            <w:r>
              <w:rPr>
                <w:rFonts w:ascii="仿宋_GB2312" w:hAnsi="仿宋_GB2312" w:cs="仿宋_GB2312" w:eastAsia="仿宋_GB2312"/>
                <w:sz w:val="24"/>
              </w:rPr>
              <w:t>无机械损伤、无灼伤，木质化良好</w:t>
            </w:r>
            <w:r>
              <w:rPr>
                <w:rFonts w:ascii="仿宋_GB2312" w:hAnsi="仿宋_GB2312" w:cs="仿宋_GB2312" w:eastAsia="仿宋_GB2312"/>
                <w:sz w:val="24"/>
              </w:rPr>
              <w:t>。</w:t>
            </w:r>
          </w:p>
          <w:p>
            <w:pPr>
              <w:pStyle w:val="null3"/>
              <w:jc w:val="left"/>
              <w:outlineLvl w:val="2"/>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种植沟开挖</w:t>
            </w:r>
          </w:p>
          <w:p>
            <w:pPr>
              <w:pStyle w:val="null3"/>
              <w:ind w:firstLine="480"/>
              <w:jc w:val="left"/>
            </w:pPr>
            <w:r>
              <w:rPr>
                <w:rFonts w:ascii="仿宋_GB2312" w:hAnsi="仿宋_GB2312" w:cs="仿宋_GB2312" w:eastAsia="仿宋_GB2312"/>
                <w:sz w:val="24"/>
                <w:color w:val="000000"/>
              </w:rPr>
              <w:t>沟宽</w:t>
            </w:r>
            <w:r>
              <w:rPr>
                <w:rFonts w:ascii="仿宋_GB2312" w:hAnsi="仿宋_GB2312" w:cs="仿宋_GB2312" w:eastAsia="仿宋_GB2312"/>
                <w:sz w:val="24"/>
                <w:color w:val="000000"/>
              </w:rPr>
              <w:t xml:space="preserve"> 50–60cm、沟深 45–50cm；表土与底土分开堆放，分层回填</w:t>
            </w:r>
            <w:r>
              <w:rPr>
                <w:rFonts w:ascii="仿宋_GB2312" w:hAnsi="仿宋_GB2312" w:cs="仿宋_GB2312" w:eastAsia="仿宋_GB2312"/>
                <w:sz w:val="24"/>
                <w:color w:val="000000"/>
              </w:rPr>
              <w:t>。</w:t>
            </w:r>
          </w:p>
          <w:p>
            <w:pPr>
              <w:pStyle w:val="null3"/>
              <w:jc w:val="left"/>
              <w:outlineLvl w:val="2"/>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栽植模式</w:t>
            </w:r>
          </w:p>
          <w:p>
            <w:pPr>
              <w:pStyle w:val="null3"/>
              <w:jc w:val="left"/>
              <w:outlineLvl w:val="3"/>
            </w:pPr>
            <w:r>
              <w:rPr>
                <w:rFonts w:ascii="仿宋_GB2312" w:hAnsi="仿宋_GB2312" w:cs="仿宋_GB2312" w:eastAsia="仿宋_GB2312"/>
                <w:sz w:val="24"/>
                <w:b/>
                <w:color w:val="000000"/>
              </w:rPr>
              <w:t>双行密植</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大行距</w:t>
            </w:r>
            <w:r>
              <w:rPr>
                <w:rFonts w:ascii="仿宋_GB2312" w:hAnsi="仿宋_GB2312" w:cs="仿宋_GB2312" w:eastAsia="仿宋_GB2312"/>
                <w:sz w:val="24"/>
                <w:b/>
                <w:color w:val="000000"/>
              </w:rPr>
              <w:t>140–150cm，小行距 30–35cm，丛距 30–40cm；</w:t>
            </w:r>
            <w:r>
              <w:rPr>
                <w:rFonts w:ascii="仿宋_GB2312" w:hAnsi="仿宋_GB2312" w:cs="仿宋_GB2312" w:eastAsia="仿宋_GB2312"/>
                <w:sz w:val="24"/>
                <w:b/>
                <w:color w:val="000000"/>
              </w:rPr>
              <w:t>每丛</w:t>
            </w:r>
            <w:r>
              <w:rPr>
                <w:rFonts w:ascii="仿宋_GB2312" w:hAnsi="仿宋_GB2312" w:cs="仿宋_GB2312" w:eastAsia="仿宋_GB2312"/>
                <w:sz w:val="24"/>
                <w:b/>
                <w:color w:val="000000"/>
              </w:rPr>
              <w:t xml:space="preserve"> 2 株</w:t>
            </w:r>
            <w:r>
              <w:rPr>
                <w:rFonts w:ascii="仿宋_GB2312" w:hAnsi="仿宋_GB2312" w:cs="仿宋_GB2312" w:eastAsia="仿宋_GB2312"/>
                <w:sz w:val="24"/>
                <w:b/>
                <w:color w:val="000000"/>
              </w:rPr>
              <w:t>栽植密度：</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8</w:t>
            </w:r>
            <w:r>
              <w:rPr>
                <w:rFonts w:ascii="仿宋_GB2312" w:hAnsi="仿宋_GB2312" w:cs="仿宋_GB2312" w:eastAsia="仿宋_GB2312"/>
                <w:sz w:val="24"/>
                <w:b/>
                <w:color w:val="000000"/>
              </w:rPr>
              <w:t>00～4200株/亩</w:t>
            </w:r>
            <w:r>
              <w:rPr>
                <w:rFonts w:ascii="仿宋_GB2312" w:hAnsi="仿宋_GB2312" w:cs="仿宋_GB2312" w:eastAsia="仿宋_GB2312"/>
                <w:sz w:val="24"/>
                <w:b/>
                <w:color w:val="000000"/>
              </w:rPr>
              <w:t>。</w:t>
            </w:r>
          </w:p>
          <w:p>
            <w:pPr>
              <w:pStyle w:val="null3"/>
              <w:jc w:val="left"/>
              <w:outlineLvl w:val="2"/>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定植核心要求</w:t>
            </w:r>
          </w:p>
          <w:p>
            <w:pPr>
              <w:pStyle w:val="null3"/>
              <w:ind w:firstLine="480"/>
              <w:jc w:val="left"/>
            </w:pPr>
            <w:r>
              <w:rPr>
                <w:rFonts w:ascii="仿宋_GB2312" w:hAnsi="仿宋_GB2312" w:cs="仿宋_GB2312" w:eastAsia="仿宋_GB2312"/>
                <w:sz w:val="24"/>
                <w:color w:val="000000"/>
              </w:rPr>
              <w:t>茶苗根系舒展，埋土至根颈处，踩实、浇透定根水；定植后行间覆盖秸秆</w:t>
            </w:r>
            <w:r>
              <w:rPr>
                <w:rFonts w:ascii="仿宋_GB2312" w:hAnsi="仿宋_GB2312" w:cs="仿宋_GB2312" w:eastAsia="仿宋_GB2312"/>
                <w:sz w:val="24"/>
                <w:color w:val="000000"/>
              </w:rPr>
              <w:t xml:space="preserve"> / 地膜</w:t>
            </w:r>
            <w:r>
              <w:rPr>
                <w:rFonts w:ascii="仿宋_GB2312" w:hAnsi="仿宋_GB2312" w:cs="仿宋_GB2312" w:eastAsia="仿宋_GB2312"/>
                <w:sz w:val="24"/>
                <w:color w:val="000000"/>
              </w:rPr>
              <w:t>；</w:t>
            </w:r>
            <w:r>
              <w:rPr>
                <w:rFonts w:ascii="仿宋_GB2312" w:hAnsi="仿宋_GB2312" w:cs="仿宋_GB2312" w:eastAsia="仿宋_GB2312"/>
                <w:sz w:val="24"/>
                <w:color w:val="000000"/>
              </w:rPr>
              <w:t>栽植当年全程提供茶园修剪、施肥、病虫害防治；绿色防控生物农药，禁止高毒高残留农药。</w:t>
            </w:r>
          </w:p>
          <w:p>
            <w:pPr>
              <w:pStyle w:val="null3"/>
              <w:jc w:val="both"/>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定植成活率</w:t>
            </w:r>
          </w:p>
          <w:p>
            <w:pPr>
              <w:pStyle w:val="null3"/>
              <w:ind w:firstLine="480"/>
              <w:jc w:val="both"/>
            </w:pPr>
            <w:r>
              <w:rPr>
                <w:rFonts w:ascii="仿宋_GB2312" w:hAnsi="仿宋_GB2312" w:cs="仿宋_GB2312" w:eastAsia="仿宋_GB2312"/>
                <w:sz w:val="24"/>
              </w:rPr>
              <w:t>移栽满</w:t>
            </w:r>
            <w:r>
              <w:rPr>
                <w:rFonts w:ascii="仿宋_GB2312" w:hAnsi="仿宋_GB2312" w:cs="仿宋_GB2312" w:eastAsia="仿宋_GB2312"/>
                <w:sz w:val="24"/>
              </w:rPr>
              <w:t xml:space="preserve"> 12 个月验收：无性扦插茶苗</w:t>
            </w:r>
            <w:r>
              <w:rPr>
                <w:rFonts w:ascii="仿宋_GB2312" w:hAnsi="仿宋_GB2312" w:cs="仿宋_GB2312" w:eastAsia="仿宋_GB2312"/>
                <w:sz w:val="24"/>
                <w:color w:val="000000"/>
              </w:rPr>
              <w:t>成活率</w:t>
            </w:r>
            <w:r>
              <w:rPr>
                <w:rFonts w:ascii="仿宋_GB2312" w:hAnsi="仿宋_GB2312" w:cs="仿宋_GB2312" w:eastAsia="仿宋_GB2312"/>
                <w:sz w:val="24"/>
                <w:color w:val="000000"/>
              </w:rPr>
              <w:t>≥</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r>
              <w:rPr>
                <w:rFonts w:ascii="仿宋_GB2312" w:hAnsi="仿宋_GB2312" w:cs="仿宋_GB2312" w:eastAsia="仿宋_GB2312"/>
                <w:sz w:val="24"/>
              </w:rPr>
              <w:t>；成活率不达标需在次年补植至设计株数</w:t>
            </w:r>
            <w:r>
              <w:rPr>
                <w:rFonts w:ascii="仿宋_GB2312" w:hAnsi="仿宋_GB2312" w:cs="仿宋_GB2312" w:eastAsia="仿宋_GB2312"/>
                <w:sz w:val="24"/>
              </w:rPr>
              <w:t>。</w:t>
            </w:r>
          </w:p>
          <w:p>
            <w:pPr>
              <w:pStyle w:val="null3"/>
              <w:jc w:val="left"/>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标的名称：2026年胥家营村黄茶种植及道路硬化项目（道路硬化标段）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 清表处理：全线清除杂草、树根、腐殖土、淤泥，清表厚度不小于30cm，软弱土质全部换填碎石。</w:t>
            </w:r>
          </w:p>
          <w:p>
            <w:pPr>
              <w:pStyle w:val="null3"/>
              <w:jc w:val="left"/>
            </w:pPr>
            <w:r>
              <w:rPr>
                <w:rFonts w:ascii="仿宋_GB2312" w:hAnsi="仿宋_GB2312" w:cs="仿宋_GB2312" w:eastAsia="仿宋_GB2312"/>
                <w:sz w:val="24"/>
              </w:rPr>
              <w:t>2. 路基填筑：分层回填、分层碾压，每层压实厚度≤20cm，严禁一次性厚铺。</w:t>
            </w:r>
          </w:p>
          <w:p>
            <w:pPr>
              <w:pStyle w:val="null3"/>
              <w:jc w:val="left"/>
            </w:pPr>
            <w:r>
              <w:rPr>
                <w:rFonts w:ascii="仿宋_GB2312" w:hAnsi="仿宋_GB2312" w:cs="仿宋_GB2312" w:eastAsia="仿宋_GB2312"/>
                <w:sz w:val="24"/>
              </w:rPr>
              <w:t>3. 压实度标准：道路基压实度≥96%</w:t>
            </w:r>
          </w:p>
          <w:p>
            <w:pPr>
              <w:pStyle w:val="null3"/>
              <w:jc w:val="left"/>
            </w:pPr>
            <w:r>
              <w:rPr>
                <w:rFonts w:ascii="仿宋_GB2312" w:hAnsi="仿宋_GB2312" w:cs="仿宋_GB2312" w:eastAsia="仿宋_GB2312"/>
                <w:sz w:val="24"/>
              </w:rPr>
              <w:t>4. 路基顶面高于原地面不小于15cm，防止雨水浸泡、路基翻浆。</w:t>
            </w:r>
          </w:p>
          <w:p>
            <w:pPr>
              <w:pStyle w:val="null3"/>
              <w:jc w:val="left"/>
            </w:pPr>
            <w:r>
              <w:rPr>
                <w:rFonts w:ascii="仿宋_GB2312" w:hAnsi="仿宋_GB2312" w:cs="仿宋_GB2312" w:eastAsia="仿宋_GB2312"/>
                <w:sz w:val="24"/>
              </w:rPr>
              <w:t>5. 路基平顺、无弹簧土、无坑洼、无松散，验收合格后方可进入下道工序。</w:t>
            </w:r>
          </w:p>
          <w:p>
            <w:pPr>
              <w:pStyle w:val="null3"/>
              <w:jc w:val="left"/>
            </w:pPr>
            <w:r>
              <w:rPr>
                <w:rFonts w:ascii="仿宋_GB2312" w:hAnsi="仿宋_GB2312" w:cs="仿宋_GB2312" w:eastAsia="仿宋_GB2312"/>
                <w:sz w:val="24"/>
              </w:rPr>
              <w:t xml:space="preserve">6. </w:t>
            </w:r>
            <w:r>
              <w:rPr>
                <w:rFonts w:ascii="仿宋_GB2312" w:hAnsi="仿宋_GB2312" w:cs="仿宋_GB2312" w:eastAsia="仿宋_GB2312"/>
                <w:sz w:val="24"/>
              </w:rPr>
              <w:t>混凝土机械集中搅拌，禁止现场人工拌制；摊铺均匀、振捣密实，无蜂窝、麻面、空洞、露骨。</w:t>
            </w:r>
          </w:p>
          <w:p>
            <w:pPr>
              <w:pStyle w:val="null3"/>
              <w:jc w:val="left"/>
            </w:pPr>
            <w:r>
              <w:rPr>
                <w:rFonts w:ascii="仿宋_GB2312" w:hAnsi="仿宋_GB2312" w:cs="仿宋_GB2312" w:eastAsia="仿宋_GB2312"/>
                <w:sz w:val="24"/>
              </w:rPr>
              <w:t xml:space="preserve">7. </w:t>
            </w:r>
            <w:r>
              <w:rPr>
                <w:rFonts w:ascii="仿宋_GB2312" w:hAnsi="仿宋_GB2312" w:cs="仿宋_GB2312" w:eastAsia="仿宋_GB2312"/>
                <w:sz w:val="24"/>
              </w:rPr>
              <w:t>路面横坡设置</w:t>
            </w:r>
            <w:r>
              <w:rPr>
                <w:rFonts w:ascii="仿宋_GB2312" w:hAnsi="仿宋_GB2312" w:cs="仿宋_GB2312" w:eastAsia="仿宋_GB2312"/>
                <w:sz w:val="24"/>
              </w:rPr>
              <w:t>1.5%～2.0%，确保排水顺畅、无积水。</w:t>
            </w:r>
          </w:p>
          <w:p>
            <w:pPr>
              <w:pStyle w:val="null3"/>
              <w:jc w:val="left"/>
            </w:pPr>
            <w:r>
              <w:rPr>
                <w:rFonts w:ascii="仿宋_GB2312" w:hAnsi="仿宋_GB2312" w:cs="仿宋_GB2312" w:eastAsia="仿宋_GB2312"/>
                <w:sz w:val="24"/>
              </w:rPr>
              <w:t xml:space="preserve">8. </w:t>
            </w:r>
            <w:r>
              <w:rPr>
                <w:rFonts w:ascii="仿宋_GB2312" w:hAnsi="仿宋_GB2312" w:cs="仿宋_GB2312" w:eastAsia="仿宋_GB2312"/>
                <w:sz w:val="24"/>
              </w:rPr>
              <w:t>路面每</w:t>
            </w:r>
            <w:r>
              <w:rPr>
                <w:rFonts w:ascii="仿宋_GB2312" w:hAnsi="仿宋_GB2312" w:cs="仿宋_GB2312" w:eastAsia="仿宋_GB2312"/>
                <w:sz w:val="24"/>
              </w:rPr>
              <w:t>4m设置一道横向伸缩缝，切缝深度不小于板厚1/3，缝内填充密封胶。</w:t>
            </w:r>
          </w:p>
          <w:p>
            <w:pPr>
              <w:pStyle w:val="null3"/>
              <w:jc w:val="left"/>
            </w:pPr>
            <w:r>
              <w:rPr>
                <w:rFonts w:ascii="仿宋_GB2312" w:hAnsi="仿宋_GB2312" w:cs="仿宋_GB2312" w:eastAsia="仿宋_GB2312"/>
                <w:sz w:val="24"/>
              </w:rPr>
              <w:t xml:space="preserve">9. </w:t>
            </w:r>
            <w:r>
              <w:rPr>
                <w:rFonts w:ascii="仿宋_GB2312" w:hAnsi="仿宋_GB2312" w:cs="仿宋_GB2312" w:eastAsia="仿宋_GB2312"/>
                <w:sz w:val="24"/>
              </w:rPr>
              <w:t>路面表面采用拉毛或压纹防滑处理，保证农机、车辆防滑。</w:t>
            </w:r>
          </w:p>
          <w:p>
            <w:pPr>
              <w:pStyle w:val="null3"/>
              <w:jc w:val="left"/>
            </w:pPr>
            <w:r>
              <w:rPr>
                <w:rFonts w:ascii="仿宋_GB2312" w:hAnsi="仿宋_GB2312" w:cs="仿宋_GB2312" w:eastAsia="仿宋_GB2312"/>
                <w:sz w:val="24"/>
              </w:rPr>
              <w:t xml:space="preserve">10. </w:t>
            </w:r>
            <w:r>
              <w:rPr>
                <w:rFonts w:ascii="仿宋_GB2312" w:hAnsi="仿宋_GB2312" w:cs="仿宋_GB2312" w:eastAsia="仿宋_GB2312"/>
                <w:sz w:val="24"/>
              </w:rPr>
              <w:t>浇筑完成后全覆盖土工布保湿养护，养护期不少于</w:t>
            </w:r>
            <w:r>
              <w:rPr>
                <w:rFonts w:ascii="仿宋_GB2312" w:hAnsi="仿宋_GB2312" w:cs="仿宋_GB2312" w:eastAsia="仿宋_GB2312"/>
                <w:sz w:val="24"/>
              </w:rPr>
              <w:t>7天，养护期间严禁通车。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采购人指定的地点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采购人指定的地点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1、本项目实行茶苗进场验收、定植中间验收、项目完工竣工验收、管护期满最终移交验收四级验收。项目竣工验收合格之日起，计算 24 个月黄茶苗木管护抚育期，同步启动配套工程保修期。 2、茶苗进场验收：进场苗木为合同约定无性系黄茶良种，规格达标、品种纯正、无检疫性病虫害，提供植物检疫证书，不合格苗木禁止定植。 3、定植中间验收：园地整地、土壤改良、株行距布局、栽植工艺、排水系统满足技术方案要求。 4、管护期满最终移交验收：抚育期满开展现场核查，黄茶茶苗成活率不低于 95%；枯死缺窝苗木由中标人无偿补植并成活；幼树定型修剪、日常抚育管护落实到位，管护台账齐全，验收合格完成移交。 5、验收采取实地核查、GPS 面积测量、样方抽查、分区清点相结合方式；验收不合格，中标人须按期完成整改复验，复验合格方可通过验收。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1、验收标准 路基、混凝土路面、管网铺设、围挡基础及安装符合实施方案；排水通畅、结构稳固。 2、验收方法 现场实测实量、外观检查；核查隐蔽工程施工资料，按工程常规标准验收；同步纳入保修期管理。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预付款，合同生效，乙方提交合规发票，达到付款条件起7个工作日内，支付合同总金额的30.0%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进度款，黄茶种植全部完工，通过初步验收，乙方提交竣工资料，审核完成后支付，达到付款条件起15个工作日内，支付合同总金额的60.0%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自初步竣工验收合格之日起满24个月管护抚育期，完成管护期满最终移交验收，黄茶成活率≥95%，乙方完成全部补植、整改工作后，甲方一次性无息付清剩余全部款项，达到付款条件起15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预付款，合同生效，乙方提交合规发票，达到付款条件起7个工作日内，支付合同总金额的30.0%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进度款，项目全部完工，通过初步竣工验收，乙方提交竣工资料，审核完成后支付，达到付款条件起15个工作日内，支付合同总金额的60.0%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其他，自初步竣工验收合格之日起满24个月质保期满，乙方完成全部整改工作后，甲方一次性无息付清剩余全部款项，达到付款条件起15个工作日内，支付合同总金额的10.0%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以采购文件及最终签订合同为准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信誉要求：“信用中国”网站（www.creditchina.gov.cn）和“中国政府采购网”（ccgp.gov.cn）为供应商信用信息查询渠道，如果供应商被查实在投标截止时间前已列入失信被执行人、重大税收违法失信主体名单、政府采购严重违法失信行为记录名单，其投标为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法定代表人参加磋商活动的，须提供法定代表人身份证明书；法定代表人授权代表参加磋商活动的，须提供法定代表人授权委托书。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项目核心承诺书</w:t>
            </w:r>
          </w:p>
        </w:tc>
        <w:tc>
          <w:tcPr>
            <w:tcW w:type="dxa" w:w="3322"/>
          </w:tcPr>
          <w:p>
            <w:pPr>
              <w:pStyle w:val="null3"/>
            </w:pPr>
            <w:r>
              <w:rPr>
                <w:rFonts w:ascii="仿宋_GB2312" w:hAnsi="仿宋_GB2312" w:cs="仿宋_GB2312" w:eastAsia="仿宋_GB2312"/>
              </w:rPr>
              <w:t>苗木进场验收时，成交供应商须提供该批次黄茶苗木有效的《植物检疫证书》（可由苗木繁育基地出具），同步提供苗木来源证明（购销合同、育苗单位种子生产经营许可证、苗木标签、苗木质量检验合格证），做到货证相符；所有证件原件备查。投标文件中提供《履约承诺函》，承诺苗木进场时完整提交上述资料。</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信誉要求：“信用中国”网站（www.creditchina.gov.cn）和“中国政府采购网”（ccgp.gov.cn）为供应商信用信息查询渠道，如果供应商被查实在投标截止时间前已列入失信被执行人、重大税收违法失信主体名单、政府采购严重违法失信行为记录名单，其投标为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供应商资质能力</w:t>
            </w:r>
          </w:p>
        </w:tc>
        <w:tc>
          <w:tcPr>
            <w:tcW w:type="dxa" w:w="3322"/>
          </w:tcPr>
          <w:p>
            <w:pPr>
              <w:pStyle w:val="null3"/>
            </w:pPr>
            <w:r>
              <w:rPr>
                <w:rFonts w:ascii="仿宋_GB2312" w:hAnsi="仿宋_GB2312" w:cs="仿宋_GB2312" w:eastAsia="仿宋_GB2312"/>
              </w:rPr>
              <w:t>投标供应商必须具备建设行政主管部门核发的公路工程施工总承包三级以上（含三级）资质或市政公用工程施工总承包三级以上（含三级）资质；取得建设行政主管部门颁发的安全生产许可证，并在人员、设备、资金等方面具有相应的施工能力；项目经理须具有公路工程（或市政公用工程）二级以上（含二级）注册建造师执业资格证书，并具有B类安全考核合格证书，无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法定代表人参加磋商活动的，须提供法定代表人身份证明书；法定代表人授权代表参加磋商活动的，须提供法定代表人授权委托书。</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应符合磋商文件的要求且无遗漏。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须完全响应磋商文件的服务内容及服务要求，且无负偏离。</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应符合磋商文件的要求且无遗漏。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须完全响应磋商文件的服务内容及服务要求，且无负偏离。</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黄茶种植提出适用的实施方案：包括但不限于：1、项目整体施工实施方案（包含场地清理、土壤改良、整地起垄、工期进度计划、现场管理制度等）；2、黄茶专属种植技术方案（重点评审供应商针对黄茶品种特性制定的专项技术：茶苗筛选、定植密度、深浅定植技术、苗期缓苗养护、定型修剪、测土配方施肥、水肥管控、杂草管控、越冬防寒、苗期保活技术等）3、茶园绿色防控管护方案（评审病虫害监测预警、物理防控、生物防控、绿色农药规范使用、四季常态化管护、长势监测、田间台账管理、茶园养护档案制度等）4、质量管控保障方案（评审项目质量自检体系、成活率保障措施、问题整改机制、驻场服务制度、质保期运维、补种机制、应急处置预案等）以上各项内容全⾯明确、阐述条理清晰得 40分，每缺⼀项扣10分，每项中的内容存在缺陷，扣1分，扣完为⽌。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企业能力及服务承诺</w:t>
            </w:r>
          </w:p>
        </w:tc>
        <w:tc>
          <w:tcPr>
            <w:tcW w:type="dxa" w:w="2492"/>
          </w:tcPr>
          <w:p>
            <w:pPr>
              <w:pStyle w:val="null3"/>
            </w:pPr>
            <w:r>
              <w:rPr>
                <w:rFonts w:ascii="仿宋_GB2312" w:hAnsi="仿宋_GB2312" w:cs="仿宋_GB2312" w:eastAsia="仿宋_GB2312"/>
              </w:rPr>
              <w:t>1、具备有效陕西省林业有害生物防治作业丙级及以上资质证明，得 4分，未提供不得分；2、具备有效的《林草种子经营许可证》得 4分；3、提供茶苗保质、成活率保障、免费补植、应急管护、质保期服务承诺，得 4 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根据供应商近 3 年内已完成的茶园建设、黄茶种植、茶园提质改造、茶苗栽植管护、其他经济作物种植等同类项目业绩计分：（1）每提供 1 项黄茶专项种植 / 管护完工项目业绩得 2分，最高 6 分；（2）普通经济作物种植管护完工项目业绩得 1 分，最高 3 分；（3）业绩认定标准：须提供合同复印件，未完工项目不予计分，本项最高6分。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项目专业技术团队配置</w:t>
            </w:r>
          </w:p>
        </w:tc>
        <w:tc>
          <w:tcPr>
            <w:tcW w:type="dxa" w:w="2492"/>
          </w:tcPr>
          <w:p>
            <w:pPr>
              <w:pStyle w:val="null3"/>
            </w:pPr>
            <w:r>
              <w:rPr>
                <w:rFonts w:ascii="仿宋_GB2312" w:hAnsi="仿宋_GB2312" w:cs="仿宋_GB2312" w:eastAsia="仿宋_GB2312"/>
              </w:rPr>
              <w:t>供应商所配备的人员须为在职人员，应提供身份证、劳动合同。（1）项目负责人（5分）：具备高级农艺师职称得 2 分；具备中级农艺师职称得 1 分，其他职称不得分；具备茶园 / 经济作物种植项目管理经验，以同类项目业绩为准得 2 分。（2）专职黄茶技术主管（5分）：茶学、农学、园艺相关专业，具备高级农艺师职称得 2 分；具备中级农艺师职称得 1 分，其他职称不得分；具备茶苗 / 经济作物种植管护经验，以同类项目业绩为准得 2 分。（3）专项配套技术员（2分）：单独配备植保、土肥专职技术人员任意一名得2分。以上所要求的人员必须有对应的技术资格证书，无证书不得分。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2、以满足本次磋商文件要求的最低报价为评标基准价，其价格为满分；3、供应商报价得分= (评标基准价/投标报价) × 30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提出适用于本项目的实施方案。包括但不限于：1、施工方案；2、本项⽬实施重难点分析及解决措施；3、确保⼯程质量的技术组织措施；4、确保⼯期的技术组织措施；5、确保安全⽣产组织措施；6、确保⽂明施⼯的技术组织措施；7、环境保护技术组织措施；8、验收交付⽅案；以上各项内容全面明确、阐述条理清晰得40分，每缺一项扣5分，每项中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供应商针对本项目提出相应的服务承诺。包括但不限于：1、工期进度保障承诺。2、工程质量承诺。3、安全生产及文明施工承诺。4、售后服务与质保承诺。以上承诺条款得6分，每缺一项扣1.5分，扣完为止。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拟派项目组成人员</w:t>
            </w:r>
          </w:p>
        </w:tc>
        <w:tc>
          <w:tcPr>
            <w:tcW w:type="dxa" w:w="2492"/>
          </w:tcPr>
          <w:p>
            <w:pPr>
              <w:pStyle w:val="null3"/>
            </w:pPr>
            <w:r>
              <w:rPr>
                <w:rFonts w:ascii="仿宋_GB2312" w:hAnsi="仿宋_GB2312" w:cs="仿宋_GB2312" w:eastAsia="仿宋_GB2312"/>
              </w:rPr>
              <w:t>拟派项目经理为高级职称得2.0分，中级职称得1.0分，其他不得分。 拟派技术负责人为高级职称得2.0分，中级职称得1.0分，其他不得分。 供应商每提供项目团队技术人员相关证明复印件1人，得1.0分，此项最高得5.0分； 注：须提供项目经理、技术负责人、项目团队人员身份证、毕业证、职称证书、岗位证书等复印件，其中项目经理、技术负责人和安全员还应提供安全生产考核合格证书，未提供相关证明材料，此项不得分。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供应商提供2022年1月1日至今完成的道路建设项目业绩，每提供一个得2.5分，该项最高5.0分，没有不得分（响应文件中应附中标通知书或施工合同或交工验收证书）；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2、以满足本次磋商文件要求的最低报价为评标基准价，其价格为满分；3、供应商报价得分= (评标基准价/投标报价) × 40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详见附件：合同样本.docx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