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版本号：TYRZHC-2026-00620260630001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韩城市人民法院象山人民法庭业务用房标准化智慧化建设项目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TYRZHC-2026-006</w:t>
      </w:r>
      <w:r>
        <w:br/>
      </w:r>
      <w:r>
        <w:br/>
      </w:r>
      <w:r>
        <w:br/>
      </w:r>
    </w:p>
    <w:p>
      <w:pPr>
        <w:pStyle w:val="null3"/>
        <w:jc w:val="center"/>
        <w:outlineLvl w:val="2"/>
      </w:pPr>
      <w:r>
        <w:rPr>
          <w:rFonts w:ascii="仿宋_GB2312" w:hAnsi="仿宋_GB2312" w:cs="仿宋_GB2312" w:eastAsia="仿宋_GB2312"/>
          <w:sz w:val="28"/>
          <w:b/>
        </w:rPr>
        <w:t>韩城市人民法院（本级）</w:t>
      </w:r>
    </w:p>
    <w:p>
      <w:pPr>
        <w:pStyle w:val="null3"/>
        <w:jc w:val="center"/>
        <w:outlineLvl w:val="2"/>
      </w:pPr>
      <w:r>
        <w:rPr>
          <w:rFonts w:ascii="仿宋_GB2312" w:hAnsi="仿宋_GB2312" w:cs="仿宋_GB2312" w:eastAsia="仿宋_GB2312"/>
          <w:sz w:val="28"/>
          <w:b/>
        </w:rPr>
        <w:t>天煜荣泽工程咨询有限公司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天煜荣泽工程咨询有限公司</w:t>
      </w:r>
      <w:r>
        <w:rPr>
          <w:rFonts w:ascii="仿宋_GB2312" w:hAnsi="仿宋_GB2312" w:cs="仿宋_GB2312" w:eastAsia="仿宋_GB2312"/>
        </w:rPr>
        <w:t>（以下简称“代理机构”）受</w:t>
      </w:r>
      <w:r>
        <w:rPr>
          <w:rFonts w:ascii="仿宋_GB2312" w:hAnsi="仿宋_GB2312" w:cs="仿宋_GB2312" w:eastAsia="仿宋_GB2312"/>
        </w:rPr>
        <w:t>韩城市人民法院（本级）</w:t>
      </w:r>
      <w:r>
        <w:rPr>
          <w:rFonts w:ascii="仿宋_GB2312" w:hAnsi="仿宋_GB2312" w:cs="仿宋_GB2312" w:eastAsia="仿宋_GB2312"/>
        </w:rPr>
        <w:t>委托，拟对</w:t>
      </w:r>
      <w:r>
        <w:rPr>
          <w:rFonts w:ascii="仿宋_GB2312" w:hAnsi="仿宋_GB2312" w:cs="仿宋_GB2312" w:eastAsia="仿宋_GB2312"/>
        </w:rPr>
        <w:t>韩城市人民法院象山人民法庭业务用房标准化智慧化建设项目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TYRZHC-2026-006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韩城市人民法院象山人民法庭业务用房标准化智慧化建设项目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改造建设服务内容1-4楼办公区。拆除原有部分项目、走廊生活区;1-4楼卫生间拆除改造、墙地面铺贴瓷砖377平方、卫浴21套、木隔墙14套;1-4楼墙面铲除原有油漆墙面及所有墙面、所有墙面乳胶漆6795平方、强弱电改造1386平方;1-4楼卫生间上下水77.8平方、套装门拆除48套旧门，新装48套;水磨石地面1386平方，室内防水235平方;审判庭、开庭室精装修共计4个、楼梯栏杆45米。一楼上楼磁卡门1套、真石漆1560平方;断桥窗347平方、窗帘、门头钢构改造国徽造型;院内部分绿化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采购包1（韩城市人民法院象山人民法庭业务用房标准化智慧化建设项目）：属于专门面向中小企业采购。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度或2025年度完整的经审计的财务报告（包含“四表一注”），成立时间至提交响应文件截止时间不足一年的可提供成立后任意时段的资产负债表，或其投标前三个月内基本存款账户开户银行出具的资信证明及基本存款账户开户许可证，或开户银行打印的含有企业基本存款账户编号的《基本存款账户信息》</w:t>
      </w:r>
    </w:p>
    <w:p>
      <w:pPr>
        <w:pStyle w:val="null3"/>
      </w:pPr>
      <w:r>
        <w:rPr>
          <w:rFonts w:ascii="仿宋_GB2312" w:hAnsi="仿宋_GB2312" w:cs="仿宋_GB2312" w:eastAsia="仿宋_GB2312"/>
        </w:rPr>
        <w:t>3、税收缴纳证明：提供投标截止前半年内至少一个月的纳税凭证或完税证明（任意税种），完税证明上应有代收机构或税务机关的公章；依法免税的供应商应提供相关文件证明</w:t>
      </w:r>
    </w:p>
    <w:p>
      <w:pPr>
        <w:pStyle w:val="null3"/>
      </w:pPr>
      <w:r>
        <w:rPr>
          <w:rFonts w:ascii="仿宋_GB2312" w:hAnsi="仿宋_GB2312" w:cs="仿宋_GB2312" w:eastAsia="仿宋_GB2312"/>
        </w:rPr>
        <w:t>4、社会保障资金缴纳证明：提供投标截止前半年内至少一个月的社会保障资金缴存单据或社保机构开具的社会保险参保缴费情况证明；依法不需要缴纳社会保障资金的供应商应提供相关文件证明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5、具有履行合同所必需的设备和专业技术能力：具有履行合同所必需的设备和专业技术能力，(由供应商根据项目需求提供说明材料或者承诺)</w:t>
      </w:r>
    </w:p>
    <w:p>
      <w:pPr>
        <w:pStyle w:val="null3"/>
      </w:pPr>
      <w:r>
        <w:rPr>
          <w:rFonts w:ascii="仿宋_GB2312" w:hAnsi="仿宋_GB2312" w:cs="仿宋_GB2312" w:eastAsia="仿宋_GB2312"/>
        </w:rPr>
        <w:t>6、参加政府采购活动前三年内，在经营活动中没有重大违法记录：参加政府采购活动前3年内在经营活动中没有重大违法记录的书面声明</w:t>
      </w:r>
    </w:p>
    <w:p>
      <w:pPr>
        <w:pStyle w:val="null3"/>
      </w:pPr>
      <w:r>
        <w:rPr>
          <w:rFonts w:ascii="仿宋_GB2312" w:hAnsi="仿宋_GB2312" w:cs="仿宋_GB2312" w:eastAsia="仿宋_GB2312"/>
        </w:rPr>
        <w:t>7、资质条件：供应商须具备相关行政主管部门颁发的建筑工程施工总承包三级及以上资质，并具备合格有效的安全生产许可证</w:t>
      </w:r>
    </w:p>
    <w:p>
      <w:pPr>
        <w:pStyle w:val="null3"/>
      </w:pPr>
      <w:r>
        <w:rPr>
          <w:rFonts w:ascii="仿宋_GB2312" w:hAnsi="仿宋_GB2312" w:cs="仿宋_GB2312" w:eastAsia="仿宋_GB2312"/>
        </w:rPr>
        <w:t>8、拟派项目经理：拟派项目经理须具备建筑工程专业二级及以上注册建造师执业资格，并具有合法有效的安全生产考核合格证，且未担任其他在建工程项目经理，提供本单位的社保缴纳证明</w:t>
      </w:r>
    </w:p>
    <w:p>
      <w:pPr>
        <w:pStyle w:val="null3"/>
      </w:pPr>
      <w:r>
        <w:rPr>
          <w:rFonts w:ascii="仿宋_GB2312" w:hAnsi="仿宋_GB2312" w:cs="仿宋_GB2312" w:eastAsia="仿宋_GB2312"/>
        </w:rPr>
        <w:t>9、供应商授权合法的人员参加磋商全过程：法定代表人直接参加投标的，须出具法定代表人身份证明；授权代表参加投标的，须出具法定代表人授权书并附法定代表人和被授权人身份证及被授权人社保缴纳证明</w:t>
      </w:r>
    </w:p>
    <w:p>
      <w:pPr>
        <w:pStyle w:val="null3"/>
      </w:pPr>
      <w:r>
        <w:rPr>
          <w:rFonts w:ascii="仿宋_GB2312" w:hAnsi="仿宋_GB2312" w:cs="仿宋_GB2312" w:eastAsia="仿宋_GB2312"/>
        </w:rPr>
        <w:t>10、信誉要求：近三年内没有骗取中标或者严重违约、发生重大工程质量、安全生产事故等问题</w:t>
      </w:r>
    </w:p>
    <w:p>
      <w:pPr>
        <w:pStyle w:val="null3"/>
      </w:pPr>
      <w:r>
        <w:rPr>
          <w:rFonts w:ascii="仿宋_GB2312" w:hAnsi="仿宋_GB2312" w:cs="仿宋_GB2312" w:eastAsia="仿宋_GB2312"/>
        </w:rPr>
        <w:t>11、信用记录：供应商信用查询：供应商及拟派项目经理应在“陕西省建筑市场监管与诚信信息发布平台”可查询（提供相关网页截图）；供应商不得在“信用中国”网站（中国执行信息公开网）被列为失信被执行人和重大税收违法失信主体和政府采购严重违法失信行为记录名单，不得在“中国政府采购网”被列入政府采购严重违法失信行为记录名单。</w:t>
      </w:r>
    </w:p>
    <w:p>
      <w:pPr>
        <w:pStyle w:val="null3"/>
      </w:pPr>
      <w:r>
        <w:rPr>
          <w:rFonts w:ascii="仿宋_GB2312" w:hAnsi="仿宋_GB2312" w:cs="仿宋_GB2312" w:eastAsia="仿宋_GB2312"/>
        </w:rPr>
        <w:t>12、专门面向中小企业：本项目专门面向中小企业采购，仅限符合《政府采购促进中小企业发展管理办法》的通知(财库〔2020〕46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13、控股管理关系：单位负责人为同一人或者存在直接控股、管理关系的供应商，不得参加同一合同下的政府采购活动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14、非联合体磋商：本项目不接受联合体磋商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韩城市人民法院（本级）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韩城市乔南东路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董耀军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13992348588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天煜荣泽工程咨询有限公司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陕西省西安市雁塔区太白南路天地源悦熙广场1幢1单元1606室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户工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15129257819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采购包1：1,921,132.48元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代理服务费收费标准：参照国家发展改革委关于进一步放开建设项目专业服务价格的通知，发改价格【2015】299号文件。成交供应商的招标代理服务费缴纳信息 户名名称：天煜荣泽工程咨询有限公司西安经开分公司 开户银行：中国农业发展银行韩城市支行 帐 号：2036 1058 1001 0000 0285 661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韩城市人民法院（本级）</w:t>
      </w:r>
      <w:r>
        <w:rPr>
          <w:rFonts w:ascii="仿宋_GB2312" w:hAnsi="仿宋_GB2312" w:cs="仿宋_GB2312" w:eastAsia="仿宋_GB2312"/>
        </w:rPr>
        <w:t>和</w:t>
      </w:r>
      <w:r>
        <w:rPr>
          <w:rFonts w:ascii="仿宋_GB2312" w:hAnsi="仿宋_GB2312" w:cs="仿宋_GB2312" w:eastAsia="仿宋_GB2312"/>
        </w:rPr>
        <w:t>天煜荣泽工程咨询有限公司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韩城市人民法院（本级）</w:t>
      </w:r>
      <w:r>
        <w:rPr>
          <w:rFonts w:ascii="仿宋_GB2312" w:hAnsi="仿宋_GB2312" w:cs="仿宋_GB2312" w:eastAsia="仿宋_GB2312"/>
        </w:rPr>
        <w:t>负责解释。除上述磋商文件内容，其他内容由</w:t>
      </w:r>
      <w:r>
        <w:rPr>
          <w:rFonts w:ascii="仿宋_GB2312" w:hAnsi="仿宋_GB2312" w:cs="仿宋_GB2312" w:eastAsia="仿宋_GB2312"/>
        </w:rPr>
        <w:t>天煜荣泽工程咨询有限公司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韩城市人民法院（本级）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天煜荣泽工程咨询有限公司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联系人：户工</w:t>
      </w:r>
    </w:p>
    <w:p>
      <w:pPr>
        <w:pStyle w:val="null3"/>
      </w:pPr>
      <w:r>
        <w:rPr>
          <w:rFonts w:ascii="仿宋_GB2312" w:hAnsi="仿宋_GB2312" w:cs="仿宋_GB2312" w:eastAsia="仿宋_GB2312"/>
        </w:rPr>
        <w:t>联系电话：15129257819</w:t>
      </w:r>
    </w:p>
    <w:p>
      <w:pPr>
        <w:pStyle w:val="null3"/>
      </w:pPr>
      <w:r>
        <w:rPr>
          <w:rFonts w:ascii="仿宋_GB2312" w:hAnsi="仿宋_GB2312" w:cs="仿宋_GB2312" w:eastAsia="仿宋_GB2312"/>
        </w:rPr>
        <w:t>地址：陕西省西安市雁塔区太白南路天地源悦熙广场1幢1单元1606室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1,921,132.48</w:t>
      </w:r>
    </w:p>
    <w:p>
      <w:pPr>
        <w:pStyle w:val="null3"/>
      </w:pPr>
      <w:r>
        <w:rPr>
          <w:rFonts w:ascii="仿宋_GB2312" w:hAnsi="仿宋_GB2312" w:cs="仿宋_GB2312" w:eastAsia="仿宋_GB2312"/>
        </w:rPr>
        <w:t>采购包最高限价（元）: 1,921,132.48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韩城市人民法院象山人民法庭业务用房标准化智慧化建设项目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1,921,132.48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标的名称：韩城市人民法院象山人民法庭业务用房标准化智慧化建设项目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一、工程概况：</w:t>
            </w:r>
          </w:p>
          <w:p>
            <w:pPr>
              <w:pStyle w:val="null3"/>
            </w:pPr>
            <w:r>
              <w:rPr>
                <w:rFonts w:ascii="仿宋_GB2312" w:hAnsi="仿宋_GB2312" w:cs="仿宋_GB2312" w:eastAsia="仿宋_GB2312"/>
                <w:sz w:val="18"/>
              </w:rPr>
              <w:t>1．工程名称：韩城市人民法院象山人民法庭业务用房标准化智慧化建设项目</w:t>
            </w:r>
          </w:p>
          <w:p>
            <w:pPr>
              <w:pStyle w:val="null3"/>
            </w:pPr>
            <w:r>
              <w:rPr>
                <w:rFonts w:ascii="仿宋_GB2312" w:hAnsi="仿宋_GB2312" w:cs="仿宋_GB2312" w:eastAsia="仿宋_GB2312"/>
                <w:sz w:val="18"/>
              </w:rPr>
              <w:t>建设单位：韩城市人民法院</w:t>
            </w:r>
          </w:p>
          <w:p>
            <w:pPr>
              <w:pStyle w:val="null3"/>
            </w:pPr>
            <w:r>
              <w:rPr>
                <w:rFonts w:ascii="仿宋_GB2312" w:hAnsi="仿宋_GB2312" w:cs="仿宋_GB2312" w:eastAsia="仿宋_GB2312"/>
                <w:sz w:val="18"/>
              </w:rPr>
              <w:t>建设地点：韩城市新城区太史大街173号</w:t>
            </w:r>
          </w:p>
          <w:p>
            <w:pPr>
              <w:pStyle w:val="null3"/>
            </w:pPr>
            <w:r>
              <w:rPr>
                <w:rFonts w:ascii="仿宋_GB2312" w:hAnsi="仿宋_GB2312" w:cs="仿宋_GB2312" w:eastAsia="仿宋_GB2312"/>
                <w:sz w:val="18"/>
              </w:rPr>
              <w:t>资金来源：本级财政资金</w:t>
            </w:r>
          </w:p>
          <w:p>
            <w:pPr>
              <w:pStyle w:val="null3"/>
            </w:pPr>
            <w:r>
              <w:rPr>
                <w:rFonts w:ascii="仿宋_GB2312" w:hAnsi="仿宋_GB2312" w:cs="仿宋_GB2312" w:eastAsia="仿宋_GB2312"/>
                <w:sz w:val="18"/>
              </w:rPr>
              <w:t>4．主要工程建设内容：改造建设服务内容1-4楼办公区。拆除原有部分项目、走廊生活区;1-4楼卫生间拆除改造、墙地面铺贴瓷砖377平方、卫浴21套、木隔墙14套;1-4楼墙面铲除原有油漆墙面及所有墙面、所有墙面乳胶漆6795平方、强弱电改造1386平方;1-4楼卫生间上下水77.8平方、套装门拆除48套旧门，新装48套;水磨石地面1386平方，室内防水235平方;审判庭、开庭室精装修共计4个、楼梯栏杆45米。一楼上楼磁卡门1套、真石漆1560平方;断桥窗347平方、窗帘、门头钢构改造国徽造型;院内部分绿化等。（具体内容详见附件工程量清单）。</w:t>
            </w:r>
          </w:p>
          <w:p>
            <w:pPr>
              <w:pStyle w:val="null3"/>
            </w:pPr>
            <w:r>
              <w:rPr>
                <w:rFonts w:ascii="仿宋_GB2312" w:hAnsi="仿宋_GB2312" w:cs="仿宋_GB2312" w:eastAsia="仿宋_GB2312"/>
                <w:sz w:val="18"/>
              </w:rPr>
              <w:t>二、商务要求</w:t>
            </w:r>
          </w:p>
          <w:p>
            <w:pPr>
              <w:pStyle w:val="null3"/>
            </w:pPr>
            <w:r>
              <w:rPr>
                <w:rFonts w:ascii="仿宋_GB2312" w:hAnsi="仿宋_GB2312" w:cs="仿宋_GB2312" w:eastAsia="仿宋_GB2312"/>
                <w:sz w:val="18"/>
              </w:rPr>
              <w:t>1、工期：60日历天</w:t>
            </w:r>
          </w:p>
          <w:p>
            <w:pPr>
              <w:pStyle w:val="null3"/>
            </w:pPr>
            <w:r>
              <w:rPr>
                <w:rFonts w:ascii="仿宋_GB2312" w:hAnsi="仿宋_GB2312" w:cs="仿宋_GB2312" w:eastAsia="仿宋_GB2312"/>
                <w:sz w:val="18"/>
              </w:rPr>
              <w:t>2、缺陷责任期：工程竣工验收合格之日起1年</w:t>
            </w:r>
          </w:p>
          <w:p>
            <w:pPr>
              <w:pStyle w:val="null3"/>
            </w:pPr>
            <w:r>
              <w:rPr>
                <w:rFonts w:ascii="仿宋_GB2312" w:hAnsi="仿宋_GB2312" w:cs="仿宋_GB2312" w:eastAsia="仿宋_GB2312"/>
                <w:sz w:val="18"/>
              </w:rPr>
              <w:t>3、付款方式：</w:t>
            </w:r>
          </w:p>
          <w:p>
            <w:pPr>
              <w:pStyle w:val="null3"/>
              <w:spacing w:before="120"/>
              <w:jc w:val="left"/>
            </w:pPr>
            <w:r>
              <w:rPr>
                <w:rFonts w:ascii="仿宋_GB2312" w:hAnsi="仿宋_GB2312" w:cs="仿宋_GB2312" w:eastAsia="仿宋_GB2312"/>
                <w:sz w:val="18"/>
                <w:color w:val="000000"/>
              </w:rPr>
              <w:t>预付款，</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付款条件说明，</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合同签订后，</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达到付款条件起</w:t>
            </w:r>
            <w:r>
              <w:rPr>
                <w:rFonts w:ascii="仿宋_GB2312" w:hAnsi="仿宋_GB2312" w:cs="仿宋_GB2312" w:eastAsia="仿宋_GB2312"/>
                <w:sz w:val="18"/>
                <w:color w:val="000000"/>
              </w:rPr>
              <w:t>10</w:t>
            </w:r>
            <w:r>
              <w:rPr>
                <w:rFonts w:ascii="仿宋_GB2312" w:hAnsi="仿宋_GB2312" w:cs="仿宋_GB2312" w:eastAsia="仿宋_GB2312"/>
                <w:sz w:val="18"/>
                <w:color w:val="000000"/>
              </w:rPr>
              <w:t>个工作日内，</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支付合</w:t>
            </w:r>
            <w:r>
              <w:rPr>
                <w:rFonts w:ascii="仿宋_GB2312" w:hAnsi="仿宋_GB2312" w:cs="仿宋_GB2312" w:eastAsia="仿宋_GB2312"/>
                <w:sz w:val="18"/>
                <w:color w:val="000000"/>
              </w:rPr>
              <w:t>同总金额的</w:t>
            </w:r>
            <w:r>
              <w:rPr>
                <w:rFonts w:ascii="仿宋_GB2312" w:hAnsi="仿宋_GB2312" w:cs="仿宋_GB2312" w:eastAsia="仿宋_GB2312"/>
                <w:sz w:val="18"/>
                <w:color w:val="000000"/>
              </w:rPr>
              <w:t>30.0%</w:t>
            </w:r>
          </w:p>
          <w:p>
            <w:pPr>
              <w:pStyle w:val="null3"/>
              <w:spacing w:before="120"/>
              <w:ind w:right="135"/>
              <w:jc w:val="left"/>
            </w:pPr>
            <w:r>
              <w:rPr>
                <w:rFonts w:ascii="仿宋_GB2312" w:hAnsi="仿宋_GB2312" w:cs="仿宋_GB2312" w:eastAsia="仿宋_GB2312"/>
                <w:sz w:val="18"/>
                <w:color w:val="000000"/>
              </w:rPr>
              <w:t>进度款，</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付款条件说明，</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乳胶漆完成，</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断桥窗安</w:t>
            </w:r>
            <w:r>
              <w:rPr>
                <w:rFonts w:ascii="仿宋_GB2312" w:hAnsi="仿宋_GB2312" w:cs="仿宋_GB2312" w:eastAsia="仿宋_GB2312"/>
                <w:sz w:val="18"/>
                <w:color w:val="000000"/>
              </w:rPr>
              <w:t>装到位后，</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达到付款条件起</w:t>
            </w:r>
            <w:r>
              <w:rPr>
                <w:rFonts w:ascii="仿宋_GB2312" w:hAnsi="仿宋_GB2312" w:cs="仿宋_GB2312" w:eastAsia="仿宋_GB2312"/>
                <w:sz w:val="18"/>
                <w:color w:val="000000"/>
              </w:rPr>
              <w:t>10</w:t>
            </w:r>
            <w:r>
              <w:rPr>
                <w:rFonts w:ascii="仿宋_GB2312" w:hAnsi="仿宋_GB2312" w:cs="仿宋_GB2312" w:eastAsia="仿宋_GB2312"/>
                <w:sz w:val="18"/>
                <w:color w:val="000000"/>
              </w:rPr>
              <w:t>个工作日内，</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支付合同总金额</w:t>
            </w:r>
            <w:r>
              <w:rPr>
                <w:rFonts w:ascii="仿宋_GB2312" w:hAnsi="仿宋_GB2312" w:cs="仿宋_GB2312" w:eastAsia="仿宋_GB2312"/>
                <w:sz w:val="18"/>
                <w:color w:val="000000"/>
              </w:rPr>
              <w:t>的</w:t>
            </w:r>
            <w:r>
              <w:rPr>
                <w:rFonts w:ascii="仿宋_GB2312" w:hAnsi="仿宋_GB2312" w:cs="仿宋_GB2312" w:eastAsia="仿宋_GB2312"/>
                <w:sz w:val="18"/>
                <w:color w:val="000000"/>
              </w:rPr>
              <w:t>40.0%</w:t>
            </w:r>
          </w:p>
          <w:p>
            <w:pPr>
              <w:pStyle w:val="null3"/>
              <w:jc w:val="left"/>
            </w:pPr>
            <w:r>
              <w:rPr>
                <w:rFonts w:ascii="仿宋_GB2312" w:hAnsi="仿宋_GB2312" w:cs="仿宋_GB2312" w:eastAsia="仿宋_GB2312"/>
                <w:sz w:val="18"/>
                <w:color w:val="000000"/>
              </w:rPr>
              <w:t>进度款，</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付款条件说明，</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工程完工并验收合格后，</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达到付款条件起</w:t>
            </w:r>
            <w:r>
              <w:rPr>
                <w:rFonts w:ascii="仿宋_GB2312" w:hAnsi="仿宋_GB2312" w:cs="仿宋_GB2312" w:eastAsia="仿宋_GB2312"/>
                <w:sz w:val="18"/>
                <w:color w:val="000000"/>
              </w:rPr>
              <w:t>10</w:t>
            </w:r>
            <w:r>
              <w:rPr>
                <w:rFonts w:ascii="仿宋_GB2312" w:hAnsi="仿宋_GB2312" w:cs="仿宋_GB2312" w:eastAsia="仿宋_GB2312"/>
                <w:sz w:val="18"/>
                <w:color w:val="000000"/>
              </w:rPr>
              <w:t>个工作日内，</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支付合同总金额的</w:t>
            </w:r>
            <w:r>
              <w:rPr>
                <w:rFonts w:ascii="仿宋_GB2312" w:hAnsi="仿宋_GB2312" w:cs="仿宋_GB2312" w:eastAsia="仿宋_GB2312"/>
                <w:sz w:val="18"/>
                <w:color w:val="000000"/>
              </w:rPr>
              <w:t>10.0%</w:t>
            </w:r>
          </w:p>
          <w:p>
            <w:pPr>
              <w:pStyle w:val="null3"/>
              <w:spacing w:before="120"/>
              <w:jc w:val="left"/>
            </w:pPr>
            <w:r>
              <w:rPr>
                <w:rFonts w:ascii="仿宋_GB2312" w:hAnsi="仿宋_GB2312" w:cs="仿宋_GB2312" w:eastAsia="仿宋_GB2312"/>
                <w:sz w:val="18"/>
                <w:color w:val="000000"/>
              </w:rPr>
              <w:t>进度款，</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付款条件说明，</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通过审计后，</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达到付款条件起</w:t>
            </w:r>
            <w:r>
              <w:rPr>
                <w:rFonts w:ascii="仿宋_GB2312" w:hAnsi="仿宋_GB2312" w:cs="仿宋_GB2312" w:eastAsia="仿宋_GB2312"/>
                <w:sz w:val="18"/>
                <w:color w:val="000000"/>
              </w:rPr>
              <w:t>10</w:t>
            </w:r>
            <w:r>
              <w:rPr>
                <w:rFonts w:ascii="仿宋_GB2312" w:hAnsi="仿宋_GB2312" w:cs="仿宋_GB2312" w:eastAsia="仿宋_GB2312"/>
                <w:sz w:val="18"/>
                <w:color w:val="000000"/>
              </w:rPr>
              <w:t>个工作日内，</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支付合同总金额的</w:t>
            </w:r>
            <w:r>
              <w:rPr>
                <w:rFonts w:ascii="仿宋_GB2312" w:hAnsi="仿宋_GB2312" w:cs="仿宋_GB2312" w:eastAsia="仿宋_GB2312"/>
                <w:sz w:val="18"/>
                <w:color w:val="000000"/>
              </w:rPr>
              <w:t>17.0%</w:t>
            </w:r>
          </w:p>
          <w:p>
            <w:pPr>
              <w:pStyle w:val="null3"/>
              <w:spacing w:before="120"/>
              <w:jc w:val="left"/>
            </w:pPr>
            <w:r>
              <w:rPr>
                <w:rFonts w:ascii="仿宋_GB2312" w:hAnsi="仿宋_GB2312" w:cs="仿宋_GB2312" w:eastAsia="仿宋_GB2312"/>
                <w:sz w:val="18"/>
                <w:color w:val="000000"/>
              </w:rPr>
              <w:t>进度款，</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付款条件说明，</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质保期满后，</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达到付款条件起</w:t>
            </w:r>
            <w:r>
              <w:rPr>
                <w:rFonts w:ascii="仿宋_GB2312" w:hAnsi="仿宋_GB2312" w:cs="仿宋_GB2312" w:eastAsia="仿宋_GB2312"/>
                <w:sz w:val="18"/>
                <w:color w:val="000000"/>
              </w:rPr>
              <w:t>10</w:t>
            </w:r>
            <w:r>
              <w:rPr>
                <w:rFonts w:ascii="仿宋_GB2312" w:hAnsi="仿宋_GB2312" w:cs="仿宋_GB2312" w:eastAsia="仿宋_GB2312"/>
                <w:sz w:val="18"/>
                <w:color w:val="000000"/>
              </w:rPr>
              <w:t>个工作日内，</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支付合同总金额</w:t>
            </w:r>
            <w:r>
              <w:rPr>
                <w:rFonts w:ascii="仿宋_GB2312" w:hAnsi="仿宋_GB2312" w:cs="仿宋_GB2312" w:eastAsia="仿宋_GB2312"/>
                <w:sz w:val="18"/>
                <w:color w:val="000000"/>
              </w:rPr>
              <w:t>的</w:t>
            </w:r>
            <w:r>
              <w:rPr>
                <w:rFonts w:ascii="仿宋_GB2312" w:hAnsi="仿宋_GB2312" w:cs="仿宋_GB2312" w:eastAsia="仿宋_GB2312"/>
                <w:sz w:val="18"/>
                <w:color w:val="000000"/>
              </w:rPr>
              <w:t>3.0%</w:t>
            </w:r>
          </w:p>
          <w:p>
            <w:pPr>
              <w:pStyle w:val="null3"/>
            </w:pPr>
            <w:r>
              <w:rPr>
                <w:rFonts w:ascii="仿宋_GB2312" w:hAnsi="仿宋_GB2312" w:cs="仿宋_GB2312" w:eastAsia="仿宋_GB2312"/>
                <w:sz w:val="18"/>
                <w:color w:val="000000"/>
              </w:rPr>
              <w:t>三、质量要求</w:t>
            </w:r>
          </w:p>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质量标准：符合国家以及配套的相关⼯程质量验收规范的合格等级，并达到采购⼈质量要求和交付</w:t>
            </w:r>
          </w:p>
          <w:p>
            <w:pPr>
              <w:pStyle w:val="null3"/>
            </w:pPr>
            <w:r>
              <w:rPr>
                <w:rFonts w:ascii="仿宋_GB2312" w:hAnsi="仿宋_GB2312" w:cs="仿宋_GB2312" w:eastAsia="仿宋_GB2312"/>
                <w:sz w:val="18"/>
                <w:color w:val="000000"/>
              </w:rPr>
              <w:t>使⽤标准。</w:t>
            </w:r>
          </w:p>
          <w:p>
            <w:pPr>
              <w:pStyle w:val="null3"/>
            </w:pPr>
            <w:r>
              <w:rPr>
                <w:rFonts w:ascii="仿宋_GB2312" w:hAnsi="仿宋_GB2312" w:cs="仿宋_GB2312" w:eastAsia="仿宋_GB2312"/>
                <w:sz w:val="18"/>
                <w:color w:val="000000"/>
              </w:rPr>
              <w:t>2.</w:t>
            </w:r>
            <w:r>
              <w:rPr>
                <w:rFonts w:ascii="仿宋_GB2312" w:hAnsi="仿宋_GB2312" w:cs="仿宋_GB2312" w:eastAsia="仿宋_GB2312"/>
                <w:sz w:val="18"/>
                <w:color w:val="000000"/>
              </w:rPr>
              <w:t>质量保修期：符合《建设⼯程质量管理条例》等相关法律法规。</w:t>
            </w:r>
          </w:p>
          <w:p>
            <w:pPr>
              <w:pStyle w:val="null3"/>
            </w:pPr>
            <w:r>
              <w:rPr>
                <w:rFonts w:ascii="仿宋_GB2312" w:hAnsi="仿宋_GB2312" w:cs="仿宋_GB2312" w:eastAsia="仿宋_GB2312"/>
                <w:sz w:val="18"/>
                <w:color w:val="000000"/>
              </w:rPr>
              <w:t>四、项⽬实施要求及质量保证</w:t>
            </w:r>
          </w:p>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、供应商必须具备相应的资质，不得转包、分包。确需分包时须征得采购⼈同意。否则将终⽌合同</w:t>
            </w:r>
          </w:p>
          <w:p>
            <w:pPr>
              <w:pStyle w:val="null3"/>
            </w:pPr>
            <w:r>
              <w:rPr>
                <w:rFonts w:ascii="仿宋_GB2312" w:hAnsi="仿宋_GB2312" w:cs="仿宋_GB2312" w:eastAsia="仿宋_GB2312"/>
                <w:sz w:val="18"/>
                <w:color w:val="000000"/>
              </w:rPr>
              <w:t>并按政府采购有关规定进⾏处理。</w:t>
            </w:r>
          </w:p>
          <w:p>
            <w:pPr>
              <w:pStyle w:val="null3"/>
            </w:pPr>
            <w:r>
              <w:rPr>
                <w:rFonts w:ascii="仿宋_GB2312" w:hAnsi="仿宋_GB2312" w:cs="仿宋_GB2312" w:eastAsia="仿宋_GB2312"/>
                <w:sz w:val="18"/>
                <w:color w:val="000000"/>
              </w:rPr>
              <w:t>2</w:t>
            </w:r>
            <w:r>
              <w:rPr>
                <w:rFonts w:ascii="仿宋_GB2312" w:hAnsi="仿宋_GB2312" w:cs="仿宋_GB2312" w:eastAsia="仿宋_GB2312"/>
                <w:sz w:val="18"/>
                <w:color w:val="000000"/>
              </w:rPr>
              <w:t>、供应商在本⼯程中的项⽬负责⼈（项⽬经理），要求技术⽔平⾼、组织能⼒强、有丰富的⼯程业</w:t>
            </w:r>
          </w:p>
          <w:p>
            <w:pPr>
              <w:pStyle w:val="null3"/>
            </w:pPr>
            <w:r>
              <w:rPr>
                <w:rFonts w:ascii="仿宋_GB2312" w:hAnsi="仿宋_GB2312" w:cs="仿宋_GB2312" w:eastAsia="仿宋_GB2312"/>
                <w:sz w:val="18"/>
                <w:color w:val="000000"/>
              </w:rPr>
              <w:t>绩和实践经验，懂管理、善于协调。施⼯队伍稳定，保证整个⼯程顺利完⼯。</w:t>
            </w:r>
          </w:p>
          <w:p>
            <w:pPr>
              <w:pStyle w:val="null3"/>
            </w:pPr>
            <w:r>
              <w:rPr>
                <w:rFonts w:ascii="仿宋_GB2312" w:hAnsi="仿宋_GB2312" w:cs="仿宋_GB2312" w:eastAsia="仿宋_GB2312"/>
                <w:sz w:val="18"/>
                <w:color w:val="000000"/>
              </w:rPr>
              <w:t>3</w:t>
            </w:r>
            <w:r>
              <w:rPr>
                <w:rFonts w:ascii="仿宋_GB2312" w:hAnsi="仿宋_GB2312" w:cs="仿宋_GB2312" w:eastAsia="仿宋_GB2312"/>
                <w:sz w:val="18"/>
                <w:color w:val="000000"/>
              </w:rPr>
              <w:t>、施⼯过程中，严格遵守建设单位的各种管理规定及规章制度，做到⽂明施⼯。发⽣⼯伤及意外事</w:t>
            </w:r>
          </w:p>
          <w:p>
            <w:pPr>
              <w:pStyle w:val="null3"/>
            </w:pPr>
            <w:r>
              <w:rPr>
                <w:rFonts w:ascii="仿宋_GB2312" w:hAnsi="仿宋_GB2312" w:cs="仿宋_GB2312" w:eastAsia="仿宋_GB2312"/>
                <w:sz w:val="18"/>
                <w:color w:val="000000"/>
              </w:rPr>
              <w:t>故由施⼯单位负责。</w:t>
            </w:r>
          </w:p>
          <w:p>
            <w:pPr>
              <w:pStyle w:val="null3"/>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严格按照国家和省上有关规定施⼯、规范施⼯，确保⼯程合格，如有更改须事先征得有关⽅⾯的</w:t>
            </w:r>
          </w:p>
          <w:p>
            <w:pPr>
              <w:pStyle w:val="null3"/>
            </w:pPr>
            <w:r>
              <w:rPr>
                <w:rFonts w:ascii="仿宋_GB2312" w:hAnsi="仿宋_GB2312" w:cs="仿宋_GB2312" w:eastAsia="仿宋_GB2312"/>
                <w:sz w:val="18"/>
                <w:color w:val="000000"/>
              </w:rPr>
              <w:t>同意，并在采购⼈落实后实施，并出具书⾯说明。</w:t>
            </w:r>
          </w:p>
          <w:p>
            <w:pPr>
              <w:pStyle w:val="null3"/>
            </w:pPr>
            <w:r>
              <w:rPr>
                <w:rFonts w:ascii="仿宋_GB2312" w:hAnsi="仿宋_GB2312" w:cs="仿宋_GB2312" w:eastAsia="仿宋_GB2312"/>
                <w:sz w:val="18"/>
                <w:color w:val="000000"/>
              </w:rPr>
              <w:t>5</w:t>
            </w:r>
            <w:r>
              <w:rPr>
                <w:rFonts w:ascii="仿宋_GB2312" w:hAnsi="仿宋_GB2312" w:cs="仿宋_GB2312" w:eastAsia="仿宋_GB2312"/>
                <w:sz w:val="18"/>
                <w:color w:val="000000"/>
              </w:rPr>
              <w:t>、所有进场材料需携带合格证等质量证明⽂件。由甲⽅现场代表对所进场材料予以验收并确认。</w:t>
            </w:r>
          </w:p>
          <w:p>
            <w:pPr>
              <w:pStyle w:val="null3"/>
            </w:pPr>
            <w:r>
              <w:rPr>
                <w:rFonts w:ascii="仿宋_GB2312" w:hAnsi="仿宋_GB2312" w:cs="仿宋_GB2312" w:eastAsia="仿宋_GB2312"/>
                <w:sz w:val="18"/>
                <w:color w:val="000000"/>
              </w:rPr>
              <w:t>6、施⼯⽅未经采购⼈同意，不得擅⾃更换本⼯程在磋商响应⽂件中指定的项⽬施⼯负责⼈（项⽬经</w:t>
            </w:r>
          </w:p>
          <w:p>
            <w:pPr>
              <w:pStyle w:val="null3"/>
            </w:pPr>
            <w:r>
              <w:rPr>
                <w:rFonts w:ascii="仿宋_GB2312" w:hAnsi="仿宋_GB2312" w:cs="仿宋_GB2312" w:eastAsia="仿宋_GB2312"/>
                <w:sz w:val="18"/>
                <w:color w:val="000000"/>
              </w:rPr>
              <w:t>理）及施⼯队伍。</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1、本工程采用广联达计价 GCCP7.0-7.5000.23.3 版本。 2、本工程所用砼为预拌砼；砂浆为预拌砂浆； 3、垃圾外运按 6km 计入。 4、风险材料： 防水材料、装饰材料、安装主材等。 5、暂定价： 二层西南角阳台处人民法院造型：8000 元/项， 三层西南角阳台处国徽造型：8000 元/项。 6、暂列金额：12 万元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三个月内基本存款账户开户银行出具的资信证明及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提供投标截止前半年内至少一个月的纳税凭证或完税证明（任意税种），完税证明上应有代收机构或税务机关的公章；依法免税的供应商应提供相关文件证明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提供投标截止前半年内至少一个月的社会保障资金缴存单据或社保机构开具的社会保险参保缴费情况证明；依法不需要缴纳社会保障资金的供应商应提供相关文件证明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具有履行合同所必需的设备和专业技术能力，(由供应商根据项目需求提供说明材料或者承诺)</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供应商须具备相关行政主管部门颁发的建筑工程施工总承包三级及以上资质，并具备合格有效的安全生产许可证</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拟派项目经理须具备建筑工程专业二级及以上注册建造师执业资格，并具有合法有效的安全生产考核合格证，且未担任其他在建工程项目经理，提供本单位的社保缴纳证明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法定代表人直接参加投标的，须出具法定代表人身份证明；授权代表参加投标的，须出具法定代表人授权书并附法定代表人和被授权人身份证及被授权人社保缴纳证明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近三年内没有骗取中标或者严重违约、发生重大工程质量、安全生产事故等问题</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信用查询：供应商及拟派项目经理应在“陕西省建筑市场监管与诚信信息发布平台”可查询（提供相关网页截图）；供应商不得在“信用中国”网站（中国执行信息公开网）被列为失信被执行人和重大税收违法失信主体和政府采购严重违法失信行为记录名单，不得在“中国政府采购网”被列入政府采购严重违法失信行为记录名单。</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响应文件要求加盖单位公章及法定代表人或被授权委托人签字或盖章的地方均应加盖</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磋商报价表.docx 响应文件封面 供应商应提交的资格证明文件.docx 项目管理机构组成表 主要人员简历表.docx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从提交竞争性磋商磋商响应文件的截止之日起不少于90日历天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应满足竞争性磋商文件中要求的工期</w:t>
            </w:r>
          </w:p>
        </w:tc>
        <w:tc>
          <w:tcPr>
            <w:tcW w:type="dxa" w:w="1661"/>
          </w:tcPr>
          <w:p>
            <w:pPr>
              <w:pStyle w:val="null3"/>
            </w:pPr>
            <w:r>
              <w:rPr>
                <w:rFonts w:ascii="仿宋_GB2312" w:hAnsi="仿宋_GB2312" w:cs="仿宋_GB2312" w:eastAsia="仿宋_GB2312"/>
              </w:rPr>
              <w:t>响应文件封面 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提供针对本项目制定的措施方案，包括但不限于对施工进行全过程的质量检查，对施工材料、施工方法及实体质量的措施内容。措施详尽，合理可行，逻辑清楚，针对性及可行性强，得 4.1-8分；措施较完善，有一定的逻辑性、针对性、可行性，得2.1-4分； 措施内容基本合理，基本可行得0-2分；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提供针对本项目制定的措施方案，包括但不限于施工工地的现场场容场貌、机械管理的存放、生活卫生的处理、防治大气污染等内容。措施详尽，合理可行，逻辑清楚，针对性及可行性强，得4.1-8分； 措施较完善，有一定的逻辑性、针对性、可行性，得 2.1-4分； 措施内容基本合理，基本可行得 0-2 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提供针对本项目制定的措施方案，包括但不限于安全管理制度、安全教育培训等内容；措施详尽，合理可行，逻辑清楚，针对性及可行性强，得 4.1-6分； 措施较完善，有一定的逻辑性、针对性、可行性，得 2.1-4分； 措施内容基本合理，基本可行得 0-2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提供针对本项目制定的措施方案，包括但不限于施工准备保证、工期目标（提供施工计划网络图或横道图）,工期保证措施等内容，确保工期的技术组织措施。措施详尽，合理可行，逻辑清楚，针对性及可行性强，得 4.1-6分； 措施较完善，有一定的逻辑性、针对性、可行性，得 2.1-4分； 措施内容基本合理，基本可行得 0-2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提供针对本项目的施工方案。方案内容全面，可行性和针对性强，得 6.1-10 分； 方案满足要求，可行性和针对性较强，得3.1-6分； 方案基本满足要求，有一定的可行性和针对性，得 0-3分；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提供针对本项目制定的计划，包括但不限于主要机械设备配备和工程材料计划等内容。各种设备配置齐全，材料充足，得4.1-6分； 各种设备配置较齐全，材料较充足，得 2.1-4分； 各种设备配置、材料勉强满足项目需求得 0-2分；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采用新技术、新工艺对提供工程质量、缩短工期、降低造价的可行性</w:t>
            </w:r>
          </w:p>
        </w:tc>
        <w:tc>
          <w:tcPr>
            <w:tcW w:type="dxa" w:w="2492"/>
          </w:tcPr>
          <w:p>
            <w:pPr>
              <w:pStyle w:val="null3"/>
            </w:pPr>
            <w:r>
              <w:rPr>
                <w:rFonts w:ascii="仿宋_GB2312" w:hAnsi="仿宋_GB2312" w:cs="仿宋_GB2312" w:eastAsia="仿宋_GB2312"/>
              </w:rPr>
              <w:t>内容针对性强、科学合理可行性强得4.1-6 分；内容针对性较强、科学合理可行性较强得2.1- 4分； 内容针对性一般、基本可行得0-2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劳动力安排计划详细，合理，完全满足项目需求得4.1-6分； 劳动力安排计划满足要求，较合理，得2.1- 4 分； 劳动力安排计划笼统，合理性一般，得0- 2 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项目部组织机构</w:t>
            </w:r>
          </w:p>
        </w:tc>
        <w:tc>
          <w:tcPr>
            <w:tcW w:type="dxa" w:w="2492"/>
          </w:tcPr>
          <w:p>
            <w:pPr>
              <w:pStyle w:val="null3"/>
            </w:pPr>
            <w:r>
              <w:rPr>
                <w:rFonts w:ascii="仿宋_GB2312" w:hAnsi="仿宋_GB2312" w:cs="仿宋_GB2312" w:eastAsia="仿宋_GB2312"/>
              </w:rPr>
              <w:t>项目部人员配备合理、分工科学、专业知识构架全面、 岗位职责明确，得 6.1-8分； 项目部人员配备较合理、分工较科学、岗位职责明确，得3.1-6 分； 项目部人员配备基本合理、分工基本科学、岗位职责明确，得0-3分；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供应商近三年（2023年6月1日至今）具有类似项目业绩，每份计2分，计满6分为止。（以合同签订时间为准，附合同复印件）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详见附件：供应商应提交的资格证明文件.docx</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