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版本号：ZX2026-07-0620260709003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2026年度教职工健康体检项目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ZX2026-07-06</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2026年度教职工健康体检项目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2026年度教职工健康体检项目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2026年度教职工健康体检。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pPr>
      <w:r>
        <w:rPr>
          <w:rFonts w:ascii="仿宋_GB2312" w:hAnsi="仿宋_GB2312" w:cs="仿宋_GB2312" w:eastAsia="仿宋_GB2312"/>
        </w:rPr>
        <w:t>3、《医疗机构执业许可证》：供应商具备有效期内的《医疗机构执业许可证》。</w:t>
      </w:r>
    </w:p>
    <w:p>
      <w:pPr>
        <w:pStyle w:val="null3"/>
      </w:pPr>
      <w:r>
        <w:rPr>
          <w:rFonts w:ascii="仿宋_GB2312" w:hAnsi="仿宋_GB2312" w:cs="仿宋_GB2312" w:eastAsia="仿宋_GB2312"/>
        </w:rPr>
        <w:t>4、《放射诊疗许可证》：供应商具备有效期内的《放射诊疗许可证》。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采购包1保证金金额：10,706.00元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说明：1.履约保证金的有效期为乙方承诺的服务期限。 2.履约保证金作为违约金的一部分，用于补偿甲方因乙方不能履行合同义务而蒙受的损失。 3.服务期限结束后，供应商提交申请，甲方财务部门接到甲方确认本合同服务等约定事项已经履行完毕的正式书面文件后，向乙方无息退还履约保证金。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代理服务费收费标准：参照国家计委计价格[2002]1980号及发改办价格[2003]857号通知规定按预算下浮23%，由成交供应商支付代理服务费。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2026年度教职工健康体检项目，1项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699,890.00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教职工健康体检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1、具体要求：</w:t>
            </w:r>
          </w:p>
          <w:tbl>
            <w:tblPr>
              <w:tblBorders>
                <w:top w:val="none" w:color="000000" w:sz="4"/>
                <w:left w:val="none" w:color="000000" w:sz="4"/>
                <w:bottom w:val="none" w:color="000000" w:sz="4"/>
                <w:right w:val="none" w:color="000000" w:sz="4"/>
                <w:insideH w:val="none"/>
                <w:insideV w:val="none"/>
              </w:tblBorders>
            </w:tblPr>
            <w:tblGrid>
              <w:gridCol w:w="234"/>
              <w:gridCol w:w="273"/>
              <w:gridCol w:w="2044"/>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服务名称</w:t>
                  </w:r>
                </w:p>
              </w:tc>
              <w:tc>
                <w:tcPr>
                  <w:tcW w:type="dxa" w:w="20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服务内容</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基础情况</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1.体检对象：学校正式教职工（含离退休人员、人事代理人员及安保、公寓管理等合同制管理人员），共计909人。</w:t>
                  </w:r>
                </w:p>
                <w:p>
                  <w:pPr>
                    <w:pStyle w:val="null3"/>
                    <w:jc w:val="both"/>
                  </w:pPr>
                  <w:r>
                    <w:rPr>
                      <w:rFonts w:ascii="仿宋_GB2312" w:hAnsi="仿宋_GB2312" w:cs="仿宋_GB2312" w:eastAsia="仿宋_GB2312"/>
                      <w:sz w:val="20"/>
                    </w:rPr>
                    <w:t>2.人员分类：</w:t>
                  </w:r>
                </w:p>
                <w:p>
                  <w:pPr>
                    <w:pStyle w:val="null3"/>
                    <w:jc w:val="both"/>
                  </w:pPr>
                  <w:r>
                    <w:rPr>
                      <w:rFonts w:ascii="仿宋_GB2312" w:hAnsi="仿宋_GB2312" w:cs="仿宋_GB2312" w:eastAsia="仿宋_GB2312"/>
                      <w:sz w:val="20"/>
                    </w:rPr>
                    <w:t>第一类（高层次引进人才、三级教授、省级教学名师、正高职称等）：共</w:t>
                  </w:r>
                  <w:r>
                    <w:rPr>
                      <w:rFonts w:ascii="仿宋_GB2312" w:hAnsi="仿宋_GB2312" w:cs="仿宋_GB2312" w:eastAsia="仿宋_GB2312"/>
                      <w:sz w:val="20"/>
                    </w:rPr>
                    <w:t>49人，男14人，女35人；</w:t>
                  </w:r>
                  <w:r>
                    <w:br/>
                  </w:r>
                  <w:r>
                    <w:rPr>
                      <w:rFonts w:ascii="仿宋_GB2312" w:hAnsi="仿宋_GB2312" w:cs="仿宋_GB2312" w:eastAsia="仿宋_GB2312"/>
                      <w:sz w:val="20"/>
                    </w:rPr>
                    <w:t>第二类（离退休人员）：共</w:t>
                  </w:r>
                  <w:r>
                    <w:rPr>
                      <w:rFonts w:ascii="仿宋_GB2312" w:hAnsi="仿宋_GB2312" w:cs="仿宋_GB2312" w:eastAsia="仿宋_GB2312"/>
                      <w:sz w:val="20"/>
                    </w:rPr>
                    <w:t>172人，男107人，女65人；</w:t>
                  </w:r>
                </w:p>
                <w:p>
                  <w:pPr>
                    <w:pStyle w:val="null3"/>
                    <w:jc w:val="both"/>
                  </w:pPr>
                  <w:r>
                    <w:rPr>
                      <w:rFonts w:ascii="仿宋_GB2312" w:hAnsi="仿宋_GB2312" w:cs="仿宋_GB2312" w:eastAsia="仿宋_GB2312"/>
                      <w:sz w:val="20"/>
                    </w:rPr>
                    <w:t>第三类（其他在职人员</w:t>
                  </w:r>
                  <w:r>
                    <w:rPr>
                      <w:rFonts w:ascii="仿宋_GB2312" w:hAnsi="仿宋_GB2312" w:cs="仿宋_GB2312" w:eastAsia="仿宋_GB2312"/>
                      <w:sz w:val="20"/>
                    </w:rPr>
                    <w:t>)：共688人，40岁及以上男145人、女238人，40岁以下男66人、女239人。</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20"/>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结算标准</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体检费用按人群、性别、年龄实行差异化固定单价，以实际到检人数据实结算。</w:t>
                  </w:r>
                </w:p>
                <w:p>
                  <w:pPr>
                    <w:pStyle w:val="null3"/>
                    <w:jc w:val="both"/>
                  </w:pPr>
                  <w:r>
                    <w:rPr>
                      <w:rFonts w:ascii="仿宋_GB2312" w:hAnsi="仿宋_GB2312" w:cs="仿宋_GB2312" w:eastAsia="仿宋_GB2312"/>
                      <w:sz w:val="20"/>
                    </w:rPr>
                    <w:t>第一类（高层次引进人才、三级教授、省级教学名师、正高职称等）：男</w:t>
                  </w:r>
                  <w:r>
                    <w:rPr>
                      <w:rFonts w:ascii="仿宋_GB2312" w:hAnsi="仿宋_GB2312" w:cs="仿宋_GB2312" w:eastAsia="仿宋_GB2312"/>
                      <w:sz w:val="20"/>
                    </w:rPr>
                    <w:t>900元/人，女950元/人；</w:t>
                  </w:r>
                  <w:r>
                    <w:br/>
                  </w:r>
                  <w:r>
                    <w:rPr>
                      <w:rFonts w:ascii="仿宋_GB2312" w:hAnsi="仿宋_GB2312" w:cs="仿宋_GB2312" w:eastAsia="仿宋_GB2312"/>
                      <w:sz w:val="20"/>
                    </w:rPr>
                    <w:t>第二类（离退休人员）：男</w:t>
                  </w:r>
                  <w:r>
                    <w:rPr>
                      <w:rFonts w:ascii="仿宋_GB2312" w:hAnsi="仿宋_GB2312" w:cs="仿宋_GB2312" w:eastAsia="仿宋_GB2312"/>
                      <w:sz w:val="20"/>
                    </w:rPr>
                    <w:t>800元/人，女850元/人；</w:t>
                  </w:r>
                </w:p>
                <w:p>
                  <w:pPr>
                    <w:pStyle w:val="null3"/>
                    <w:jc w:val="both"/>
                  </w:pPr>
                  <w:r>
                    <w:rPr>
                      <w:rFonts w:ascii="仿宋_GB2312" w:hAnsi="仿宋_GB2312" w:cs="仿宋_GB2312" w:eastAsia="仿宋_GB2312"/>
                      <w:sz w:val="20"/>
                    </w:rPr>
                    <w:t>第三类（其他在职人员</w:t>
                  </w:r>
                  <w:r>
                    <w:rPr>
                      <w:rFonts w:ascii="仿宋_GB2312" w:hAnsi="仿宋_GB2312" w:cs="仿宋_GB2312" w:eastAsia="仿宋_GB2312"/>
                      <w:sz w:val="20"/>
                    </w:rPr>
                    <w:t>)：40岁及以上男750元/人，女830元/人，40岁以下男600元/人，女700元/人；</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体检项目</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必检项目：包括一般检查（身高、体重、血压）、内科（心肺听诊、腹部检查）、外科（淋巴结、甲状腺、乳腺、前列腺、肛肠、四肢脊柱）、心电图、眼科（视力、眼底、裂隙灯）、血细胞分析+五分类、血脂4项、空腹血糖、糖化血红蛋白、肝功能10项、肾功能5项、甲胎蛋白、癌胚抗原、前列腺特异性抗原（男）、糖类抗原CA125（女）、糖类抗原CA15-3（女）、糖类抗原CA19-9、</w:t>
                  </w:r>
                  <w:r>
                    <w:rPr>
                      <w:rFonts w:ascii="仿宋_GB2312" w:hAnsi="仿宋_GB2312" w:cs="仿宋_GB2312" w:eastAsia="仿宋_GB2312"/>
                      <w:sz w:val="20"/>
                      <w:b/>
                    </w:rPr>
                    <w:t>同型半胱氨酸（仅第一类）、风湿</w:t>
                  </w:r>
                  <w:r>
                    <w:rPr>
                      <w:rFonts w:ascii="仿宋_GB2312" w:hAnsi="仿宋_GB2312" w:cs="仿宋_GB2312" w:eastAsia="仿宋_GB2312"/>
                      <w:sz w:val="20"/>
                      <w:b/>
                    </w:rPr>
                    <w:t>4项（仅第一类）</w:t>
                  </w:r>
                  <w:r>
                    <w:rPr>
                      <w:rFonts w:ascii="仿宋_GB2312" w:hAnsi="仿宋_GB2312" w:cs="仿宋_GB2312" w:eastAsia="仿宋_GB2312"/>
                      <w:sz w:val="20"/>
                    </w:rPr>
                    <w:t>、尿液分析、甲状腺彩超、</w:t>
                  </w:r>
                  <w:r>
                    <w:rPr>
                      <w:rFonts w:ascii="仿宋_GB2312" w:hAnsi="仿宋_GB2312" w:cs="仿宋_GB2312" w:eastAsia="仿宋_GB2312"/>
                      <w:sz w:val="20"/>
                      <w:b/>
                    </w:rPr>
                    <w:t>颈动脉彩超（双侧）（仅第一类及第二类及第三类</w:t>
                  </w:r>
                  <w:r>
                    <w:rPr>
                      <w:rFonts w:ascii="仿宋_GB2312" w:hAnsi="仿宋_GB2312" w:cs="仿宋_GB2312" w:eastAsia="仿宋_GB2312"/>
                      <w:sz w:val="20"/>
                      <w:b/>
                    </w:rPr>
                    <w:t>40岁及以上在职）</w:t>
                  </w:r>
                  <w:r>
                    <w:rPr>
                      <w:rFonts w:ascii="仿宋_GB2312" w:hAnsi="仿宋_GB2312" w:cs="仿宋_GB2312" w:eastAsia="仿宋_GB2312"/>
                      <w:sz w:val="20"/>
                    </w:rPr>
                    <w:t>、双乳腺彩超（女）、上腹部彩超、泌尿系彩超（双肾、输尿管、膀胱、前列腺）（男）、泌尿系彩超（双肾、输尿管、膀胱）（女）、妇科彩超（女）、妇科检查及白带常规</w:t>
                  </w:r>
                  <w:r>
                    <w:rPr>
                      <w:rFonts w:ascii="仿宋_GB2312" w:hAnsi="仿宋_GB2312" w:cs="仿宋_GB2312" w:eastAsia="仿宋_GB2312"/>
                      <w:sz w:val="20"/>
                    </w:rPr>
                    <w:t>+宫颈刮片（女）、颈</w:t>
                  </w:r>
                  <w:r>
                    <w:rPr>
                      <w:rFonts w:ascii="仿宋_GB2312" w:hAnsi="仿宋_GB2312" w:cs="仿宋_GB2312" w:eastAsia="仿宋_GB2312"/>
                      <w:sz w:val="20"/>
                    </w:rPr>
                    <w:t>椎侧位片</w:t>
                  </w:r>
                  <w:r>
                    <w:rPr>
                      <w:rFonts w:ascii="仿宋_GB2312" w:hAnsi="仿宋_GB2312" w:cs="仿宋_GB2312" w:eastAsia="仿宋_GB2312"/>
                      <w:sz w:val="20"/>
                    </w:rPr>
                    <w:t>DR、胸部CT、</w:t>
                  </w:r>
                  <w:r>
                    <w:rPr>
                      <w:rFonts w:ascii="仿宋_GB2312" w:hAnsi="仿宋_GB2312" w:cs="仿宋_GB2312" w:eastAsia="仿宋_GB2312"/>
                      <w:sz w:val="20"/>
                      <w:b/>
                    </w:rPr>
                    <w:t>骨密度检测（仅第一类及第二类）</w:t>
                  </w:r>
                  <w:r>
                    <w:rPr>
                      <w:rFonts w:ascii="仿宋_GB2312" w:hAnsi="仿宋_GB2312" w:cs="仿宋_GB2312" w:eastAsia="仿宋_GB2312"/>
                      <w:sz w:val="20"/>
                    </w:rPr>
                    <w:t>等。（见附件）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其他项目套餐：在体检费用固定单价扣除必检项目费用后，由供应商根据剩余金额</w:t>
                  </w:r>
                  <w:r>
                    <w:rPr>
                      <w:rFonts w:ascii="仿宋_GB2312" w:hAnsi="仿宋_GB2312" w:cs="仿宋_GB2312" w:eastAsia="仿宋_GB2312"/>
                      <w:sz w:val="20"/>
                    </w:rPr>
                    <w:t>，</w:t>
                  </w:r>
                  <w:r>
                    <w:rPr>
                      <w:rFonts w:ascii="仿宋_GB2312" w:hAnsi="仿宋_GB2312" w:cs="仿宋_GB2312" w:eastAsia="仿宋_GB2312"/>
                      <w:sz w:val="20"/>
                    </w:rPr>
                    <w:t>除必检项目外，由供应商从消化系统（</w:t>
                  </w:r>
                  <w:r>
                    <w:rPr>
                      <w:rFonts w:ascii="仿宋_GB2312" w:hAnsi="仿宋_GB2312" w:cs="仿宋_GB2312" w:eastAsia="仿宋_GB2312"/>
                      <w:sz w:val="20"/>
                    </w:rPr>
                    <w:t>C13呼气试验、胃泌素-17）、心脑血管系统（</w:t>
                  </w:r>
                  <w:r>
                    <w:rPr>
                      <w:rFonts w:ascii="仿宋_GB2312" w:hAnsi="仿宋_GB2312" w:cs="仿宋_GB2312" w:eastAsia="仿宋_GB2312"/>
                      <w:sz w:val="20"/>
                    </w:rPr>
                    <w:t>心脏彩超、</w:t>
                  </w:r>
                  <w:r>
                    <w:rPr>
                      <w:rFonts w:ascii="仿宋_GB2312" w:hAnsi="仿宋_GB2312" w:cs="仿宋_GB2312" w:eastAsia="仿宋_GB2312"/>
                      <w:sz w:val="20"/>
                    </w:rPr>
                    <w:t>头颅</w:t>
                  </w:r>
                  <w:r>
                    <w:rPr>
                      <w:rFonts w:ascii="仿宋_GB2312" w:hAnsi="仿宋_GB2312" w:cs="仿宋_GB2312" w:eastAsia="仿宋_GB2312"/>
                      <w:sz w:val="20"/>
                    </w:rPr>
                    <w:t>CT）、妇科（HPV+TCT检测）、内分泌系统（甲功5项）、呼吸系统（肺功能）等方向配置成套餐，应包含但不限于括号内项目。</w:t>
                  </w:r>
                  <w:r>
                    <w:rPr>
                      <w:rFonts w:ascii="仿宋_GB2312" w:hAnsi="仿宋_GB2312" w:cs="仿宋_GB2312" w:eastAsia="仿宋_GB2312"/>
                      <w:sz w:val="20"/>
                      <w:b/>
                    </w:rPr>
                    <w:t>教职工在套餐里选择</w:t>
                  </w:r>
                  <w:r>
                    <w:rPr>
                      <w:rFonts w:ascii="仿宋_GB2312" w:hAnsi="仿宋_GB2312" w:cs="仿宋_GB2312" w:eastAsia="仿宋_GB2312"/>
                      <w:sz w:val="20"/>
                      <w:b/>
                    </w:rPr>
                    <w:t>1个。</w:t>
                  </w:r>
                </w:p>
                <w:p>
                  <w:pPr>
                    <w:pStyle w:val="null3"/>
                    <w:jc w:val="both"/>
                  </w:pPr>
                  <w:r>
                    <w:rPr>
                      <w:rFonts w:ascii="仿宋_GB2312" w:hAnsi="仿宋_GB2312" w:cs="仿宋_GB2312" w:eastAsia="仿宋_GB2312"/>
                      <w:sz w:val="20"/>
                    </w:rPr>
                    <w:t>3.个人自选项目：教职工可根据自身需求，在必检项目及其他项目套餐之外，自行选择其他收费项目，费用自理。供应商需提供除必检项目+其他项目套餐外的项目目录，供教职工自选，并注明原价及折扣后价格，每项单价均不得高于本市同级三甲公立医疗机构现行公示收费标准。</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其他服务要求</w:t>
                  </w:r>
                </w:p>
              </w:tc>
              <w:tc>
                <w:tcPr>
                  <w:tcW w:type="dxa" w:w="20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1.供应商体检前提供体检通知单，通知单内应明确告知体检注意事项。</w:t>
                  </w:r>
                </w:p>
                <w:p>
                  <w:pPr>
                    <w:pStyle w:val="null3"/>
                    <w:jc w:val="both"/>
                  </w:pPr>
                  <w:r>
                    <w:rPr>
                      <w:rFonts w:ascii="仿宋_GB2312" w:hAnsi="仿宋_GB2312" w:cs="仿宋_GB2312" w:eastAsia="仿宋_GB2312"/>
                      <w:sz w:val="20"/>
                    </w:rPr>
                    <w:t>2.供应商须为采购人教职工提供至少5种自助营养早餐餐品，包括但不限于牛奶、豆浆、面包、鸡蛋、包子等（以上内容费用包含在报价中）。</w:t>
                  </w:r>
                </w:p>
                <w:p>
                  <w:pPr>
                    <w:pStyle w:val="null3"/>
                    <w:jc w:val="both"/>
                  </w:pPr>
                  <w:r>
                    <w:rPr>
                      <w:rFonts w:ascii="仿宋_GB2312" w:hAnsi="仿宋_GB2312" w:cs="仿宋_GB2312" w:eastAsia="仿宋_GB2312"/>
                      <w:sz w:val="20"/>
                    </w:rPr>
                    <w:t>3.至少集中组织4次体检（在职教职工2次，其他两类人群各1次），集中体检时，若达到100人以上，需安排专场体检。根据采购人需要提供充足的车辆接送教职工，以上内容费用包含在报价中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4.现场应提供个人问诊咨询、体检报告解读服</w:t>
                  </w:r>
                  <w:r>
                    <w:rPr>
                      <w:rFonts w:ascii="仿宋_GB2312" w:hAnsi="仿宋_GB2312" w:cs="仿宋_GB2312" w:eastAsia="仿宋_GB2312"/>
                      <w:sz w:val="20"/>
                    </w:rPr>
                    <w:t>务等。</w:t>
                  </w:r>
                </w:p>
                <w:p>
                  <w:pPr>
                    <w:pStyle w:val="null3"/>
                    <w:jc w:val="both"/>
                  </w:pPr>
                  <w:r>
                    <w:rPr>
                      <w:rFonts w:ascii="仿宋_GB2312" w:hAnsi="仿宋_GB2312" w:cs="仿宋_GB2312" w:eastAsia="仿宋_GB2312"/>
                      <w:sz w:val="20"/>
                    </w:rPr>
                    <w:t>5.体检结束一周内，完成个人电子及纸质报告，将离退休人员的报告邮寄至个人，其余人员的报告统一送至采购人，不单独发放给个人。体检结束后两周内，完成团检报告，并提供加盖公章的纸质版团检报告。</w:t>
                  </w:r>
                </w:p>
                <w:p>
                  <w:pPr>
                    <w:pStyle w:val="null3"/>
                    <w:jc w:val="both"/>
                  </w:pPr>
                  <w:r>
                    <w:rPr>
                      <w:rFonts w:ascii="仿宋_GB2312" w:hAnsi="仿宋_GB2312" w:cs="仿宋_GB2312" w:eastAsia="仿宋_GB2312"/>
                      <w:sz w:val="20"/>
                    </w:rPr>
                    <w:t>6.自签订合同之日起一年内，无条件提供专家义诊和健康讲座各4场（共8场），为采购人大型活动无条件提供医疗救护车（含救护车医疗设备及司机、医生、护士各1人）和无条件提供医疗保障服务（需配备医生、护士各1人）各3次，每次1天（如运动会、大型</w:t>
                  </w:r>
                  <w:r>
                    <w:rPr>
                      <w:rFonts w:ascii="仿宋_GB2312" w:hAnsi="仿宋_GB2312" w:cs="仿宋_GB2312" w:eastAsia="仿宋_GB2312"/>
                      <w:sz w:val="20"/>
                    </w:rPr>
                    <w:t>赛事等），以上内容费用包含在报价中。</w:t>
                  </w:r>
                </w:p>
                <w:p>
                  <w:pPr>
                    <w:pStyle w:val="null3"/>
                    <w:jc w:val="both"/>
                  </w:pPr>
                  <w:r>
                    <w:rPr>
                      <w:rFonts w:ascii="仿宋_GB2312" w:hAnsi="仿宋_GB2312" w:cs="仿宋_GB2312" w:eastAsia="仿宋_GB2312"/>
                      <w:sz w:val="20"/>
                    </w:rPr>
                    <w:t>7.教职工家属可享受中标体检项目套餐同等优惠服务，费用自理。</w:t>
                  </w:r>
                </w:p>
                <w:p>
                  <w:pPr>
                    <w:pStyle w:val="null3"/>
                    <w:jc w:val="both"/>
                  </w:pPr>
                  <w:r>
                    <w:rPr>
                      <w:rFonts w:ascii="仿宋_GB2312" w:hAnsi="仿宋_GB2312" w:cs="仿宋_GB2312" w:eastAsia="仿宋_GB2312"/>
                      <w:sz w:val="20"/>
                    </w:rPr>
                    <w:t>8.对于体检过程中发现的学校人员的疾病、疾病征兆及健康隐患，供应商应在体检报告中予以充分说明；重大阳性情况应第一时间通知采购人；供应商应为采购人安排2次以上到采购人单位的体检报告解读分析。</w:t>
                  </w:r>
                </w:p>
                <w:p>
                  <w:pPr>
                    <w:pStyle w:val="null3"/>
                    <w:jc w:val="both"/>
                  </w:pPr>
                  <w:r>
                    <w:rPr>
                      <w:rFonts w:ascii="仿宋_GB2312" w:hAnsi="仿宋_GB2312" w:cs="仿宋_GB2312" w:eastAsia="仿宋_GB2312"/>
                      <w:sz w:val="20"/>
                    </w:rPr>
                    <w:t>9.如教职工需要进一步就诊，供应商可以协助建立就医绿色通道；</w:t>
                  </w:r>
                  <w:r>
                    <w:rPr>
                      <w:rFonts w:ascii="仿宋_GB2312" w:hAnsi="仿宋_GB2312" w:cs="仿宋_GB2312" w:eastAsia="仿宋_GB2312"/>
                      <w:sz w:val="20"/>
                    </w:rPr>
                    <w:t>如需要进一步住院，可以协助办理住院手续；如需要进一步会诊诊断，可以协助办理会诊流程。</w:t>
                  </w:r>
                </w:p>
                <w:p>
                  <w:pPr>
                    <w:pStyle w:val="null3"/>
                    <w:jc w:val="both"/>
                  </w:pPr>
                  <w:r>
                    <w:rPr>
                      <w:rFonts w:ascii="仿宋_GB2312" w:hAnsi="仿宋_GB2312" w:cs="仿宋_GB2312" w:eastAsia="仿宋_GB2312"/>
                      <w:sz w:val="20"/>
                    </w:rPr>
                    <w:t>10.在体检过程中知悉的学校人员资料（包括但不限于姓名、年龄、体检指标、健康状况等），供应商负有充分的保密义务，且这种保密义务</w:t>
                  </w:r>
                  <w:r>
                    <w:rPr>
                      <w:rFonts w:ascii="仿宋_GB2312" w:hAnsi="仿宋_GB2312" w:cs="仿宋_GB2312" w:eastAsia="仿宋_GB2312"/>
                      <w:sz w:val="20"/>
                    </w:rPr>
                    <w:t>不受时间限制。</w:t>
                  </w:r>
                </w:p>
                <w:p>
                  <w:pPr>
                    <w:pStyle w:val="null3"/>
                    <w:jc w:val="both"/>
                  </w:pPr>
                  <w:r>
                    <w:rPr>
                      <w:rFonts w:ascii="仿宋_GB2312" w:hAnsi="仿宋_GB2312" w:cs="仿宋_GB2312" w:eastAsia="仿宋_GB2312"/>
                      <w:sz w:val="20"/>
                    </w:rPr>
                    <w:t>11.应提供无偿停车服务，采购人单位员工来体检可享受无偿停车服务。</w:t>
                  </w:r>
                </w:p>
                <w:p>
                  <w:pPr>
                    <w:pStyle w:val="null3"/>
                    <w:jc w:val="both"/>
                  </w:pPr>
                  <w:r>
                    <w:rPr>
                      <w:rFonts w:ascii="仿宋_GB2312" w:hAnsi="仿宋_GB2312" w:cs="仿宋_GB2312" w:eastAsia="仿宋_GB2312"/>
                      <w:sz w:val="20"/>
                    </w:rPr>
                    <w:t>12.磋商文件、响应文件也是合同的组成部分，合同中未约定的，以磋商文件、响应文件为准，供应商的投标文件及招标现场承诺内容视为本合同的内容。</w:t>
                  </w:r>
                </w:p>
                <w:p>
                  <w:pPr>
                    <w:pStyle w:val="null3"/>
                    <w:jc w:val="both"/>
                  </w:pPr>
                  <w:r>
                    <w:rPr>
                      <w:rFonts w:ascii="仿宋_GB2312" w:hAnsi="仿宋_GB2312" w:cs="仿宋_GB2312" w:eastAsia="仿宋_GB2312"/>
                      <w:sz w:val="20"/>
                    </w:rPr>
                    <w:t>13.整个项目应符合国家有关规范和标准。</w:t>
                  </w:r>
                </w:p>
                <w:p>
                  <w:pPr>
                    <w:pStyle w:val="null3"/>
                    <w:jc w:val="both"/>
                  </w:pPr>
                  <w:r>
                    <w:rPr>
                      <w:rFonts w:ascii="仿宋_GB2312" w:hAnsi="仿宋_GB2312" w:cs="仿宋_GB2312" w:eastAsia="仿宋_GB2312"/>
                      <w:sz w:val="20"/>
                    </w:rPr>
                    <w:t>供应商应提供健康体检服务，严格遵守相关部门颁布的《中华人民共和国医师法》《医疗机构管理条例》《护士条例》和《健康体检管理暂行规定》等法律法规，采取有效措施保证健康体检的质量。</w:t>
                  </w:r>
                </w:p>
              </w:tc>
            </w:tr>
          </w:tbl>
          <w:p>
            <w:pPr>
              <w:pStyle w:val="null3"/>
            </w:pPr>
            <w:r>
              <w:rPr>
                <w:rFonts w:ascii="仿宋_GB2312" w:hAnsi="仿宋_GB2312" w:cs="仿宋_GB2312" w:eastAsia="仿宋_GB2312"/>
                <w:sz w:val="21"/>
              </w:rPr>
              <w:t>附件：</w:t>
            </w:r>
          </w:p>
          <w:tbl>
            <w:tblPr>
              <w:tblBorders>
                <w:top w:val="none" w:color="000000" w:sz="4"/>
                <w:left w:val="none" w:color="000000" w:sz="4"/>
                <w:bottom w:val="none" w:color="000000" w:sz="4"/>
                <w:right w:val="none" w:color="000000" w:sz="4"/>
                <w:insideH w:val="none"/>
                <w:insideV w:val="none"/>
              </w:tblBorders>
            </w:tblPr>
            <w:tblGrid>
              <w:gridCol w:w="179"/>
              <w:gridCol w:w="418"/>
              <w:gridCol w:w="537"/>
              <w:gridCol w:w="173"/>
              <w:gridCol w:w="222"/>
              <w:gridCol w:w="157"/>
              <w:gridCol w:w="141"/>
              <w:gridCol w:w="173"/>
              <w:gridCol w:w="173"/>
              <w:gridCol w:w="173"/>
              <w:gridCol w:w="179"/>
            </w:tblGrid>
            <w:tr>
              <w:tc>
                <w:tcPr>
                  <w:tcW w:type="dxa" w:w="17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检查类型</w:t>
                  </w:r>
                </w:p>
              </w:tc>
              <w:tc>
                <w:tcPr>
                  <w:tcW w:type="dxa" w:w="5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检查项目</w:t>
                  </w:r>
                </w:p>
              </w:tc>
              <w:tc>
                <w:tcPr>
                  <w:tcW w:type="dxa" w:w="39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高层次引进人才、三级教授、省级教学名师、正高职称等；</w:t>
                  </w:r>
                </w:p>
              </w:tc>
              <w:tc>
                <w:tcPr>
                  <w:tcW w:type="dxa" w:w="2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离退休人员等</w:t>
                  </w:r>
                </w:p>
              </w:tc>
              <w:tc>
                <w:tcPr>
                  <w:tcW w:type="dxa" w:w="69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其他在职人员</w:t>
                  </w:r>
                </w:p>
              </w:tc>
            </w:tr>
            <w:tr>
              <w:tc>
                <w:tcPr>
                  <w:tcW w:type="dxa" w:w="179"/>
                  <w:vMerge/>
                  <w:tcBorders>
                    <w:top w:val="single" w:color="000000" w:sz="4"/>
                    <w:left w:val="single" w:color="000000" w:sz="4"/>
                    <w:bottom w:val="single" w:color="000000" w:sz="4"/>
                    <w:right w:val="single" w:color="000000" w:sz="4"/>
                  </w:tcBorders>
                </w:tcPr>
                <w:p/>
              </w:tc>
              <w:tc>
                <w:tcPr>
                  <w:tcW w:type="dxa" w:w="418"/>
                  <w:vMerge/>
                  <w:tcBorders>
                    <w:top w:val="single" w:color="000000" w:sz="4"/>
                    <w:left w:val="none" w:color="000000" w:sz="4"/>
                    <w:bottom w:val="single" w:color="000000" w:sz="4"/>
                    <w:right w:val="single" w:color="000000" w:sz="4"/>
                  </w:tcBorders>
                </w:tcPr>
                <w:p/>
              </w:tc>
              <w:tc>
                <w:tcPr>
                  <w:tcW w:type="dxa" w:w="537"/>
                  <w:vMerge/>
                  <w:tcBorders>
                    <w:top w:val="single" w:color="000000" w:sz="4"/>
                    <w:left w:val="none" w:color="000000" w:sz="4"/>
                    <w:bottom w:val="single" w:color="000000" w:sz="4"/>
                    <w:right w:val="single" w:color="000000" w:sz="4"/>
                  </w:tcBorders>
                </w:tcPr>
                <w:p/>
              </w:tc>
              <w:tc>
                <w:tcPr>
                  <w:tcW w:type="dxa" w:w="1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女</w:t>
                  </w:r>
                </w:p>
              </w:tc>
              <w:tc>
                <w:tcPr>
                  <w:tcW w:type="dxa" w:w="1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w:t>
                  </w:r>
                </w:p>
              </w:tc>
              <w:tc>
                <w:tcPr>
                  <w:tcW w:type="dxa" w:w="1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女</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女</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女</w:t>
                  </w:r>
                </w:p>
              </w:tc>
            </w:tr>
            <w:tr>
              <w:tc>
                <w:tcPr>
                  <w:tcW w:type="dxa" w:w="179"/>
                  <w:vMerge/>
                  <w:tcBorders>
                    <w:top w:val="single" w:color="000000" w:sz="4"/>
                    <w:left w:val="single" w:color="000000" w:sz="4"/>
                    <w:bottom w:val="single" w:color="000000" w:sz="4"/>
                    <w:right w:val="single" w:color="000000" w:sz="4"/>
                  </w:tcBorders>
                </w:tcPr>
                <w:p/>
              </w:tc>
              <w:tc>
                <w:tcPr>
                  <w:tcW w:type="dxa" w:w="418"/>
                  <w:vMerge/>
                  <w:tcBorders>
                    <w:top w:val="single" w:color="000000" w:sz="4"/>
                    <w:left w:val="none" w:color="000000" w:sz="4"/>
                    <w:bottom w:val="single" w:color="000000" w:sz="4"/>
                    <w:right w:val="single" w:color="000000" w:sz="4"/>
                  </w:tcBorders>
                </w:tcPr>
                <w:p/>
              </w:tc>
              <w:tc>
                <w:tcPr>
                  <w:tcW w:type="dxa" w:w="537"/>
                  <w:vMerge/>
                  <w:tcBorders>
                    <w:top w:val="single" w:color="000000" w:sz="4"/>
                    <w:left w:val="none" w:color="000000" w:sz="4"/>
                    <w:bottom w:val="single" w:color="000000" w:sz="4"/>
                    <w:right w:val="single" w:color="000000" w:sz="4"/>
                  </w:tcBorders>
                </w:tcPr>
                <w:p/>
              </w:tc>
              <w:tc>
                <w:tcPr>
                  <w:tcW w:type="dxa" w:w="173"/>
                  <w:vMerge/>
                  <w:tcBorders>
                    <w:top w:val="none" w:color="000000" w:sz="4"/>
                    <w:left w:val="none" w:color="000000" w:sz="4"/>
                    <w:bottom w:val="single" w:color="000000" w:sz="4"/>
                    <w:right w:val="single" w:color="000000" w:sz="4"/>
                  </w:tcBorders>
                </w:tcPr>
                <w:p/>
              </w:tc>
              <w:tc>
                <w:tcPr>
                  <w:tcW w:type="dxa" w:w="222"/>
                  <w:vMerge/>
                  <w:tcBorders>
                    <w:top w:val="none" w:color="000000" w:sz="4"/>
                    <w:left w:val="none" w:color="000000" w:sz="4"/>
                    <w:bottom w:val="single" w:color="000000" w:sz="4"/>
                    <w:right w:val="single" w:color="000000" w:sz="4"/>
                  </w:tcBorders>
                </w:tcPr>
                <w:p/>
              </w:tc>
              <w:tc>
                <w:tcPr>
                  <w:tcW w:type="dxa" w:w="157"/>
                  <w:vMerge/>
                  <w:tcBorders>
                    <w:top w:val="none" w:color="000000" w:sz="4"/>
                    <w:left w:val="none" w:color="000000" w:sz="4"/>
                    <w:bottom w:val="single" w:color="000000" w:sz="4"/>
                    <w:right w:val="single" w:color="000000" w:sz="4"/>
                  </w:tcBorders>
                </w:tcPr>
                <w:p/>
              </w:tc>
              <w:tc>
                <w:tcPr>
                  <w:tcW w:type="dxa" w:w="141"/>
                  <w:vMerge/>
                  <w:tcBorders>
                    <w:top w:val="single" w:color="000000" w:sz="4"/>
                    <w:left w:val="none" w:color="000000" w:sz="4"/>
                    <w:bottom w:val="single" w:color="000000" w:sz="4"/>
                    <w:right w:val="single" w:color="000000" w:sz="4"/>
                  </w:tcBorders>
                </w:tcPr>
                <w:p/>
              </w:tc>
              <w:tc>
                <w:tcPr>
                  <w:tcW w:type="dxa" w:w="3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≥40岁</w:t>
                  </w:r>
                </w:p>
              </w:tc>
              <w:tc>
                <w:tcPr>
                  <w:tcW w:type="dxa" w:w="3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40岁</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一般检查</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身高、体重、血压</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内科</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心脏、肺脏听诊、腹部检查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外科</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淋巴结有无肿大、甲状腺、乳腺、前列腺、肛肠有无异常、四肢（脊柱</w:t>
                  </w:r>
                  <w:r>
                    <w:rPr>
                      <w:rFonts w:ascii="仿宋_GB2312" w:hAnsi="仿宋_GB2312" w:cs="仿宋_GB2312" w:eastAsia="仿宋_GB2312"/>
                      <w:sz w:val="20"/>
                      <w:color w:val="000000"/>
                    </w:rPr>
                    <w:t>)有无畸形</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心电图</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心电图</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眼科</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视力</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眼底</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裂隙灯检查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血液检查</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血细胞分析</w:t>
                  </w:r>
                  <w:r>
                    <w:rPr>
                      <w:rFonts w:ascii="仿宋_GB2312" w:hAnsi="仿宋_GB2312" w:cs="仿宋_GB2312" w:eastAsia="仿宋_GB2312"/>
                      <w:sz w:val="20"/>
                      <w:color w:val="000000"/>
                    </w:rPr>
                    <w:t>+五分类</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血脂</w:t>
                  </w:r>
                  <w:r>
                    <w:rPr>
                      <w:rFonts w:ascii="仿宋_GB2312" w:hAnsi="仿宋_GB2312" w:cs="仿宋_GB2312" w:eastAsia="仿宋_GB2312"/>
                      <w:sz w:val="20"/>
                      <w:color w:val="000000"/>
                    </w:rPr>
                    <w:t>4项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空腹血糖</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糖化血红蛋白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肝功能</w:t>
                  </w:r>
                  <w:r>
                    <w:rPr>
                      <w:rFonts w:ascii="仿宋_GB2312" w:hAnsi="仿宋_GB2312" w:cs="仿宋_GB2312" w:eastAsia="仿宋_GB2312"/>
                      <w:sz w:val="20"/>
                      <w:color w:val="000000"/>
                    </w:rPr>
                    <w:t>10项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肾功能</w:t>
                  </w:r>
                  <w:r>
                    <w:rPr>
                      <w:rFonts w:ascii="仿宋_GB2312" w:hAnsi="仿宋_GB2312" w:cs="仿宋_GB2312" w:eastAsia="仿宋_GB2312"/>
                      <w:sz w:val="20"/>
                      <w:color w:val="000000"/>
                    </w:rPr>
                    <w:t>5项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肿瘤男三项（甲胎蛋白、癌胚抗原、前列腺特异性抗原）</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肿瘤女三项（甲胎蛋白、癌胚抗原、糖类抗原</w:t>
                  </w:r>
                  <w:r>
                    <w:rPr>
                      <w:rFonts w:ascii="仿宋_GB2312" w:hAnsi="仿宋_GB2312" w:cs="仿宋_GB2312" w:eastAsia="仿宋_GB2312"/>
                      <w:sz w:val="20"/>
                      <w:color w:val="000000"/>
                    </w:rPr>
                    <w:t>CA125）</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CA15-3（乳腺）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18"/>
                  <w:vMerge/>
                  <w:tcBorders>
                    <w:top w:val="none" w:color="000000" w:sz="4"/>
                    <w:left w:val="none" w:color="000000" w:sz="4"/>
                    <w:bottom w:val="non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糖类抗原</w:t>
                  </w:r>
                  <w:r>
                    <w:rPr>
                      <w:rFonts w:ascii="仿宋_GB2312" w:hAnsi="仿宋_GB2312" w:cs="仿宋_GB2312" w:eastAsia="仿宋_GB2312"/>
                      <w:sz w:val="20"/>
                      <w:color w:val="000000"/>
                    </w:rPr>
                    <w:t>CA19-9（胃肠道、胰腺、胆道系统）</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1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同型半胱氨酸</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1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风湿</w:t>
                  </w:r>
                  <w:r>
                    <w:rPr>
                      <w:rFonts w:ascii="仿宋_GB2312" w:hAnsi="仿宋_GB2312" w:cs="仿宋_GB2312" w:eastAsia="仿宋_GB2312"/>
                      <w:sz w:val="20"/>
                      <w:color w:val="000000"/>
                    </w:rPr>
                    <w:t>4项</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尿常规</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尿液分析</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彩色超声</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甲状腺彩超</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颈动脉彩超（双侧）</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双乳腺彩超</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上腹部彩超（肝、胆、脾、胰）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泌尿系彩超（双肾、输尿管、膀胱、前列腺）</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泌尿系彩超（双肾、输尿管、膀胱）</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妇科彩超（子宫、附件及周围组织）</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妇科检查</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妇科检查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白带常规</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宫颈刮片检查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其他检查（影像学提供云胶片，默认不出片，需要即打）</w:t>
                  </w: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颈椎侧位片（</w:t>
                  </w:r>
                  <w:r>
                    <w:rPr>
                      <w:rFonts w:ascii="仿宋_GB2312" w:hAnsi="仿宋_GB2312" w:cs="仿宋_GB2312" w:eastAsia="仿宋_GB2312"/>
                      <w:sz w:val="20"/>
                      <w:color w:val="000000"/>
                    </w:rPr>
                    <w:t>DR）</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单次多层</w:t>
                  </w:r>
                  <w:r>
                    <w:rPr>
                      <w:rFonts w:ascii="仿宋_GB2312" w:hAnsi="仿宋_GB2312" w:cs="仿宋_GB2312" w:eastAsia="仿宋_GB2312"/>
                      <w:sz w:val="20"/>
                      <w:color w:val="000000"/>
                    </w:rPr>
                    <w:t>CT平扫-胸部</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18"/>
                  <w:vMerge/>
                  <w:tcBorders>
                    <w:top w:val="none" w:color="000000" w:sz="4"/>
                    <w:left w:val="none" w:color="000000" w:sz="4"/>
                    <w:bottom w:val="single" w:color="000000" w:sz="4"/>
                    <w:right w:val="single" w:color="000000" w:sz="4"/>
                  </w:tcBorders>
                </w:tcPr>
                <w:p/>
              </w:tc>
              <w:tc>
                <w:tcPr>
                  <w:tcW w:type="dxa" w:w="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骨密度检测</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FF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体检形式：采取“集中组织与个人自行前往”相结合的方式。至少集中组织4次（在职教职工2次，其他两类人群各1次），集中体检时，若达到100人以上，需安排专场体检。根据采购人需要提供充足的车辆接送教职工，以上内容费用包含在报价中。 2.响应时效：即时响应（包括电话响应）；电话响应无法解决时，24小时内到达现场。重大阳性结果应在第一时间通知采购人。 3.体检时间：7月下旬至9月上旬（具体时间以合同约定为准）。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通过招标确定的中标体检机构所在地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1.供应商按合同约定完成参检人员体检项目，并按时交付个人体检报告及团体体检报告。 2.体检报告内容完整、数据准确，符合国家相关医疗规范； 3.体检过程中无重大医疗差错或安全事故； 4.采购人对体检服务满意，无重大投诉。 5.其他按磋商文件、响应文件及合同约定执行。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体检结束并经采购人验收合格，最终结算费根据不同人员及各年龄段固定单价，按实际到检人数计算，一次性付清服务费用。甲方向乙方付款前，乙方必须先提供等额的发票，在乙方提供后，方可办理付款手续（税票及其相关资料办理具体问题与学校财务部门咨询或协商），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1.本项目为固定单价采购，不进行价格分评审，各供应商在开标一览表中填写本项目最高限价。 2.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供应商具备有效期内的《医疗机构执业许可证》。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《放射诊疗许可证》</w:t>
            </w:r>
          </w:p>
        </w:tc>
        <w:tc>
          <w:tcPr>
            <w:tcW w:type="dxa" w:w="3322"/>
          </w:tcPr>
          <w:p>
            <w:pPr>
              <w:pStyle w:val="null3"/>
            </w:pPr>
            <w:r>
              <w:rPr>
                <w:rFonts w:ascii="仿宋_GB2312" w:hAnsi="仿宋_GB2312" w:cs="仿宋_GB2312" w:eastAsia="仿宋_GB2312"/>
              </w:rPr>
              <w:t>供应商具备有效期内的《放射诊疗许可证》。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(1)磋商响应文件未按照磋商文件规定要求签署、盖章的；(2)不满足本磋商文件中“服务期限、服务地点、采购资金的支付方式及约定、3.2.5其他要求”实质性条款要求的；(3)响应文件有效期不足的或无有效期的；(4)法律、法规和磋商文件规定的其他无效情形。</w:t>
            </w:r>
          </w:p>
        </w:tc>
        <w:tc>
          <w:tcPr>
            <w:tcW w:type="dxa" w:w="1661"/>
          </w:tcPr>
          <w:p>
            <w:pPr>
              <w:pStyle w:val="null3"/>
            </w:pPr>
            <w:r>
              <w:rPr>
                <w:rFonts w:ascii="仿宋_GB2312" w:hAnsi="仿宋_GB2312" w:cs="仿宋_GB2312" w:eastAsia="仿宋_GB2312"/>
              </w:rPr>
              <w:t>响应文件封面 服务响应与偏离表.docx 中小企业声明函 残疾人福利性单位声明函 标的清单 报价表 商务部分偏离表.docx 响应函 资格证明文件.docx 监狱企业的证明文件 分项价格表.docx 17其他资料.docx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供应商针对本项目提供整体服务方案，至少包含：①组织管理②现场引导③体检安排④检验检测⑤结果反馈⑥检后健康指导⑦服务规范及标准⑧卫生安全规范操作。 满足项目实施要求，无瑕疵计8分； 每存在一处瑕疵，扣1分； 上述内容均未提供或内容存在8处及以上瑕疵不计分。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1整体服务方案.docx</w:t>
            </w:r>
          </w:p>
        </w:tc>
      </w:tr>
      <w:tr>
        <w:tc>
          <w:tcPr>
            <w:tcW w:type="dxa" w:w="831"/>
            <w:vMerge/>
          </w:tcPr>
          <w:p/>
        </w:tc>
        <w:tc>
          <w:tcPr>
            <w:tcW w:type="dxa" w:w="1661"/>
          </w:tcPr>
          <w:p>
            <w:pPr>
              <w:pStyle w:val="null3"/>
            </w:pPr>
            <w:r>
              <w:rPr>
                <w:rFonts w:ascii="仿宋_GB2312" w:hAnsi="仿宋_GB2312" w:cs="仿宋_GB2312" w:eastAsia="仿宋_GB2312"/>
              </w:rPr>
              <w:t>配套服务方案</w:t>
            </w:r>
          </w:p>
        </w:tc>
        <w:tc>
          <w:tcPr>
            <w:tcW w:type="dxa" w:w="2492"/>
          </w:tcPr>
          <w:p>
            <w:pPr>
              <w:pStyle w:val="null3"/>
            </w:pPr>
            <w:r>
              <w:rPr>
                <w:rFonts w:ascii="仿宋_GB2312" w:hAnsi="仿宋_GB2312" w:cs="仿宋_GB2312" w:eastAsia="仿宋_GB2312"/>
              </w:rPr>
              <w:t>根据本项目要求提供配套服务方案，至少包含：①个人问诊咨询、体检报告解读②重大疾病及阳性病例的复检；③体检结果信息化查询④纸质版及时送达⑤体检结果数据异常⑥后续方案措施等体检名单及疾病分析汇总。 满足项目实施要求，无瑕疵计6分； 每存在一处瑕疵，扣1分； 上述内容均未提供或内容存在6处及以上瑕疵不计分。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2配套服务方案.docx</w:t>
            </w:r>
          </w:p>
        </w:tc>
      </w:tr>
      <w:tr>
        <w:tc>
          <w:tcPr>
            <w:tcW w:type="dxa" w:w="831"/>
            <w:vMerge/>
          </w:tcPr>
          <w:p/>
        </w:tc>
        <w:tc>
          <w:tcPr>
            <w:tcW w:type="dxa" w:w="1661"/>
          </w:tcPr>
          <w:p>
            <w:pPr>
              <w:pStyle w:val="null3"/>
            </w:pPr>
            <w:r>
              <w:rPr>
                <w:rFonts w:ascii="仿宋_GB2312" w:hAnsi="仿宋_GB2312" w:cs="仿宋_GB2312" w:eastAsia="仿宋_GB2312"/>
              </w:rPr>
              <w:t>增项体检项目1</w:t>
            </w:r>
          </w:p>
        </w:tc>
        <w:tc>
          <w:tcPr>
            <w:tcW w:type="dxa" w:w="2492"/>
          </w:tcPr>
          <w:p>
            <w:pPr>
              <w:pStyle w:val="null3"/>
            </w:pPr>
            <w:r>
              <w:rPr>
                <w:rFonts w:ascii="仿宋_GB2312" w:hAnsi="仿宋_GB2312" w:cs="仿宋_GB2312" w:eastAsia="仿宋_GB2312"/>
              </w:rPr>
              <w:t>其他项目套餐内容设置应针对不同人群、性别、年龄段情况具有针对性。至少包含：①年龄匹配度②性别专属项目设置③特殊人群增项④套餐设计是否附有临床指南/专家共识。 满足项目实施要求，无瑕疵计12分； 每存在一处瑕疵，扣3分； 上述内容均未提供或内容存在4处及以上瑕疵不计分。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3增项体检项目1.docx</w:t>
            </w:r>
          </w:p>
        </w:tc>
      </w:tr>
      <w:tr>
        <w:tc>
          <w:tcPr>
            <w:tcW w:type="dxa" w:w="831"/>
            <w:vMerge/>
          </w:tcPr>
          <w:p/>
        </w:tc>
        <w:tc>
          <w:tcPr>
            <w:tcW w:type="dxa" w:w="1661"/>
          </w:tcPr>
          <w:p>
            <w:pPr>
              <w:pStyle w:val="null3"/>
            </w:pPr>
            <w:r>
              <w:rPr>
                <w:rFonts w:ascii="仿宋_GB2312" w:hAnsi="仿宋_GB2312" w:cs="仿宋_GB2312" w:eastAsia="仿宋_GB2312"/>
              </w:rPr>
              <w:t>增项体检项目2</w:t>
            </w:r>
          </w:p>
        </w:tc>
        <w:tc>
          <w:tcPr>
            <w:tcW w:type="dxa" w:w="2492"/>
          </w:tcPr>
          <w:p>
            <w:pPr>
              <w:pStyle w:val="null3"/>
            </w:pPr>
            <w:r>
              <w:rPr>
                <w:rFonts w:ascii="仿宋_GB2312" w:hAnsi="仿宋_GB2312" w:cs="仿宋_GB2312" w:eastAsia="仿宋_GB2312"/>
              </w:rPr>
              <w:t>除必检项目外，由供应商从消化系统（C13呼气试验、胃泌素-17）、心脑血管系统（心脏彩超、头颅CT）、妇科（HPV+TCT检测）、内分泌系统（甲功5项）、呼吸系统（肺功能）等方向配置成套餐，应包含但不限于括号内项目。教职工在套餐里选择1个。 超出括号内列明项目之外，单价≥50元的新增项目（项目单价均不得高于本市同级三甲公立医疗机构现行公示收费标准），每项计2分，累计最高分10分，超出5项不再额外计分，未提供的不计分。 注：需提供增项体检项目价格证明并加盖供应商公章。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4增项体检项目2.docx</w:t>
            </w:r>
          </w:p>
        </w:tc>
      </w:tr>
      <w:tr>
        <w:tc>
          <w:tcPr>
            <w:tcW w:type="dxa" w:w="831"/>
            <w:vMerge/>
          </w:tcPr>
          <w:p/>
        </w:tc>
        <w:tc>
          <w:tcPr>
            <w:tcW w:type="dxa" w:w="1661"/>
          </w:tcPr>
          <w:p>
            <w:pPr>
              <w:pStyle w:val="null3"/>
            </w:pPr>
            <w:r>
              <w:rPr>
                <w:rFonts w:ascii="仿宋_GB2312" w:hAnsi="仿宋_GB2312" w:cs="仿宋_GB2312" w:eastAsia="仿宋_GB2312"/>
              </w:rPr>
              <w:t>拟投入本项目设备情况</w:t>
            </w:r>
          </w:p>
        </w:tc>
        <w:tc>
          <w:tcPr>
            <w:tcW w:type="dxa" w:w="2492"/>
          </w:tcPr>
          <w:p>
            <w:pPr>
              <w:pStyle w:val="null3"/>
            </w:pPr>
            <w:r>
              <w:rPr>
                <w:rFonts w:ascii="仿宋_GB2312" w:hAnsi="仿宋_GB2312" w:cs="仿宋_GB2312" w:eastAsia="仿宋_GB2312"/>
              </w:rPr>
              <w:t>供应商根据本项目体检内容提供相对应的仪器设备耗材，至少包含：①设备耗材规格型号②设备年限及设备种类、功能描述等。 满足项目实施要求，无瑕疵计5分； 每存在一处瑕疵，扣2.5分； 上述内容均未提供或内容存在2处及以上瑕疵不计分。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5拟投入本项目设备情况.docx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供应商针对本项目提供应急保障方案。内容至少包含：①体检过程中出现的医疗应急事件②设备故障③人员集中、排队等候时间过长④服务期内未完成服务要求的应对措施等。 满足项目实施要求，无瑕疵计8分； 每存在一处瑕疵，扣2分； 上述内容均未提供或内容存在4处及以上瑕疵不计分。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6应急保障方案.docx</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针对本项目提供主要体检服务地点情况，要求各诊室独立，保护参检人员隐私，且可满足高峰接待需求，提供主要体检地点布局图、场地照片及房屋租赁或自有证明。①所提供的体检地点面积≥3000㎡，计5分；②所提供的体检地点面积≥2000㎡，计4分；③所提供的体检地点面积≥1000㎡，计3分；④所提供的体检地点面积≥500㎡，计2分；⑤所提供的体检地点面积＜500㎡，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7体检环境.docx</w:t>
            </w:r>
          </w:p>
        </w:tc>
      </w:tr>
      <w:tr>
        <w:tc>
          <w:tcPr>
            <w:tcW w:type="dxa" w:w="831"/>
            <w:vMerge/>
          </w:tcPr>
          <w:p/>
        </w:tc>
        <w:tc>
          <w:tcPr>
            <w:tcW w:type="dxa" w:w="1661"/>
          </w:tcPr>
          <w:p>
            <w:pPr>
              <w:pStyle w:val="null3"/>
            </w:pPr>
            <w:r>
              <w:rPr>
                <w:rFonts w:ascii="仿宋_GB2312" w:hAnsi="仿宋_GB2312" w:cs="仿宋_GB2312" w:eastAsia="仿宋_GB2312"/>
              </w:rPr>
              <w:t>拟投入团队人员情况</w:t>
            </w:r>
          </w:p>
        </w:tc>
        <w:tc>
          <w:tcPr>
            <w:tcW w:type="dxa" w:w="2492"/>
          </w:tcPr>
          <w:p>
            <w:pPr>
              <w:pStyle w:val="null3"/>
            </w:pPr>
            <w:r>
              <w:rPr>
                <w:rFonts w:ascii="仿宋_GB2312" w:hAnsi="仿宋_GB2312" w:cs="仿宋_GB2312" w:eastAsia="仿宋_GB2312"/>
              </w:rPr>
              <w:t>根据供应商拟投入本项目的团队人员情况进行评审： 1、具有副主任医师或副高职称级别（或以上）的，每提供一个证书得1分，最高得2分； 2、具有主治医师或主管技师级别（或以上）的，每提供一个证书得0.5分，最高得2分。 注：以上两项需提供相关人员的执业许可证或职称证，否则不得分。（同一人提供多个证书的，按一个计算）。 3、拟投入本项目的医技人员情况： （1）医技人员数量≥15人的，得4分； （2）15人＞医技人员数量≥12人的，得2分； （3）12人＞医技人员数量≥10人的，得1分； （4）其他情况不得分。 以上三项累计最高得8分。 注：需提供团队人员清单（包含姓名、性别、年龄、岗位、职称、职务、目前所在科室等信息），否则不得分。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8拟投入团队人员情况.docx</w:t>
            </w:r>
          </w:p>
        </w:tc>
      </w:tr>
      <w:tr>
        <w:tc>
          <w:tcPr>
            <w:tcW w:type="dxa" w:w="831"/>
            <w:vMerge/>
          </w:tcPr>
          <w:p/>
        </w:tc>
        <w:tc>
          <w:tcPr>
            <w:tcW w:type="dxa" w:w="1661"/>
          </w:tcPr>
          <w:p>
            <w:pPr>
              <w:pStyle w:val="null3"/>
            </w:pPr>
            <w:r>
              <w:rPr>
                <w:rFonts w:ascii="仿宋_GB2312" w:hAnsi="仿宋_GB2312" w:cs="仿宋_GB2312" w:eastAsia="仿宋_GB2312"/>
              </w:rPr>
              <w:t>承诺1</w:t>
            </w:r>
          </w:p>
        </w:tc>
        <w:tc>
          <w:tcPr>
            <w:tcW w:type="dxa" w:w="2492"/>
          </w:tcPr>
          <w:p>
            <w:pPr>
              <w:pStyle w:val="null3"/>
            </w:pPr>
            <w:r>
              <w:rPr>
                <w:rFonts w:ascii="仿宋_GB2312" w:hAnsi="仿宋_GB2312" w:cs="仿宋_GB2312" w:eastAsia="仿宋_GB2312"/>
              </w:rPr>
              <w:t>供应商应严格遵守全部人员的检测结果及相关信息保密，承诺不得泄漏一切相关检测信息等，提供承诺函计2分，未提供不计分。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9承诺1.docx</w:t>
            </w:r>
          </w:p>
        </w:tc>
      </w:tr>
      <w:tr>
        <w:tc>
          <w:tcPr>
            <w:tcW w:type="dxa" w:w="831"/>
            <w:vMerge/>
          </w:tcPr>
          <w:p/>
        </w:tc>
        <w:tc>
          <w:tcPr>
            <w:tcW w:type="dxa" w:w="1661"/>
          </w:tcPr>
          <w:p>
            <w:pPr>
              <w:pStyle w:val="null3"/>
            </w:pPr>
            <w:r>
              <w:rPr>
                <w:rFonts w:ascii="仿宋_GB2312" w:hAnsi="仿宋_GB2312" w:cs="仿宋_GB2312" w:eastAsia="仿宋_GB2312"/>
              </w:rPr>
              <w:t>承诺2</w:t>
            </w:r>
          </w:p>
        </w:tc>
        <w:tc>
          <w:tcPr>
            <w:tcW w:type="dxa" w:w="2492"/>
          </w:tcPr>
          <w:p>
            <w:pPr>
              <w:pStyle w:val="null3"/>
            </w:pPr>
            <w:r>
              <w:rPr>
                <w:rFonts w:ascii="仿宋_GB2312" w:hAnsi="仿宋_GB2312" w:cs="仿宋_GB2312" w:eastAsia="仿宋_GB2312"/>
              </w:rPr>
              <w:t>个人自选项目：供应商承诺教职工可根据自身需求，提供除必检项目+增项体检项目套餐外的项目目录，供教职工自选，费用自理。目录须注明原价、折扣及折扣后价格，每项单价均不得高于本市同级三甲公立医疗机构现行公示收费标准。且教职工家属可享受中标体检项目套餐同等优惠服务。提供承诺函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10承诺2.docx</w:t>
            </w:r>
          </w:p>
        </w:tc>
      </w:tr>
      <w:tr>
        <w:tc>
          <w:tcPr>
            <w:tcW w:type="dxa" w:w="831"/>
            <w:vMerge/>
          </w:tcPr>
          <w:p/>
        </w:tc>
        <w:tc>
          <w:tcPr>
            <w:tcW w:type="dxa" w:w="1661"/>
          </w:tcPr>
          <w:p>
            <w:pPr>
              <w:pStyle w:val="null3"/>
            </w:pPr>
            <w:r>
              <w:rPr>
                <w:rFonts w:ascii="仿宋_GB2312" w:hAnsi="仿宋_GB2312" w:cs="仿宋_GB2312" w:eastAsia="仿宋_GB2312"/>
              </w:rPr>
              <w:t>折扣</w:t>
            </w:r>
          </w:p>
        </w:tc>
        <w:tc>
          <w:tcPr>
            <w:tcW w:type="dxa" w:w="2492"/>
          </w:tcPr>
          <w:p>
            <w:pPr>
              <w:pStyle w:val="null3"/>
            </w:pPr>
            <w:r>
              <w:rPr>
                <w:rFonts w:ascii="仿宋_GB2312" w:hAnsi="仿宋_GB2312" w:cs="仿宋_GB2312" w:eastAsia="仿宋_GB2312"/>
              </w:rPr>
              <w:t>针对承诺2中供应商所给出的折扣进行评审，折扣得分统一采用低价优先法计算，即最低折扣为评分基准价，此项得分为满分6分。其他供应商的得分统一按照下列公式计算：折扣得分=(评标基准价／折扣)×分值（6分）计算分数时四舍五入取小数点后两位，未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11折扣.docx</w:t>
            </w:r>
          </w:p>
        </w:tc>
      </w:tr>
      <w:tr>
        <w:tc>
          <w:tcPr>
            <w:tcW w:type="dxa" w:w="831"/>
            <w:vMerge/>
          </w:tcPr>
          <w:p/>
        </w:tc>
        <w:tc>
          <w:tcPr>
            <w:tcW w:type="dxa" w:w="1661"/>
          </w:tcPr>
          <w:p>
            <w:pPr>
              <w:pStyle w:val="null3"/>
            </w:pPr>
            <w:r>
              <w:rPr>
                <w:rFonts w:ascii="仿宋_GB2312" w:hAnsi="仿宋_GB2312" w:cs="仿宋_GB2312" w:eastAsia="仿宋_GB2312"/>
              </w:rPr>
              <w:t>承诺3</w:t>
            </w:r>
          </w:p>
        </w:tc>
        <w:tc>
          <w:tcPr>
            <w:tcW w:type="dxa" w:w="2492"/>
          </w:tcPr>
          <w:p>
            <w:pPr>
              <w:pStyle w:val="null3"/>
            </w:pPr>
            <w:r>
              <w:rPr>
                <w:rFonts w:ascii="仿宋_GB2312" w:hAnsi="仿宋_GB2312" w:cs="仿宋_GB2312" w:eastAsia="仿宋_GB2312"/>
              </w:rPr>
              <w:t>供应商承诺至少为采购人安排2次以上到采购人单位的体检报告解读分析，提供承诺函计2分，未提供不计分。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12承诺3.docx</w:t>
            </w:r>
          </w:p>
        </w:tc>
      </w:tr>
      <w:tr>
        <w:tc>
          <w:tcPr>
            <w:tcW w:type="dxa" w:w="831"/>
            <w:vMerge/>
          </w:tcPr>
          <w:p/>
        </w:tc>
        <w:tc>
          <w:tcPr>
            <w:tcW w:type="dxa" w:w="1661"/>
          </w:tcPr>
          <w:p>
            <w:pPr>
              <w:pStyle w:val="null3"/>
            </w:pPr>
            <w:r>
              <w:rPr>
                <w:rFonts w:ascii="仿宋_GB2312" w:hAnsi="仿宋_GB2312" w:cs="仿宋_GB2312" w:eastAsia="仿宋_GB2312"/>
              </w:rPr>
              <w:t>承诺4</w:t>
            </w:r>
          </w:p>
        </w:tc>
        <w:tc>
          <w:tcPr>
            <w:tcW w:type="dxa" w:w="2492"/>
          </w:tcPr>
          <w:p>
            <w:pPr>
              <w:pStyle w:val="null3"/>
            </w:pPr>
            <w:r>
              <w:rPr>
                <w:rFonts w:ascii="仿宋_GB2312" w:hAnsi="仿宋_GB2312" w:cs="仿宋_GB2312" w:eastAsia="仿宋_GB2312"/>
              </w:rPr>
              <w:t>承诺至少集中组织4次体检（在职教职工2次，其他两类人群各1次），集中体检时，若达到100人以上，需安排专场体检。根据采购人需要提供充足的车辆接送教职工，以上内容费用包含在报价中。提供承诺函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13承诺4.docx</w:t>
            </w:r>
          </w:p>
        </w:tc>
      </w:tr>
      <w:tr>
        <w:tc>
          <w:tcPr>
            <w:tcW w:type="dxa" w:w="831"/>
            <w:vMerge/>
          </w:tcPr>
          <w:p/>
        </w:tc>
        <w:tc>
          <w:tcPr>
            <w:tcW w:type="dxa" w:w="1661"/>
          </w:tcPr>
          <w:p>
            <w:pPr>
              <w:pStyle w:val="null3"/>
            </w:pPr>
            <w:r>
              <w:rPr>
                <w:rFonts w:ascii="仿宋_GB2312" w:hAnsi="仿宋_GB2312" w:cs="仿宋_GB2312" w:eastAsia="仿宋_GB2312"/>
              </w:rPr>
              <w:t>承诺5</w:t>
            </w:r>
          </w:p>
        </w:tc>
        <w:tc>
          <w:tcPr>
            <w:tcW w:type="dxa" w:w="2492"/>
          </w:tcPr>
          <w:p>
            <w:pPr>
              <w:pStyle w:val="null3"/>
            </w:pPr>
            <w:r>
              <w:rPr>
                <w:rFonts w:ascii="仿宋_GB2312" w:hAnsi="仿宋_GB2312" w:cs="仿宋_GB2312" w:eastAsia="仿宋_GB2312"/>
              </w:rPr>
              <w:t>承诺自签订合同之日起一年内，提供专家义诊和健康讲座各4场（共8场），为采购人大型活动提供医疗救护车（含救护车医疗设备及司机、医生、护士各1人）和医疗保障服务（需配备医生、护士各1人）各3次，每次1天（如运动会、大型赛事等）。 满足以上得5分。每增加一次医疗救护车或医疗保障服务，加1分，最高得5分。（超出5分不再额外计分），累计最高得10分。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14承诺5.docx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①供应商每提供1条经评审小组一致认定有益于项目执行的合理化建议计1分，满分4分。 ②供应商针对本项⽬提供明确的增值服务，至少包含：医学跟踪、院内（外）转诊、优先住院、专家会诊等绿色通道服务，每有一个关键点计1分，满分3分，未提供不计分。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16合理化建议及增值服务.docx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详见附件：1整体服务方案.docx</w:t>
      </w:r>
    </w:p>
    <w:p>
      <w:pPr>
        <w:pStyle w:val="null3"/>
        <w:ind w:firstLine="960"/>
      </w:pPr>
      <w:r>
        <w:rPr>
          <w:rFonts w:ascii="仿宋_GB2312" w:hAnsi="仿宋_GB2312" w:cs="仿宋_GB2312" w:eastAsia="仿宋_GB2312"/>
        </w:rPr>
        <w:t>详见附件：2配套服务方案.docx</w:t>
      </w:r>
    </w:p>
    <w:p>
      <w:pPr>
        <w:pStyle w:val="null3"/>
        <w:ind w:firstLine="960"/>
      </w:pPr>
      <w:r>
        <w:rPr>
          <w:rFonts w:ascii="仿宋_GB2312" w:hAnsi="仿宋_GB2312" w:cs="仿宋_GB2312" w:eastAsia="仿宋_GB2312"/>
        </w:rPr>
        <w:t>详见附件：3增项体检项目1.docx</w:t>
      </w:r>
    </w:p>
    <w:p>
      <w:pPr>
        <w:pStyle w:val="null3"/>
        <w:ind w:firstLine="960"/>
      </w:pPr>
      <w:r>
        <w:rPr>
          <w:rFonts w:ascii="仿宋_GB2312" w:hAnsi="仿宋_GB2312" w:cs="仿宋_GB2312" w:eastAsia="仿宋_GB2312"/>
        </w:rPr>
        <w:t>详见附件：4增项体检项目2.docx</w:t>
      </w:r>
    </w:p>
    <w:p>
      <w:pPr>
        <w:pStyle w:val="null3"/>
        <w:ind w:firstLine="960"/>
      </w:pPr>
      <w:r>
        <w:rPr>
          <w:rFonts w:ascii="仿宋_GB2312" w:hAnsi="仿宋_GB2312" w:cs="仿宋_GB2312" w:eastAsia="仿宋_GB2312"/>
        </w:rPr>
        <w:t>详见附件：5拟投入本项目设备情况.docx</w:t>
      </w:r>
    </w:p>
    <w:p>
      <w:pPr>
        <w:pStyle w:val="null3"/>
        <w:ind w:firstLine="960"/>
      </w:pPr>
      <w:r>
        <w:rPr>
          <w:rFonts w:ascii="仿宋_GB2312" w:hAnsi="仿宋_GB2312" w:cs="仿宋_GB2312" w:eastAsia="仿宋_GB2312"/>
        </w:rPr>
        <w:t>详见附件：6应急保障方案.docx</w:t>
      </w:r>
    </w:p>
    <w:p>
      <w:pPr>
        <w:pStyle w:val="null3"/>
        <w:ind w:firstLine="960"/>
      </w:pPr>
      <w:r>
        <w:rPr>
          <w:rFonts w:ascii="仿宋_GB2312" w:hAnsi="仿宋_GB2312" w:cs="仿宋_GB2312" w:eastAsia="仿宋_GB2312"/>
        </w:rPr>
        <w:t>详见附件：7体检环境.docx</w:t>
      </w:r>
    </w:p>
    <w:p>
      <w:pPr>
        <w:pStyle w:val="null3"/>
        <w:ind w:firstLine="960"/>
      </w:pPr>
      <w:r>
        <w:rPr>
          <w:rFonts w:ascii="仿宋_GB2312" w:hAnsi="仿宋_GB2312" w:cs="仿宋_GB2312" w:eastAsia="仿宋_GB2312"/>
        </w:rPr>
        <w:t>详见附件：8拟投入团队人员情况.docx</w:t>
      </w:r>
    </w:p>
    <w:p>
      <w:pPr>
        <w:pStyle w:val="null3"/>
        <w:ind w:firstLine="960"/>
      </w:pPr>
      <w:r>
        <w:rPr>
          <w:rFonts w:ascii="仿宋_GB2312" w:hAnsi="仿宋_GB2312" w:cs="仿宋_GB2312" w:eastAsia="仿宋_GB2312"/>
        </w:rPr>
        <w:t>详见附件：9承诺1.docx</w:t>
      </w:r>
    </w:p>
    <w:p>
      <w:pPr>
        <w:pStyle w:val="null3"/>
        <w:ind w:firstLine="960"/>
      </w:pPr>
      <w:r>
        <w:rPr>
          <w:rFonts w:ascii="仿宋_GB2312" w:hAnsi="仿宋_GB2312" w:cs="仿宋_GB2312" w:eastAsia="仿宋_GB2312"/>
        </w:rPr>
        <w:t>详见附件：10承诺2.docx</w:t>
      </w:r>
    </w:p>
    <w:p>
      <w:pPr>
        <w:pStyle w:val="null3"/>
        <w:ind w:firstLine="960"/>
      </w:pPr>
      <w:r>
        <w:rPr>
          <w:rFonts w:ascii="仿宋_GB2312" w:hAnsi="仿宋_GB2312" w:cs="仿宋_GB2312" w:eastAsia="仿宋_GB2312"/>
        </w:rPr>
        <w:t>详见附件：11折扣.docx</w:t>
      </w:r>
    </w:p>
    <w:p>
      <w:pPr>
        <w:pStyle w:val="null3"/>
        <w:ind w:firstLine="960"/>
      </w:pPr>
      <w:r>
        <w:rPr>
          <w:rFonts w:ascii="仿宋_GB2312" w:hAnsi="仿宋_GB2312" w:cs="仿宋_GB2312" w:eastAsia="仿宋_GB2312"/>
        </w:rPr>
        <w:t>详见附件：12承诺3.docx</w:t>
      </w:r>
    </w:p>
    <w:p>
      <w:pPr>
        <w:pStyle w:val="null3"/>
        <w:ind w:firstLine="960"/>
      </w:pPr>
      <w:r>
        <w:rPr>
          <w:rFonts w:ascii="仿宋_GB2312" w:hAnsi="仿宋_GB2312" w:cs="仿宋_GB2312" w:eastAsia="仿宋_GB2312"/>
        </w:rPr>
        <w:t>详见附件：13承诺4.docx</w:t>
      </w:r>
    </w:p>
    <w:p>
      <w:pPr>
        <w:pStyle w:val="null3"/>
        <w:ind w:firstLine="960"/>
      </w:pPr>
      <w:r>
        <w:rPr>
          <w:rFonts w:ascii="仿宋_GB2312" w:hAnsi="仿宋_GB2312" w:cs="仿宋_GB2312" w:eastAsia="仿宋_GB2312"/>
        </w:rPr>
        <w:t>详见附件：14承诺5.docx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详见附件：16合理化建议及增值服务.docx</w:t>
      </w:r>
    </w:p>
    <w:p>
      <w:pPr>
        <w:pStyle w:val="null3"/>
        <w:ind w:firstLine="960"/>
      </w:pPr>
      <w:r>
        <w:rPr>
          <w:rFonts w:ascii="仿宋_GB2312" w:hAnsi="仿宋_GB2312" w:cs="仿宋_GB2312" w:eastAsia="仿宋_GB2312"/>
        </w:rPr>
        <w:t>详见附件：17其他资料.docx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