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版本号：JZDCG-2026-02120260507001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2025年度蒲城县紫荆街道三义村“千万工程”市级财政奖补资金建设项目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JZDCG-2026-021</w:t>
      </w:r>
      <w:r>
        <w:br/>
      </w:r>
      <w:r>
        <w:br/>
      </w:r>
      <w:r>
        <w:br/>
      </w:r>
    </w:p>
    <w:p>
      <w:pPr>
        <w:pStyle w:val="null3"/>
        <w:jc w:val="center"/>
        <w:outlineLvl w:val="2"/>
      </w:pPr>
      <w:r>
        <w:rPr>
          <w:rFonts w:ascii="仿宋_GB2312" w:hAnsi="仿宋_GB2312" w:cs="仿宋_GB2312" w:eastAsia="仿宋_GB2312"/>
          <w:sz w:val="28"/>
          <w:b/>
        </w:rPr>
        <w:t>蒲城县紫荆街道办事处</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蒲城县紫荆街道办事处</w:t>
      </w:r>
      <w:r>
        <w:rPr>
          <w:rFonts w:ascii="仿宋_GB2312" w:hAnsi="仿宋_GB2312" w:cs="仿宋_GB2312" w:eastAsia="仿宋_GB2312"/>
        </w:rPr>
        <w:t>委托，拟对</w:t>
      </w:r>
      <w:r>
        <w:rPr>
          <w:rFonts w:ascii="仿宋_GB2312" w:hAnsi="仿宋_GB2312" w:cs="仿宋_GB2312" w:eastAsia="仿宋_GB2312"/>
        </w:rPr>
        <w:t>2025年度蒲城县紫荆街道三义村“千万工程”市级财政奖补资金建设项目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2025年度蒲城县紫荆街道三义村“千万工程”市级财政奖补资金建设项目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本项目为2025年度蒲城县紫荆街道三义村“千万工程”市级财政奖补资金建设项目，具体采购内容包含：挖掘机一台、拖车一辆，具体要求详见采购文件。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11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3、税收缴纳证明：自2025年11月01日以来已缴存的至少一个月的纳税证明或完税证明，纳税证明或完税证明上应有代收机构或税务机关的公章或业务专用章。依法免税的投标人应提供相关文件证明；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蒲城县紫荆街道办事处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蒲城县重泉路南段(城南学校背后)</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13399239976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王军、曹莹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采购包1：405,600.00元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2、代理服务费的交纳方式：由中标人在领取中标通知书前向采购代理机构一次性支付；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蒲城县紫荆街道办事处</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蒲城县紫荆街道办事处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蒲城县紫荆街道办事处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联系人：王军、曹莹</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本项目为2025年度蒲城县紫荆街道三义村“千万工程”市级财政奖补资金建设项目，具体采购内容包含：挖掘机一台、拖车一辆，具体要求详见采购文件。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405,600.00</w:t>
      </w:r>
    </w:p>
    <w:p>
      <w:pPr>
        <w:pStyle w:val="null3"/>
      </w:pPr>
      <w:r>
        <w:rPr>
          <w:rFonts w:ascii="仿宋_GB2312" w:hAnsi="仿宋_GB2312" w:cs="仿宋_GB2312" w:eastAsia="仿宋_GB2312"/>
        </w:rPr>
        <w:t>采购包最高限价（元）: 405,600.00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挖掘机一辆和拖车一辆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405,600.00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标的名称：挖掘机一辆和拖车一辆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一、挖掘机</w:t>
            </w:r>
          </w:p>
          <w:p>
            <w:pPr>
              <w:pStyle w:val="null3"/>
            </w:pPr>
            <w:r>
              <w:rPr>
                <w:rFonts w:ascii="仿宋_GB2312" w:hAnsi="仿宋_GB2312" w:cs="仿宋_GB2312" w:eastAsia="仿宋_GB2312"/>
                <w:sz w:val="24"/>
              </w:rPr>
              <w:t>（</w:t>
            </w:r>
            <w:r>
              <w:rPr>
                <w:rFonts w:ascii="仿宋_GB2312" w:hAnsi="仿宋_GB2312" w:cs="仿宋_GB2312" w:eastAsia="仿宋_GB2312"/>
                <w:sz w:val="24"/>
              </w:rPr>
              <w:t>1）整机基础</w:t>
            </w:r>
          </w:p>
          <w:p>
            <w:pPr>
              <w:pStyle w:val="null3"/>
            </w:pPr>
            <w:r>
              <w:rPr>
                <w:rFonts w:ascii="仿宋_GB2312" w:hAnsi="仿宋_GB2312" w:cs="仿宋_GB2312" w:eastAsia="仿宋_GB2312"/>
                <w:sz w:val="24"/>
              </w:rPr>
              <w:t>1.总长：≤6200mm。</w:t>
            </w:r>
          </w:p>
          <w:p>
            <w:pPr>
              <w:pStyle w:val="null3"/>
            </w:pPr>
            <w:r>
              <w:rPr>
                <w:rFonts w:ascii="仿宋_GB2312" w:hAnsi="仿宋_GB2312" w:cs="仿宋_GB2312" w:eastAsia="仿宋_GB2312"/>
                <w:sz w:val="24"/>
              </w:rPr>
              <w:t>2.总宽：≤2200mm。</w:t>
            </w:r>
          </w:p>
          <w:p>
            <w:pPr>
              <w:pStyle w:val="null3"/>
            </w:pPr>
            <w:r>
              <w:rPr>
                <w:rFonts w:ascii="仿宋_GB2312" w:hAnsi="仿宋_GB2312" w:cs="仿宋_GB2312" w:eastAsia="仿宋_GB2312"/>
                <w:sz w:val="24"/>
              </w:rPr>
              <w:t>3.总高：≤2750mm。</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.整机操作重量：</w:t>
            </w:r>
            <w:r>
              <w:rPr>
                <w:rFonts w:ascii="仿宋_GB2312" w:hAnsi="仿宋_GB2312" w:cs="仿宋_GB2312" w:eastAsia="仿宋_GB2312"/>
                <w:sz w:val="24"/>
              </w:rPr>
              <w:t>5500</w:t>
            </w:r>
            <w:r>
              <w:rPr>
                <w:rFonts w:ascii="仿宋_GB2312" w:hAnsi="仿宋_GB2312" w:cs="仿宋_GB2312" w:eastAsia="仿宋_GB2312"/>
                <w:sz w:val="24"/>
              </w:rPr>
              <w:t>kg</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200</w:t>
            </w:r>
            <w:r>
              <w:rPr>
                <w:rFonts w:ascii="仿宋_GB2312" w:hAnsi="仿宋_GB2312" w:cs="仿宋_GB2312" w:eastAsia="仿宋_GB2312"/>
                <w:sz w:val="24"/>
              </w:rPr>
              <w:t>kg。</w:t>
            </w:r>
          </w:p>
          <w:p>
            <w:pPr>
              <w:pStyle w:val="null3"/>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.斗容：≥0.24</w:t>
            </w:r>
            <w:r>
              <w:rPr>
                <w:rFonts w:ascii="仿宋_GB2312" w:hAnsi="仿宋_GB2312" w:cs="仿宋_GB2312" w:eastAsia="仿宋_GB2312"/>
                <w:sz w:val="24"/>
                <w:vertAlign w:val="superscript"/>
              </w:rPr>
              <w:t>m3</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.履带板宽度：≥400mm。</w:t>
            </w:r>
          </w:p>
          <w:p>
            <w:pPr>
              <w:pStyle w:val="null3"/>
            </w:pPr>
            <w:r>
              <w:rPr>
                <w:rFonts w:ascii="仿宋_GB2312" w:hAnsi="仿宋_GB2312" w:cs="仿宋_GB2312" w:eastAsia="仿宋_GB2312"/>
                <w:sz w:val="24"/>
              </w:rPr>
              <w:t>7</w:t>
            </w:r>
            <w:r>
              <w:rPr>
                <w:rFonts w:ascii="仿宋_GB2312" w:hAnsi="仿宋_GB2312" w:cs="仿宋_GB2312" w:eastAsia="仿宋_GB2312"/>
                <w:sz w:val="24"/>
              </w:rPr>
              <w:t>.综合油耗：≤7L/h。</w:t>
            </w:r>
          </w:p>
          <w:p>
            <w:pPr>
              <w:pStyle w:val="null3"/>
            </w:pPr>
            <w:r>
              <w:rPr>
                <w:rFonts w:ascii="仿宋_GB2312" w:hAnsi="仿宋_GB2312" w:cs="仿宋_GB2312" w:eastAsia="仿宋_GB2312"/>
                <w:sz w:val="24"/>
              </w:rPr>
              <w:t>8</w:t>
            </w:r>
            <w:r>
              <w:rPr>
                <w:rFonts w:ascii="仿宋_GB2312" w:hAnsi="仿宋_GB2312" w:cs="仿宋_GB2312" w:eastAsia="仿宋_GB2312"/>
                <w:sz w:val="24"/>
              </w:rPr>
              <w:t>.配有耐磨斗齿、斗齿更换</w:t>
            </w:r>
            <w:r>
              <w:rPr>
                <w:rFonts w:ascii="仿宋_GB2312" w:hAnsi="仿宋_GB2312" w:cs="仿宋_GB2312" w:eastAsia="仿宋_GB2312"/>
                <w:sz w:val="24"/>
              </w:rPr>
              <w:t>方便</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2）动力系统</w:t>
            </w:r>
          </w:p>
          <w:p>
            <w:pPr>
              <w:pStyle w:val="null3"/>
            </w:pPr>
            <w:r>
              <w:rPr>
                <w:rFonts w:ascii="仿宋_GB2312" w:hAnsi="仿宋_GB2312" w:cs="仿宋_GB2312" w:eastAsia="仿宋_GB2312"/>
                <w:sz w:val="24"/>
              </w:rPr>
              <w:t>★1.额定功率：≥35kW。</w:t>
            </w:r>
          </w:p>
          <w:p>
            <w:pPr>
              <w:pStyle w:val="null3"/>
            </w:pPr>
            <w:r>
              <w:rPr>
                <w:rFonts w:ascii="仿宋_GB2312" w:hAnsi="仿宋_GB2312" w:cs="仿宋_GB2312" w:eastAsia="仿宋_GB2312"/>
                <w:sz w:val="24"/>
              </w:rPr>
              <w:t>▲2.最大扭矩：≥170Nm。</w:t>
            </w:r>
          </w:p>
          <w:p>
            <w:pPr>
              <w:pStyle w:val="null3"/>
            </w:pPr>
            <w:r>
              <w:rPr>
                <w:rFonts w:ascii="仿宋_GB2312" w:hAnsi="仿宋_GB2312" w:cs="仿宋_GB2312" w:eastAsia="仿宋_GB2312"/>
                <w:sz w:val="24"/>
              </w:rPr>
              <w:t>★</w:t>
            </w:r>
            <w:r>
              <w:rPr>
                <w:rFonts w:ascii="仿宋_GB2312" w:hAnsi="仿宋_GB2312" w:cs="仿宋_GB2312" w:eastAsia="仿宋_GB2312"/>
                <w:sz w:val="24"/>
              </w:rPr>
              <w:t>3.排量：</w:t>
            </w:r>
            <w:r>
              <w:rPr>
                <w:rFonts w:ascii="仿宋_GB2312" w:hAnsi="仿宋_GB2312" w:cs="仿宋_GB2312" w:eastAsia="仿宋_GB2312"/>
                <w:sz w:val="24"/>
              </w:rPr>
              <w:t>≥2.</w:t>
            </w:r>
            <w:r>
              <w:rPr>
                <w:rFonts w:ascii="仿宋_GB2312" w:hAnsi="仿宋_GB2312" w:cs="仿宋_GB2312" w:eastAsia="仿宋_GB2312"/>
                <w:sz w:val="24"/>
              </w:rPr>
              <w:t>5L</w:t>
            </w:r>
            <w:r>
              <w:rPr>
                <w:rFonts w:ascii="仿宋_GB2312" w:hAnsi="仿宋_GB2312" w:cs="仿宋_GB2312" w:eastAsia="仿宋_GB2312"/>
                <w:sz w:val="24"/>
              </w:rPr>
              <w:t>。</w:t>
            </w:r>
          </w:p>
          <w:p>
            <w:pPr>
              <w:pStyle w:val="null3"/>
            </w:pPr>
            <w:r>
              <w:rPr>
                <w:rFonts w:ascii="仿宋_GB2312" w:hAnsi="仿宋_GB2312" w:cs="仿宋_GB2312" w:eastAsia="仿宋_GB2312"/>
                <w:sz w:val="24"/>
              </w:rPr>
              <w:t>4.四冲程水冷直喷柴油发动机。</w:t>
            </w:r>
          </w:p>
          <w:p>
            <w:pPr>
              <w:pStyle w:val="null3"/>
            </w:pPr>
            <w:r>
              <w:rPr>
                <w:rFonts w:ascii="仿宋_GB2312" w:hAnsi="仿宋_GB2312" w:cs="仿宋_GB2312" w:eastAsia="仿宋_GB2312"/>
                <w:sz w:val="24"/>
              </w:rPr>
              <w:t>5.排放标准：符合《GB 20891-2014》相关规定。</w:t>
            </w:r>
          </w:p>
          <w:p>
            <w:pPr>
              <w:pStyle w:val="null3"/>
            </w:pPr>
            <w:r>
              <w:rPr>
                <w:rFonts w:ascii="仿宋_GB2312" w:hAnsi="仿宋_GB2312" w:cs="仿宋_GB2312" w:eastAsia="仿宋_GB2312"/>
                <w:sz w:val="24"/>
              </w:rPr>
              <w:t>▲</w:t>
            </w:r>
            <w:r>
              <w:rPr>
                <w:rFonts w:ascii="仿宋_GB2312" w:hAnsi="仿宋_GB2312" w:cs="仿宋_GB2312" w:eastAsia="仿宋_GB2312"/>
                <w:sz w:val="24"/>
              </w:rPr>
              <w:t>6.油箱容积（燃油）：</w:t>
            </w:r>
            <w:r>
              <w:rPr>
                <w:rFonts w:ascii="仿宋_GB2312" w:hAnsi="仿宋_GB2312" w:cs="仿宋_GB2312" w:eastAsia="仿宋_GB2312"/>
                <w:sz w:val="24"/>
              </w:rPr>
              <w:t>≥</w:t>
            </w:r>
            <w:r>
              <w:rPr>
                <w:rFonts w:ascii="仿宋_GB2312" w:hAnsi="仿宋_GB2312" w:cs="仿宋_GB2312" w:eastAsia="仿宋_GB2312"/>
                <w:sz w:val="24"/>
              </w:rPr>
              <w:t>125L。</w:t>
            </w:r>
          </w:p>
          <w:p>
            <w:pPr>
              <w:pStyle w:val="null3"/>
            </w:pPr>
            <w:r>
              <w:rPr>
                <w:rFonts w:ascii="仿宋_GB2312" w:hAnsi="仿宋_GB2312" w:cs="仿宋_GB2312" w:eastAsia="仿宋_GB2312"/>
                <w:sz w:val="24"/>
              </w:rPr>
              <w:t>（</w:t>
            </w:r>
            <w:r>
              <w:rPr>
                <w:rFonts w:ascii="仿宋_GB2312" w:hAnsi="仿宋_GB2312" w:cs="仿宋_GB2312" w:eastAsia="仿宋_GB2312"/>
                <w:sz w:val="24"/>
              </w:rPr>
              <w:t>3）挖掘性能</w:t>
            </w:r>
          </w:p>
          <w:p>
            <w:pPr>
              <w:pStyle w:val="null3"/>
            </w:pPr>
            <w:r>
              <w:rPr>
                <w:rFonts w:ascii="仿宋_GB2312" w:hAnsi="仿宋_GB2312" w:cs="仿宋_GB2312" w:eastAsia="仿宋_GB2312"/>
                <w:sz w:val="24"/>
              </w:rPr>
              <w:t>★1.铲斗挖掘力：≥48kN。</w:t>
            </w:r>
          </w:p>
          <w:p>
            <w:pPr>
              <w:pStyle w:val="null3"/>
            </w:pPr>
            <w:r>
              <w:rPr>
                <w:rFonts w:ascii="仿宋_GB2312" w:hAnsi="仿宋_GB2312" w:cs="仿宋_GB2312" w:eastAsia="仿宋_GB2312"/>
                <w:sz w:val="24"/>
              </w:rPr>
              <w:t>▲2.最大挖掘深度：≥3800mm。</w:t>
            </w:r>
          </w:p>
          <w:p>
            <w:pPr>
              <w:pStyle w:val="null3"/>
            </w:pPr>
            <w:r>
              <w:rPr>
                <w:rFonts w:ascii="仿宋_GB2312" w:hAnsi="仿宋_GB2312" w:cs="仿宋_GB2312" w:eastAsia="仿宋_GB2312"/>
                <w:sz w:val="24"/>
              </w:rPr>
              <w:t>▲3.最大挖掘半径：≥6100mm。</w:t>
            </w:r>
          </w:p>
          <w:p>
            <w:pPr>
              <w:pStyle w:val="null3"/>
            </w:pPr>
            <w:r>
              <w:rPr>
                <w:rFonts w:ascii="仿宋_GB2312" w:hAnsi="仿宋_GB2312" w:cs="仿宋_GB2312" w:eastAsia="仿宋_GB2312"/>
                <w:sz w:val="24"/>
              </w:rPr>
              <w:t>4.最大卸载高度：≥3800mm。</w:t>
            </w:r>
          </w:p>
          <w:p>
            <w:pPr>
              <w:pStyle w:val="null3"/>
            </w:pPr>
            <w:r>
              <w:rPr>
                <w:rFonts w:ascii="仿宋_GB2312" w:hAnsi="仿宋_GB2312" w:cs="仿宋_GB2312" w:eastAsia="仿宋_GB2312"/>
                <w:sz w:val="24"/>
              </w:rPr>
              <w:t>5.最大挖掘高度：≥5600mm。</w:t>
            </w:r>
          </w:p>
          <w:p>
            <w:pPr>
              <w:pStyle w:val="null3"/>
            </w:pPr>
            <w:r>
              <w:rPr>
                <w:rFonts w:ascii="仿宋_GB2312" w:hAnsi="仿宋_GB2312" w:cs="仿宋_GB2312" w:eastAsia="仿宋_GB2312"/>
                <w:sz w:val="24"/>
              </w:rPr>
              <w:t>▲6.行走速度：≥4km/h。</w:t>
            </w:r>
          </w:p>
          <w:p>
            <w:pPr>
              <w:pStyle w:val="null3"/>
            </w:pPr>
            <w:r>
              <w:rPr>
                <w:rFonts w:ascii="仿宋_GB2312" w:hAnsi="仿宋_GB2312" w:cs="仿宋_GB2312" w:eastAsia="仿宋_GB2312"/>
                <w:sz w:val="24"/>
              </w:rPr>
              <w:t>（</w:t>
            </w:r>
            <w:r>
              <w:rPr>
                <w:rFonts w:ascii="仿宋_GB2312" w:hAnsi="仿宋_GB2312" w:cs="仿宋_GB2312" w:eastAsia="仿宋_GB2312"/>
                <w:sz w:val="24"/>
              </w:rPr>
              <w:t>4）液压系统</w:t>
            </w:r>
          </w:p>
          <w:p>
            <w:pPr>
              <w:pStyle w:val="null3"/>
            </w:pPr>
            <w:r>
              <w:rPr>
                <w:rFonts w:ascii="仿宋_GB2312" w:hAnsi="仿宋_GB2312" w:cs="仿宋_GB2312" w:eastAsia="仿宋_GB2312"/>
                <w:sz w:val="24"/>
              </w:rPr>
              <w:t>★1.</w:t>
            </w:r>
            <w:r>
              <w:rPr>
                <w:rFonts w:ascii="仿宋_GB2312" w:hAnsi="仿宋_GB2312" w:cs="仿宋_GB2312" w:eastAsia="仿宋_GB2312"/>
                <w:sz w:val="24"/>
              </w:rPr>
              <w:t>主泵额定工作</w:t>
            </w:r>
            <w:r>
              <w:rPr>
                <w:rFonts w:ascii="仿宋_GB2312" w:hAnsi="仿宋_GB2312" w:cs="仿宋_GB2312" w:eastAsia="仿宋_GB2312"/>
                <w:sz w:val="24"/>
              </w:rPr>
              <w:t>压力：</w:t>
            </w:r>
            <w:r>
              <w:rPr>
                <w:rFonts w:ascii="仿宋_GB2312" w:hAnsi="仿宋_GB2312" w:cs="仿宋_GB2312" w:eastAsia="仿宋_GB2312"/>
                <w:sz w:val="24"/>
              </w:rPr>
              <w:t>≥24MPa。</w:t>
            </w:r>
          </w:p>
          <w:p>
            <w:pPr>
              <w:pStyle w:val="null3"/>
            </w:pPr>
            <w:r>
              <w:rPr>
                <w:rFonts w:ascii="仿宋_GB2312" w:hAnsi="仿宋_GB2312" w:cs="仿宋_GB2312" w:eastAsia="仿宋_GB2312"/>
                <w:sz w:val="24"/>
              </w:rPr>
              <w:t>▲2.液压控制方式：先导液压操作。</w:t>
            </w:r>
          </w:p>
          <w:p>
            <w:pPr>
              <w:pStyle w:val="null3"/>
            </w:pPr>
            <w:r>
              <w:rPr>
                <w:rFonts w:ascii="仿宋_GB2312" w:hAnsi="仿宋_GB2312" w:cs="仿宋_GB2312" w:eastAsia="仿宋_GB2312"/>
                <w:sz w:val="24"/>
              </w:rPr>
              <w:t>▲</w:t>
            </w:r>
            <w:r>
              <w:rPr>
                <w:rFonts w:ascii="仿宋_GB2312" w:hAnsi="仿宋_GB2312" w:cs="仿宋_GB2312" w:eastAsia="仿宋_GB2312"/>
                <w:sz w:val="24"/>
              </w:rPr>
              <w:t>3.液压油箱容量：</w:t>
            </w:r>
            <w:r>
              <w:rPr>
                <w:rFonts w:ascii="仿宋_GB2312" w:hAnsi="仿宋_GB2312" w:cs="仿宋_GB2312" w:eastAsia="仿宋_GB2312"/>
                <w:sz w:val="24"/>
              </w:rPr>
              <w:t>≥</w:t>
            </w:r>
            <w:r>
              <w:rPr>
                <w:rFonts w:ascii="仿宋_GB2312" w:hAnsi="仿宋_GB2312" w:cs="仿宋_GB2312" w:eastAsia="仿宋_GB2312"/>
                <w:sz w:val="24"/>
              </w:rPr>
              <w:t>85L。</w:t>
            </w:r>
          </w:p>
          <w:p>
            <w:pPr>
              <w:pStyle w:val="null3"/>
            </w:pPr>
            <w:r>
              <w:rPr>
                <w:rFonts w:ascii="仿宋_GB2312" w:hAnsi="仿宋_GB2312" w:cs="仿宋_GB2312" w:eastAsia="仿宋_GB2312"/>
                <w:sz w:val="24"/>
              </w:rPr>
              <w:t>4</w:t>
            </w:r>
            <w:r>
              <w:rPr>
                <w:rFonts w:ascii="仿宋_GB2312" w:hAnsi="仿宋_GB2312" w:cs="仿宋_GB2312" w:eastAsia="仿宋_GB2312"/>
                <w:sz w:val="24"/>
              </w:rPr>
              <w:t>.具有负载敏感控制等节能技术。</w:t>
            </w:r>
          </w:p>
          <w:p>
            <w:pPr>
              <w:pStyle w:val="null3"/>
            </w:pPr>
            <w:r>
              <w:rPr>
                <w:rFonts w:ascii="仿宋_GB2312" w:hAnsi="仿宋_GB2312" w:cs="仿宋_GB2312" w:eastAsia="仿宋_GB2312"/>
                <w:sz w:val="24"/>
              </w:rPr>
              <w:t>（</w:t>
            </w:r>
            <w:r>
              <w:rPr>
                <w:rFonts w:ascii="仿宋_GB2312" w:hAnsi="仿宋_GB2312" w:cs="仿宋_GB2312" w:eastAsia="仿宋_GB2312"/>
                <w:sz w:val="24"/>
              </w:rPr>
              <w:t>5）安全及驾驶保障</w:t>
            </w:r>
          </w:p>
          <w:p>
            <w:pPr>
              <w:pStyle w:val="null3"/>
            </w:pPr>
            <w:r>
              <w:rPr>
                <w:rFonts w:ascii="仿宋_GB2312" w:hAnsi="仿宋_GB2312" w:cs="仿宋_GB2312" w:eastAsia="仿宋_GB2312"/>
                <w:sz w:val="24"/>
              </w:rPr>
              <w:t>1.驾驶室</w:t>
            </w:r>
            <w:r>
              <w:rPr>
                <w:rFonts w:ascii="仿宋_GB2312" w:hAnsi="仿宋_GB2312" w:cs="仿宋_GB2312" w:eastAsia="仿宋_GB2312"/>
                <w:sz w:val="24"/>
              </w:rPr>
              <w:t>应配</w:t>
            </w:r>
            <w:r>
              <w:rPr>
                <w:rFonts w:ascii="仿宋_GB2312" w:hAnsi="仿宋_GB2312" w:cs="仿宋_GB2312" w:eastAsia="仿宋_GB2312"/>
                <w:sz w:val="24"/>
              </w:rPr>
              <w:t>备</w:t>
            </w:r>
            <w:r>
              <w:rPr>
                <w:rFonts w:ascii="仿宋_GB2312" w:hAnsi="仿宋_GB2312" w:cs="仿宋_GB2312" w:eastAsia="仿宋_GB2312"/>
                <w:sz w:val="24"/>
              </w:rPr>
              <w:t>滚翻保护结构</w:t>
            </w:r>
            <w:r>
              <w:rPr>
                <w:rFonts w:ascii="仿宋_GB2312" w:hAnsi="仿宋_GB2312" w:cs="仿宋_GB2312" w:eastAsia="仿宋_GB2312"/>
                <w:sz w:val="24"/>
              </w:rPr>
              <w:t>（</w:t>
            </w:r>
            <w:r>
              <w:rPr>
                <w:rFonts w:ascii="仿宋_GB2312" w:hAnsi="仿宋_GB2312" w:cs="仿宋_GB2312" w:eastAsia="仿宋_GB2312"/>
                <w:sz w:val="24"/>
              </w:rPr>
              <w:t>R</w:t>
            </w:r>
            <w:r>
              <w:rPr>
                <w:rFonts w:ascii="仿宋_GB2312" w:hAnsi="仿宋_GB2312" w:cs="仿宋_GB2312" w:eastAsia="仿宋_GB2312"/>
                <w:sz w:val="24"/>
              </w:rPr>
              <w:t>OPS</w:t>
            </w:r>
            <w:r>
              <w:rPr>
                <w:rFonts w:ascii="仿宋_GB2312" w:hAnsi="仿宋_GB2312" w:cs="仿宋_GB2312" w:eastAsia="仿宋_GB2312"/>
                <w:sz w:val="24"/>
              </w:rPr>
              <w:t>）</w:t>
            </w:r>
            <w:r>
              <w:rPr>
                <w:rFonts w:ascii="仿宋_GB2312" w:hAnsi="仿宋_GB2312" w:cs="仿宋_GB2312" w:eastAsia="仿宋_GB2312"/>
                <w:sz w:val="24"/>
              </w:rPr>
              <w:t>。</w:t>
            </w:r>
          </w:p>
          <w:p>
            <w:pPr>
              <w:pStyle w:val="null3"/>
            </w:pPr>
            <w:r>
              <w:rPr>
                <w:rFonts w:ascii="仿宋_GB2312" w:hAnsi="仿宋_GB2312" w:cs="仿宋_GB2312" w:eastAsia="仿宋_GB2312"/>
                <w:sz w:val="24"/>
              </w:rPr>
              <w:t>2.具有一键启机功能。</w:t>
            </w:r>
          </w:p>
          <w:p>
            <w:pPr>
              <w:pStyle w:val="null3"/>
            </w:pPr>
            <w:r>
              <w:rPr>
                <w:rFonts w:ascii="仿宋_GB2312" w:hAnsi="仿宋_GB2312" w:cs="仿宋_GB2312" w:eastAsia="仿宋_GB2312"/>
                <w:sz w:val="24"/>
              </w:rPr>
              <w:t>3.驾驶室需配电源口、USB接口。</w:t>
            </w:r>
          </w:p>
          <w:p>
            <w:pPr>
              <w:pStyle w:val="null3"/>
            </w:pPr>
            <w:r>
              <w:rPr>
                <w:rFonts w:ascii="仿宋_GB2312" w:hAnsi="仿宋_GB2312" w:cs="仿宋_GB2312" w:eastAsia="仿宋_GB2312"/>
                <w:sz w:val="24"/>
              </w:rPr>
              <w:t>4.驾驶室需配有冷暖空调。</w:t>
            </w:r>
          </w:p>
          <w:p>
            <w:pPr>
              <w:pStyle w:val="null3"/>
            </w:pPr>
            <w:r>
              <w:rPr>
                <w:rFonts w:ascii="仿宋_GB2312" w:hAnsi="仿宋_GB2312" w:cs="仿宋_GB2312" w:eastAsia="仿宋_GB2312"/>
                <w:sz w:val="24"/>
              </w:rPr>
              <w:t>★5.项目所在市有售后服务站。</w:t>
            </w:r>
          </w:p>
          <w:p>
            <w:pPr>
              <w:pStyle w:val="null3"/>
            </w:pPr>
            <w:r>
              <w:rPr>
                <w:rFonts w:ascii="仿宋_GB2312" w:hAnsi="仿宋_GB2312" w:cs="仿宋_GB2312" w:eastAsia="仿宋_GB2312"/>
                <w:sz w:val="21"/>
                <w:b/>
                <w:u w:val="single"/>
              </w:rPr>
              <w:t>注：此产品为核心产品。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二、拖车</w:t>
            </w:r>
          </w:p>
          <w:p>
            <w:pPr>
              <w:pStyle w:val="null3"/>
            </w:pPr>
            <w:r>
              <w:rPr>
                <w:rFonts w:ascii="仿宋_GB2312" w:hAnsi="仿宋_GB2312" w:cs="仿宋_GB2312" w:eastAsia="仿宋_GB2312"/>
                <w:sz w:val="24"/>
              </w:rPr>
              <w:t>（</w:t>
            </w:r>
            <w:r>
              <w:rPr>
                <w:rFonts w:ascii="仿宋_GB2312" w:hAnsi="仿宋_GB2312" w:cs="仿宋_GB2312" w:eastAsia="仿宋_GB2312"/>
                <w:sz w:val="24"/>
              </w:rPr>
              <w:t>1）整机基础</w:t>
            </w:r>
          </w:p>
          <w:p>
            <w:pPr>
              <w:pStyle w:val="null3"/>
            </w:pPr>
            <w:r>
              <w:rPr>
                <w:rFonts w:ascii="仿宋_GB2312" w:hAnsi="仿宋_GB2312" w:cs="仿宋_GB2312" w:eastAsia="仿宋_GB2312"/>
                <w:sz w:val="24"/>
              </w:rPr>
              <w:t>★1.额定载质量≥9000kg。</w:t>
            </w:r>
          </w:p>
          <w:p>
            <w:pPr>
              <w:pStyle w:val="null3"/>
            </w:pPr>
            <w:r>
              <w:rPr>
                <w:rFonts w:ascii="仿宋_GB2312" w:hAnsi="仿宋_GB2312" w:cs="仿宋_GB2312" w:eastAsia="仿宋_GB2312"/>
                <w:sz w:val="24"/>
              </w:rPr>
              <w:t>2.爬梯配置：标配弹簧爬梯。</w:t>
            </w:r>
          </w:p>
          <w:p>
            <w:pPr>
              <w:pStyle w:val="null3"/>
            </w:pPr>
            <w:r>
              <w:rPr>
                <w:rFonts w:ascii="仿宋_GB2312" w:hAnsi="仿宋_GB2312" w:cs="仿宋_GB2312" w:eastAsia="仿宋_GB2312"/>
                <w:sz w:val="24"/>
              </w:rPr>
              <w:t>▲3.制动系统：鼓式 + ABS + 弹簧驻车制动。</w:t>
            </w:r>
          </w:p>
          <w:p>
            <w:pPr>
              <w:pStyle w:val="null3"/>
            </w:pPr>
            <w:r>
              <w:rPr>
                <w:rFonts w:ascii="仿宋_GB2312" w:hAnsi="仿宋_GB2312" w:cs="仿宋_GB2312" w:eastAsia="仿宋_GB2312"/>
                <w:sz w:val="24"/>
              </w:rPr>
              <w:t>（</w:t>
            </w:r>
            <w:r>
              <w:rPr>
                <w:rFonts w:ascii="仿宋_GB2312" w:hAnsi="仿宋_GB2312" w:cs="仿宋_GB2312" w:eastAsia="仿宋_GB2312"/>
                <w:sz w:val="24"/>
              </w:rPr>
              <w:t>2）动力系统</w:t>
            </w:r>
          </w:p>
          <w:p>
            <w:pPr>
              <w:pStyle w:val="null3"/>
            </w:pPr>
            <w:r>
              <w:rPr>
                <w:rFonts w:ascii="仿宋_GB2312" w:hAnsi="仿宋_GB2312" w:cs="仿宋_GB2312" w:eastAsia="仿宋_GB2312"/>
                <w:sz w:val="24"/>
              </w:rPr>
              <w:t>★1.发动机最大功率：≥125kW。</w:t>
            </w:r>
          </w:p>
          <w:p>
            <w:pPr>
              <w:pStyle w:val="null3"/>
            </w:pPr>
            <w:r>
              <w:rPr>
                <w:rFonts w:ascii="仿宋_GB2312" w:hAnsi="仿宋_GB2312" w:cs="仿宋_GB2312" w:eastAsia="仿宋_GB2312"/>
                <w:sz w:val="24"/>
              </w:rPr>
              <w:t>▲2.排量：≥2</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L</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3）底盘</w:t>
            </w:r>
          </w:p>
          <w:p>
            <w:pPr>
              <w:pStyle w:val="null3"/>
            </w:pPr>
            <w:r>
              <w:rPr>
                <w:rFonts w:ascii="仿宋_GB2312" w:hAnsi="仿宋_GB2312" w:cs="仿宋_GB2312" w:eastAsia="仿宋_GB2312"/>
                <w:sz w:val="24"/>
              </w:rPr>
              <w:t>★1.轴距：≥</w:t>
            </w:r>
            <w:r>
              <w:rPr>
                <w:rFonts w:ascii="仿宋_GB2312" w:hAnsi="仿宋_GB2312" w:cs="仿宋_GB2312" w:eastAsia="仿宋_GB2312"/>
                <w:sz w:val="24"/>
              </w:rPr>
              <w:t>4500</w:t>
            </w:r>
            <w:r>
              <w:rPr>
                <w:rFonts w:ascii="仿宋_GB2312" w:hAnsi="仿宋_GB2312" w:cs="仿宋_GB2312" w:eastAsia="仿宋_GB2312"/>
                <w:sz w:val="24"/>
              </w:rPr>
              <w:t>mm。</w:t>
            </w:r>
          </w:p>
          <w:p>
            <w:pPr>
              <w:pStyle w:val="null3"/>
            </w:pPr>
            <w:r>
              <w:rPr>
                <w:rFonts w:ascii="仿宋_GB2312" w:hAnsi="仿宋_GB2312" w:cs="仿宋_GB2312" w:eastAsia="仿宋_GB2312"/>
                <w:sz w:val="24"/>
              </w:rPr>
              <w:t>2.车架结构：双层直通大梁。</w:t>
            </w:r>
          </w:p>
          <w:p>
            <w:pPr>
              <w:pStyle w:val="null3"/>
            </w:pPr>
            <w:r>
              <w:rPr>
                <w:rFonts w:ascii="仿宋_GB2312" w:hAnsi="仿宋_GB2312" w:cs="仿宋_GB2312" w:eastAsia="仿宋_GB2312"/>
                <w:sz w:val="24"/>
              </w:rPr>
              <w:t>3.悬挂系统：前≥8后≥10+8加厚板簧。</w:t>
            </w:r>
          </w:p>
          <w:p>
            <w:pPr>
              <w:pStyle w:val="null3"/>
            </w:pPr>
            <w:r>
              <w:rPr>
                <w:rFonts w:ascii="仿宋_GB2312" w:hAnsi="仿宋_GB2312" w:cs="仿宋_GB2312" w:eastAsia="仿宋_GB2312"/>
                <w:sz w:val="24"/>
              </w:rPr>
              <w:t>▲4.后桥配置：≥8吨级重载后桥。</w:t>
            </w:r>
          </w:p>
          <w:p>
            <w:pPr>
              <w:pStyle w:val="null3"/>
            </w:pPr>
            <w:r>
              <w:rPr>
                <w:rFonts w:ascii="仿宋_GB2312" w:hAnsi="仿宋_GB2312" w:cs="仿宋_GB2312" w:eastAsia="仿宋_GB2312"/>
                <w:sz w:val="24"/>
              </w:rPr>
              <w:t>5.轮胎规格：全钢丝重载胎。</w:t>
            </w:r>
          </w:p>
          <w:p>
            <w:pPr>
              <w:pStyle w:val="null3"/>
            </w:pPr>
            <w:r>
              <w:rPr>
                <w:rFonts w:ascii="仿宋_GB2312" w:hAnsi="仿宋_GB2312" w:cs="仿宋_GB2312" w:eastAsia="仿宋_GB2312"/>
                <w:sz w:val="24"/>
              </w:rPr>
              <w:t>（</w:t>
            </w:r>
            <w:r>
              <w:rPr>
                <w:rFonts w:ascii="仿宋_GB2312" w:hAnsi="仿宋_GB2312" w:cs="仿宋_GB2312" w:eastAsia="仿宋_GB2312"/>
                <w:sz w:val="24"/>
              </w:rPr>
              <w:t>4）专用上装</w:t>
            </w:r>
          </w:p>
          <w:p>
            <w:pPr>
              <w:pStyle w:val="null3"/>
            </w:pPr>
            <w:r>
              <w:rPr>
                <w:rFonts w:ascii="仿宋_GB2312" w:hAnsi="仿宋_GB2312" w:cs="仿宋_GB2312" w:eastAsia="仿宋_GB2312"/>
                <w:sz w:val="24"/>
              </w:rPr>
              <w:t>★</w:t>
            </w:r>
            <w:r>
              <w:rPr>
                <w:rFonts w:ascii="仿宋_GB2312" w:hAnsi="仿宋_GB2312" w:cs="仿宋_GB2312" w:eastAsia="仿宋_GB2312"/>
                <w:sz w:val="24"/>
              </w:rPr>
              <w:t>1.平板尺寸</w:t>
            </w:r>
            <w:r>
              <w:rPr>
                <w:rFonts w:ascii="仿宋_GB2312" w:hAnsi="仿宋_GB2312" w:cs="仿宋_GB2312" w:eastAsia="仿宋_GB2312"/>
                <w:sz w:val="24"/>
              </w:rPr>
              <w:t>：长</w:t>
            </w:r>
            <w:r>
              <w:rPr>
                <w:rFonts w:ascii="仿宋_GB2312" w:hAnsi="仿宋_GB2312" w:cs="仿宋_GB2312" w:eastAsia="仿宋_GB2312"/>
                <w:sz w:val="24"/>
              </w:rPr>
              <w:t>≥</w:t>
            </w:r>
            <w:r>
              <w:rPr>
                <w:rFonts w:ascii="仿宋_GB2312" w:hAnsi="仿宋_GB2312" w:cs="仿宋_GB2312" w:eastAsia="仿宋_GB2312"/>
                <w:sz w:val="24"/>
              </w:rPr>
              <w:t>5800</w:t>
            </w:r>
            <w:r>
              <w:rPr>
                <w:rFonts w:ascii="仿宋_GB2312" w:hAnsi="仿宋_GB2312" w:cs="仿宋_GB2312" w:eastAsia="仿宋_GB2312"/>
                <w:sz w:val="24"/>
              </w:rPr>
              <w:t>mm，宽≥2500mm。</w:t>
            </w:r>
          </w:p>
          <w:p>
            <w:pPr>
              <w:pStyle w:val="null3"/>
            </w:pPr>
            <w:r>
              <w:rPr>
                <w:rFonts w:ascii="仿宋_GB2312" w:hAnsi="仿宋_GB2312" w:cs="仿宋_GB2312" w:eastAsia="仿宋_GB2312"/>
                <w:sz w:val="24"/>
              </w:rPr>
              <w:t>2.平板材质：钢板。</w:t>
            </w:r>
          </w:p>
          <w:p>
            <w:pPr>
              <w:pStyle w:val="null3"/>
            </w:pPr>
            <w:r>
              <w:rPr>
                <w:rFonts w:ascii="仿宋_GB2312" w:hAnsi="仿宋_GB2312" w:cs="仿宋_GB2312" w:eastAsia="仿宋_GB2312"/>
                <w:sz w:val="24"/>
              </w:rPr>
              <w:t>3.防滑设计：防滑条。</w:t>
            </w:r>
          </w:p>
          <w:p>
            <w:pPr>
              <w:pStyle w:val="null3"/>
            </w:pPr>
            <w:r>
              <w:rPr>
                <w:rFonts w:ascii="仿宋_GB2312" w:hAnsi="仿宋_GB2312" w:cs="仿宋_GB2312" w:eastAsia="仿宋_GB2312"/>
                <w:sz w:val="24"/>
              </w:rPr>
              <w:t>▲4.固定装置：≥4个重型绑带固定点。</w:t>
            </w:r>
          </w:p>
          <w:p>
            <w:pPr>
              <w:pStyle w:val="null3"/>
            </w:pPr>
            <w:r>
              <w:rPr>
                <w:rFonts w:ascii="仿宋_GB2312" w:hAnsi="仿宋_GB2312" w:cs="仿宋_GB2312" w:eastAsia="仿宋_GB2312"/>
                <w:sz w:val="24"/>
              </w:rPr>
              <w:t>★5.手动支腿：承重≥10000kg。</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1、“★”为实质性参数，供应商必须满足其参数需求，否则按照无效投标处理；</w:t>
            </w:r>
          </w:p>
          <w:p>
            <w:pPr>
              <w:pStyle w:val="null3"/>
              <w:jc w:val="both"/>
            </w:pPr>
            <w:r>
              <w:rPr>
                <w:rFonts w:ascii="仿宋_GB2312" w:hAnsi="仿宋_GB2312" w:cs="仿宋_GB2312" w:eastAsia="仿宋_GB2312"/>
                <w:sz w:val="21"/>
                <w:b/>
              </w:rPr>
              <w:t>2、“▲”为重要性参数，允许负偏离，若不符合评审要求，可能会被扣分；</w:t>
            </w:r>
          </w:p>
          <w:p>
            <w:pPr>
              <w:pStyle w:val="null3"/>
              <w:jc w:val="both"/>
            </w:pPr>
            <w:r>
              <w:rPr>
                <w:rFonts w:ascii="仿宋_GB2312" w:hAnsi="仿宋_GB2312" w:cs="仿宋_GB2312" w:eastAsia="仿宋_GB2312"/>
                <w:sz w:val="21"/>
                <w:b/>
              </w:rPr>
              <w:t>3、除“★、▲”以外的参数，为一般性参数，允许负偏离，若不符合评审要求，可能会被扣分。</w:t>
            </w:r>
          </w:p>
          <w:p>
            <w:pPr>
              <w:pStyle w:val="null3"/>
              <w:jc w:val="both"/>
            </w:pPr>
            <w:r>
              <w:rPr>
                <w:rFonts w:ascii="仿宋_GB2312" w:hAnsi="仿宋_GB2312" w:cs="仿宋_GB2312" w:eastAsia="仿宋_GB2312"/>
                <w:sz w:val="21"/>
                <w:b/>
              </w:rPr>
              <w:t>4、实质性参数（标★项）及重要性参数（标▲项）供应商应提供相关证明材料（包含但不限于：①第三方检测机构出具的检测报告或②官网功能截图或③宣传彩页或④厂家出具的白皮书或⑤厂家出具的产品说明书等予以证明），并按投标文件格式要求附相关证明材料。</w:t>
            </w:r>
          </w:p>
          <w:p>
            <w:pPr>
              <w:pStyle w:val="null3"/>
            </w:pPr>
            <w:r>
              <w:rPr>
                <w:rFonts w:ascii="仿宋_GB2312" w:hAnsi="仿宋_GB2312" w:cs="仿宋_GB2312" w:eastAsia="仿宋_GB2312"/>
                <w:sz w:val="21"/>
                <w:b/>
              </w:rPr>
              <w:t>5、一般性参数（除标★、标▲项），供应商应在技术响应偏离表后附“针对响应内容真实性的承诺函”，对于虚假响应或承诺的，按照政府采购相关法律法规中有关“提供虚假材料的规定”进行处罚；对于响应及承诺后未按原响应内容及承诺内容履约的，采购人依法追究其违约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注：</w:t>
            </w:r>
          </w:p>
          <w:p>
            <w:pPr>
              <w:pStyle w:val="null3"/>
              <w:jc w:val="both"/>
            </w:pPr>
            <w:r>
              <w:rPr>
                <w:rFonts w:ascii="仿宋_GB2312" w:hAnsi="仿宋_GB2312" w:cs="仿宋_GB2312" w:eastAsia="仿宋_GB2312"/>
                <w:sz w:val="21"/>
                <w:b/>
              </w:rPr>
              <w:t>按照《陕西省财政厅关于在政府采购活动中实施本国产品标准及相关政策的通知》陕财办采〔</w:t>
            </w:r>
            <w:r>
              <w:rPr>
                <w:rFonts w:ascii="仿宋_GB2312" w:hAnsi="仿宋_GB2312" w:cs="仿宋_GB2312" w:eastAsia="仿宋_GB2312"/>
                <w:sz w:val="21"/>
                <w:b/>
              </w:rPr>
              <w:t>2026〕2号文件的要求，对于落实本国产品的优惠政策如下：</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1）对于仅有本国产品参与竞争的政府采购项目，本国产品不享受价格扣除评审优惠。</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4）价格扣除以供应商提供的“关于符合本国产品标准的声明函”为准。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到货验收合格后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终验：由采购人进行终验（最终验收），合格后签发《终验合格单》。 2、验收不合格的中标单位，必须在接到通知后15个日历日内确保货物通过验收。若接到通知后15个日历日内验收仍不合格，采购人可提出索赔或取消其供货合同。 3、验收依据 （1）合同文本及合同补充文件（条款）。（2）招标文件。（3）中标人的投标文件。（4）合同货物清单。（5）其他证明资料。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1、不含易损件，整机质保1年。中标人承诺的质保时间超过上述要求的，按其承诺时间质保。 2、招标文件中技术参数中有规定的应以招标文件中技术参数要求为准，国家有规定的且优于招标文件的以国家规定为准。 3、所有产品质量必须符合国家有关规范和相关政策，所有产品必须是未使用过的新产品，质量优良、渠道正当，配置合理。 4、质保期出现的质量问题由中标人负责解决（调换）并承担所有费用。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 就货物的安装、启动、运行及维护等对采购人进行免费培训。主要培训内容为货物的基本结构、性能、主要部件的构造及处理，日常使用操作、保养与管理、常见故障的排除紧急情况的处理等。 2、售后服务要求： （1）中标人须指派专人负责本项目售后服务事宜。 （2）故障处理响应时间全天4小时内，故障解决时间48小时内（须更换零配件除外）； （3）协助采购人缴纳车辆购置税以及办理保险等服务。 （4）负责协助办理挖掘机编码登记和拖车上户（含资料准备、代上检测线、办理号牌等）。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一般资格审查证明材料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自2025年11月01日以来已缴存的至少一个月的纳税证明或完税证明，纳税证明或完税证明上应有代收机构或税务机关的公章或业务专用章。依法免税的投标人应提供相关文件证明；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审委员会认为投标人的报价明显低于其他实质性响应的投标人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评审委员会要求的时间内通过项目电子化交易系统进行提交，否则提交的相关证明材料无效。供应商不能证明其报价合理性的，评审委员会应当将其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符合招标文件中“投标文件格式”要求</w:t>
            </w:r>
          </w:p>
        </w:tc>
        <w:tc>
          <w:tcPr>
            <w:tcW w:type="dxa" w:w="1661"/>
          </w:tcPr>
          <w:p>
            <w:pPr>
              <w:pStyle w:val="null3"/>
            </w:pPr>
            <w:r>
              <w:rPr>
                <w:rFonts w:ascii="仿宋_GB2312" w:hAnsi="仿宋_GB2312" w:cs="仿宋_GB2312" w:eastAsia="仿宋_GB2312"/>
              </w:rPr>
              <w:t>商务响应偏离表 技术方案4-安装调试 技术响应偏离表 中小企业声明函 技术方案2-产品选型 技术方案1-产品来源及产品技术参数 技术方案6-培训方案 投标函 残疾人福利性单位声明函 一般资格审查证明材料 标的清单 特殊资格审查资料 关于符合本国产品标准的声明函 投标文件封面 技术方案3-供货实施方案 类似业绩一览表 监狱企业的证明文件 技术方案7-售后服务 技术方案5-质量保障</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商务响应偏离表 技术方案4-安装调试 技术响应偏离表 中小企业声明函 技术方案2-产品选型 技术方案1-产品来源及产品技术参数 技术方案6-培训方案 投标函 残疾人福利性单位声明函 一般资格审查证明材料 标的清单 特殊资格审查资料 关于符合本国产品标准的声明函 投标文件封面 技术方案3-供货实施方案 类似业绩一览表 监狱企业的证明文件 技术方案7-售后服务 技术方案5-质量保障</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只能有一个有效报价，且不能超过本项目采购预算（最高限价）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应符合招标文件规定</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商务响应偏离表 技术方案4-安装调试 技术响应偏离表 中小企业声明函 技术方案2-产品选型 技术方案1-产品来源及产品技术参数 技术方案6-培训方案 投标函 残疾人福利性单位声明函 一般资格审查证明材料 标的清单 特殊资格审查资料 关于符合本国产品标准的声明函 投标文件封面 技术方案3-供货实施方案 类似业绩一览表 监狱企业的证明文件 技术方案7-售后服务 技术方案5-质量保障</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要求全面响应，不能有任何招标人不能接受的附加条件</w:t>
            </w:r>
          </w:p>
        </w:tc>
        <w:tc>
          <w:tcPr>
            <w:tcW w:type="dxa" w:w="1661"/>
          </w:tcPr>
          <w:p>
            <w:pPr>
              <w:pStyle w:val="null3"/>
            </w:pPr>
            <w:r>
              <w:rPr>
                <w:rFonts w:ascii="仿宋_GB2312" w:hAnsi="仿宋_GB2312" w:cs="仿宋_GB2312" w:eastAsia="仿宋_GB2312"/>
              </w:rPr>
              <w:t>商务响应偏离表 技术方案4-安装调试 技术响应偏离表 中小企业声明函 技术方案2-产品选型 技术方案1-产品来源及产品技术参数 技术方案6-培训方案 投标函 残疾人福利性单位声明函 一般资格审查证明材料 标的清单 特殊资格审查资料 关于符合本国产品标准的声明函 投标文件封面 技术方案3-供货实施方案 类似业绩一览表 监狱企业的证明文件 技术方案7-售后服务 技术方案5-质量保障</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投标人提供“技术参数与性能指标”中序号1、2（挖掘机、拖车）对应产品的合法来源渠道证明文件（投标人为代理商的提供包含但不限于：产品制造商授权或销售协议或代理协议或进货单等证明材料，投标人为制造商的提供产品为自己制造的说明材料），每提供一份合格的证明材料得1分，本项目最高得2分； 注：未提供合法来源渠道证明材料不得分。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技术方案1-产品来源及产品技术参数</w:t>
            </w:r>
          </w:p>
        </w:tc>
      </w:tr>
      <w:tr>
        <w:tc>
          <w:tcPr>
            <w:tcW w:type="dxa" w:w="831"/>
            <w:vMerge/>
          </w:tcPr>
          <w:p/>
        </w:tc>
        <w:tc>
          <w:tcPr>
            <w:tcW w:type="dxa" w:w="1661"/>
          </w:tcPr>
          <w:p>
            <w:pPr>
              <w:pStyle w:val="null3"/>
            </w:pPr>
            <w:r>
              <w:rPr>
                <w:rFonts w:ascii="仿宋_GB2312" w:hAnsi="仿宋_GB2312" w:cs="仿宋_GB2312" w:eastAsia="仿宋_GB2312"/>
              </w:rPr>
              <w:t>产品技术参数1</w:t>
            </w:r>
          </w:p>
        </w:tc>
        <w:tc>
          <w:tcPr>
            <w:tcW w:type="dxa" w:w="2492"/>
          </w:tcPr>
          <w:p>
            <w:pPr>
              <w:pStyle w:val="null3"/>
            </w:pPr>
            <w:r>
              <w:rPr>
                <w:rFonts w:ascii="仿宋_GB2312" w:hAnsi="仿宋_GB2312" w:cs="仿宋_GB2312" w:eastAsia="仿宋_GB2312"/>
              </w:rPr>
              <w:t>招标文件第三章中“▲”项（共12项）其完全满足招标文件参数要求得12分，每有一项不满足的扣1分，扣完为止。 注：应提供相应的证明材料，包括但不限于第三方检测报告或制造商检验报告或产品彩页或制造商官网功能截图等技术资料，未提供不予认可。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技术方案1-产品来源及产品技术参数</w:t>
            </w:r>
          </w:p>
        </w:tc>
      </w:tr>
      <w:tr>
        <w:tc>
          <w:tcPr>
            <w:tcW w:type="dxa" w:w="831"/>
            <w:vMerge/>
          </w:tcPr>
          <w:p/>
        </w:tc>
        <w:tc>
          <w:tcPr>
            <w:tcW w:type="dxa" w:w="1661"/>
          </w:tcPr>
          <w:p>
            <w:pPr>
              <w:pStyle w:val="null3"/>
            </w:pPr>
            <w:r>
              <w:rPr>
                <w:rFonts w:ascii="仿宋_GB2312" w:hAnsi="仿宋_GB2312" w:cs="仿宋_GB2312" w:eastAsia="仿宋_GB2312"/>
              </w:rPr>
              <w:t>产品技术参数2</w:t>
            </w:r>
          </w:p>
        </w:tc>
        <w:tc>
          <w:tcPr>
            <w:tcW w:type="dxa" w:w="2492"/>
          </w:tcPr>
          <w:p>
            <w:pPr>
              <w:pStyle w:val="null3"/>
            </w:pPr>
            <w:r>
              <w:rPr>
                <w:rFonts w:ascii="仿宋_GB2312" w:hAnsi="仿宋_GB2312" w:cs="仿宋_GB2312" w:eastAsia="仿宋_GB2312"/>
              </w:rPr>
              <w:t>1、“技术参数与性能指标”中除“★、▲”以外的参数共20项，投标人须在技术响应偏离表中如实填写并后附“针对响应内容真实性的承诺函”。投标人全部满足要求且提供承诺函的得6分，每有一项不满足（负偏离）的扣0.3分，扣完20分为止。未提供承诺函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1、评审内容 包含2项：①产品选型；②产品详细描述； 2、评审标准 （1）评审内容每项满分为1.5分，共3分； （2）评审内容每缺失一项扣1.5分，每项内容有下列任意瑕疵的扣0.15分（单项评审内容中有相同瑕疵不重复扣分），扣完为止；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技术方案2-产品选型</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1、评审内容 包含4项：①供货整体规划；②供货进度安排；③运输及到货配送方案；④人员配置及分工；2、评审标准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技术方案3-供货实施方案</w:t>
            </w:r>
          </w:p>
        </w:tc>
      </w:tr>
      <w:tr>
        <w:tc>
          <w:tcPr>
            <w:tcW w:type="dxa" w:w="831"/>
            <w:vMerge/>
          </w:tcPr>
          <w:p/>
        </w:tc>
        <w:tc>
          <w:tcPr>
            <w:tcW w:type="dxa" w:w="1661"/>
          </w:tcPr>
          <w:p>
            <w:pPr>
              <w:pStyle w:val="null3"/>
            </w:pPr>
            <w:r>
              <w:rPr>
                <w:rFonts w:ascii="仿宋_GB2312" w:hAnsi="仿宋_GB2312" w:cs="仿宋_GB2312" w:eastAsia="仿宋_GB2312"/>
              </w:rPr>
              <w:t>安装调试</w:t>
            </w:r>
          </w:p>
        </w:tc>
        <w:tc>
          <w:tcPr>
            <w:tcW w:type="dxa" w:w="2492"/>
          </w:tcPr>
          <w:p>
            <w:pPr>
              <w:pStyle w:val="null3"/>
            </w:pPr>
            <w:r>
              <w:rPr>
                <w:rFonts w:ascii="仿宋_GB2312" w:hAnsi="仿宋_GB2312" w:cs="仿宋_GB2312" w:eastAsia="仿宋_GB2312"/>
              </w:rPr>
              <w:t>1、评审内容 包含2项：①安装组织措施；②调试组织措施； 2、评审标准 （1）评审内容每项满分为3分，共6分；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技术方案4-安装调试</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1、评审内容 包含5项：①质量目标；②产品生产质量保障；③运输安装质量保障；④质量承诺； ⑤质量控制措施2、评审标准 （1）评审内容每项满分为2分，共10分；（2）评审内容每缺失一项扣2分，每项内容有下列任意瑕疵的扣0.2分（单项评审内容中有相同瑕疵不重复扣分），扣完为止；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技术方案5-质量保障</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包含3项：①培训目标；②培训内容； ③培训方式与安排2、评审标准 （1）评审内容每项满分为2分，共6分；（2）评审内容每缺失一项扣2分，每项内容有下列任意瑕疵的扣0.2分（单项评审内容中有相同瑕疵不重复扣分），扣完为止；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技术方案6-培训方案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包含5项：①售后服务范围、内容及流程；②售后服务人员配置；③故障应急处置服务；④定期巡检与维护；⑤售后服务承诺等。 2、评审标准 （1）评审内容每项满分为2分，共10分；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技术方案7-售后服务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提供2023年1月1日以来类似业绩，每提供1份业绩得1分，最高得3分。 注：证明文件以合同为准，时间以合同签订时间为准；投标文件中附业绩证明文件复印件并加盖公章，未提供或不清晰导致无法识别的不予认可。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价格分采用低价优先法计算，即满足采购文件要求且价格最低的报价为评标基准价，其价格分为满分。其他投标人的价格分统一按照下列公式计算：报价得分=（评标基准价/报价）×价格权值×100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详见附件：技术方案1-产品来源及产品技术参数</w:t>
      </w:r>
    </w:p>
    <w:p>
      <w:pPr>
        <w:pStyle w:val="null3"/>
        <w:ind w:firstLine="960"/>
      </w:pPr>
      <w:r>
        <w:rPr>
          <w:rFonts w:ascii="仿宋_GB2312" w:hAnsi="仿宋_GB2312" w:cs="仿宋_GB2312" w:eastAsia="仿宋_GB2312"/>
        </w:rPr>
        <w:t>详见附件：技术方案2-产品选型</w:t>
      </w:r>
    </w:p>
    <w:p>
      <w:pPr>
        <w:pStyle w:val="null3"/>
        <w:ind w:firstLine="960"/>
      </w:pPr>
      <w:r>
        <w:rPr>
          <w:rFonts w:ascii="仿宋_GB2312" w:hAnsi="仿宋_GB2312" w:cs="仿宋_GB2312" w:eastAsia="仿宋_GB2312"/>
        </w:rPr>
        <w:t>详见附件：技术方案3-供货实施方案</w:t>
      </w:r>
    </w:p>
    <w:p>
      <w:pPr>
        <w:pStyle w:val="null3"/>
        <w:ind w:firstLine="960"/>
      </w:pPr>
      <w:r>
        <w:rPr>
          <w:rFonts w:ascii="仿宋_GB2312" w:hAnsi="仿宋_GB2312" w:cs="仿宋_GB2312" w:eastAsia="仿宋_GB2312"/>
        </w:rPr>
        <w:t>详见附件：技术方案4-安装调试</w:t>
      </w:r>
    </w:p>
    <w:p>
      <w:pPr>
        <w:pStyle w:val="null3"/>
        <w:ind w:firstLine="960"/>
      </w:pPr>
      <w:r>
        <w:rPr>
          <w:rFonts w:ascii="仿宋_GB2312" w:hAnsi="仿宋_GB2312" w:cs="仿宋_GB2312" w:eastAsia="仿宋_GB2312"/>
        </w:rPr>
        <w:t>详见附件：技术方案5-质量保障</w:t>
      </w:r>
    </w:p>
    <w:p>
      <w:pPr>
        <w:pStyle w:val="null3"/>
        <w:ind w:firstLine="960"/>
      </w:pPr>
      <w:r>
        <w:rPr>
          <w:rFonts w:ascii="仿宋_GB2312" w:hAnsi="仿宋_GB2312" w:cs="仿宋_GB2312" w:eastAsia="仿宋_GB2312"/>
        </w:rPr>
        <w:t>详见附件：技术方案6-培训方案</w:t>
      </w:r>
    </w:p>
    <w:p>
      <w:pPr>
        <w:pStyle w:val="null3"/>
        <w:ind w:firstLine="960"/>
      </w:pPr>
      <w:r>
        <w:rPr>
          <w:rFonts w:ascii="仿宋_GB2312" w:hAnsi="仿宋_GB2312" w:cs="仿宋_GB2312" w:eastAsia="仿宋_GB2312"/>
        </w:rPr>
        <w:t>详见附件：技术方案7-售后服务</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