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2CF4D">
      <w:pPr>
        <w:pStyle w:val="3"/>
        <w:tabs>
          <w:tab w:val="left" w:pos="540"/>
        </w:tabs>
        <w:spacing w:line="360" w:lineRule="auto"/>
        <w:contextualSpacing/>
        <w:jc w:val="center"/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供货实施方案</w:t>
      </w:r>
    </w:p>
    <w:p w14:paraId="0FFC196E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</w:rPr>
        <w:t>方案可为文字性内容或图片等内容，各投标人应根据招标文件要求及《评标办法》内容编制，格式自拟。</w:t>
      </w:r>
    </w:p>
    <w:p w14:paraId="6B43FC10">
      <w:pPr>
        <w:rPr>
          <w:rFonts w:ascii="宋体" w:hAnsi="宋体" w:cs="宋体"/>
          <w:sz w:val="24"/>
        </w:rPr>
      </w:pPr>
    </w:p>
    <w:p w14:paraId="42A7F2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A5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2026-03-12T02:59:27Z</dcterms:created>
  <dc:creator>pc</dc:creator>
  <cp:lastModifiedBy>超级刀刀贼</cp:lastModifiedBy>
  <dcterms:modified xsi:type="dcterms:W3CDTF">2026-03-12T02:59:36Z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31ACC8A0ECBA41F188496E2DDE055CFD_12</vt:lpwstr>
  </property>
</Properties>
</file>