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版本号：CT-ZB00-165-202620260623001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AI科研创新开发一体化设备项目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CT-ZB00-165-2026</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AI科研创新开发一体化设备项目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CT-ZB00-165-2026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AI科研创新开发一体化设备项目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AI科研创新开发一体化设备项目，该项目积极响应国家“人工智能+”行动与教育数字化转型战略，坚持以科研创新为核心，立足职业院校科研特色与智能制造领域多学科融合需求，围绕人工智能技术应用、大数据技术等专业与人工智能融合的科研场景。通过搭建适配人工智能应用的高性能教学实训环境、专用数据承载体系与高速网络传输架构，为学校开展 AI 课程教学、科研创新实践及技术研发应用，筑牢坚实完备的数字化运行保障体系。结合学校既有门户与数据治理基础，以一体化融合应用为牵引，紧扣 AI 科研与人才实践需求，打通校内业务壁垒、重塑服务流程，打造五维数据可视化空间，为AI科研创新、学生实践实训提供精准数据支撑。完善数据管控与集成，筑牢数据安全底座，保障AI科研数据、学生实践数据安全合规。整合消息体系实现高效协同，赋能人工智能科研创新与学生实践，为学校高质量发展注入数智化动能。建设AI智能体开发平台支持师生快速构建、训练部署各类教学、科研、管理智能体，赋能个性化智能应用创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p>
      <w:pPr>
        <w:pStyle w:val="null3"/>
      </w:pPr>
      <w:r>
        <w:rPr>
          <w:rFonts w:ascii="仿宋_GB2312" w:hAnsi="仿宋_GB2312" w:cs="仿宋_GB2312" w:eastAsia="仿宋_GB2312"/>
        </w:rPr>
        <w:t>2、法定代表人参加投标时，提供本人身份证； 授权代表参加投标时，提供法定代表人授权 书和被授权人身份证；非法人单位参照执行：法定代表人参加投标时，提供本人身份证；授权代表参加投标时， 提供法定代表人授权书和被授权人身份证；非法人单位参照执行； 供应商需在项目电子化交易系统中按要求上传相应证明文件并进行 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 文件并进行电子签章</w:t>
      </w:r>
    </w:p>
    <w:p>
      <w:pPr>
        <w:pStyle w:val="null3"/>
      </w:pPr>
      <w:r>
        <w:rPr>
          <w:rFonts w:ascii="仿宋_GB2312" w:hAnsi="仿宋_GB2312" w:cs="仿宋_GB2312" w:eastAsia="仿宋_GB2312"/>
        </w:rPr>
        <w:t>4、参加政府采购活动前三年内，在经营活动中 没有重大违法记录的书面声明：参加政府采购活动前三年内，在经营活动中没有重大违法记录的书 面声明；供应商需在项目电子化交易系统中按要求上传相应证明文 件并进行电子签章。</w:t>
      </w:r>
    </w:p>
    <w:p>
      <w:pPr>
        <w:pStyle w:val="null3"/>
      </w:pPr>
      <w:r>
        <w:rPr>
          <w:rFonts w:ascii="仿宋_GB2312" w:hAnsi="仿宋_GB2312" w:cs="仿宋_GB2312" w:eastAsia="仿宋_GB2312"/>
        </w:rPr>
        <w:t>5、供应商提供具有履行合同所必需的设备和专 业技术能力的承诺：供应商提供具有履行合同所必需的设备和专业技术能力的承诺，供 应商需在项目电子化交易系统中按要求上传相应证明文件并进行电 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8、信用查询：供应商不得为“信用中国”网站（www.creditchina.gov.cn）或“中 国执信公开网” 中被列入失信被执行人、重大税收违法案件当事人名 单和中国政府采购网（www.ccgp.gov.cn）被列入政府采购严重 违法失信行为记录名单的单位。供应商需在项目电子化交易系统中 按要求上传相应证明文件并进行电子签章。开标时将由代理机构进 行现场查询。</w:t>
      </w:r>
    </w:p>
    <w:p>
      <w:pPr>
        <w:pStyle w:val="null3"/>
      </w:pPr>
      <w:r>
        <w:rPr>
          <w:rFonts w:ascii="仿宋_GB2312" w:hAnsi="仿宋_GB2312" w:cs="仿宋_GB2312" w:eastAsia="仿宋_GB2312"/>
        </w:rPr>
        <w:t>9、本项目不接受联合体投标：本项目不接受联合体投标，供应商需在项目电子化交易系统中按要 求上传相应承诺文件并进行电子签章。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p>
      <w:pPr>
        <w:pStyle w:val="null3"/>
      </w:pPr>
      <w:r>
        <w:rPr>
          <w:rFonts w:ascii="仿宋_GB2312" w:hAnsi="仿宋_GB2312" w:cs="仿宋_GB2312" w:eastAsia="仿宋_GB2312"/>
        </w:rPr>
        <w:t>2、法定代表人参加投标时，提供本人身份证； 授权代表参加投标时，提供法定代表人授权 书和被授权人身份证；非法人单位参照执行：法定代表人参加投标时，提供本人身份证；授权代表参加投标时， 提供法定代表人授权书和被授权人身份证；非法人单位参照执行； 供应商需在项目电子化交易系统中按要求上传相应证明文件并进行 电子签章。</w:t>
      </w:r>
    </w:p>
    <w:p>
      <w:pPr>
        <w:pStyle w:val="null3"/>
      </w:pPr>
      <w:r>
        <w:rPr>
          <w:rFonts w:ascii="仿宋_GB2312" w:hAnsi="仿宋_GB2312" w:cs="仿宋_GB2312" w:eastAsia="仿宋_GB2312"/>
        </w:rPr>
        <w:t>3、供应商应提供健全的财务会计制度的证明材料：财务状况报告（以下两种资料提供任意一种即可）：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 文件并进行电子签章。</w:t>
      </w:r>
    </w:p>
    <w:p>
      <w:pPr>
        <w:pStyle w:val="null3"/>
      </w:pPr>
      <w:r>
        <w:rPr>
          <w:rFonts w:ascii="仿宋_GB2312" w:hAnsi="仿宋_GB2312" w:cs="仿宋_GB2312" w:eastAsia="仿宋_GB2312"/>
        </w:rPr>
        <w:t>4、参加政府采购活动前三年内，在经营活动中 没有重大违法记录的书面声明：参加政府采购活动前三年内，在经营活动中没有重大违法记录的书 面声明；供应商需在项目电子化交易系统中按要求上传相应证明文 件并进行电子签章。</w:t>
      </w:r>
    </w:p>
    <w:p>
      <w:pPr>
        <w:pStyle w:val="null3"/>
      </w:pPr>
      <w:r>
        <w:rPr>
          <w:rFonts w:ascii="仿宋_GB2312" w:hAnsi="仿宋_GB2312" w:cs="仿宋_GB2312" w:eastAsia="仿宋_GB2312"/>
        </w:rPr>
        <w:t>5、供应商提供具有履行合同所必需的设备和专 业技术能力的承诺：供应商提供具有履行合同所必需的设备和专业技术能力的承诺，供 应商需在项目电子化交易系统中按要求上传相应证明文件并进行电 子签章。</w:t>
      </w:r>
    </w:p>
    <w:p>
      <w:pPr>
        <w:pStyle w:val="null3"/>
      </w:pPr>
      <w:r>
        <w:rPr>
          <w:rFonts w:ascii="仿宋_GB2312" w:hAnsi="仿宋_GB2312" w:cs="仿宋_GB2312" w:eastAsia="仿宋_GB2312"/>
        </w:rPr>
        <w:t>6、税收证明：提供开标前六个月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8、信用查询：供应商不得为“信用中国”网站（www.creditchina.gov.cn）或“中 国执信公开网” 中被列入失信被执行人、重大税收违法案件当事人名 单和中国政府采购网（www.ccgp.gov.cn）被列入政府采购严重 违法失信行为记录名单的单位。供应商需在项目电子化交易系统中 按要求上传相应证明文件并进行电子签章。开标时将由代理机构进 行现场查询。</w:t>
      </w:r>
    </w:p>
    <w:p>
      <w:pPr>
        <w:pStyle w:val="null3"/>
      </w:pPr>
      <w:r>
        <w:rPr>
          <w:rFonts w:ascii="仿宋_GB2312" w:hAnsi="仿宋_GB2312" w:cs="仿宋_GB2312" w:eastAsia="仿宋_GB2312"/>
        </w:rPr>
        <w:t>9、本项目不接受联合体投标：本项目不接受联合体投标，供应商需在项目电子化交易系统中按要 求上传相应承诺文件并进行电子签章。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王涛、陈玲娟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13572476552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采购包1：3,150,000.00元</w:t>
            </w:r>
          </w:p>
          <w:p>
            <w:pPr>
              <w:pStyle w:val="null3"/>
            </w:pPr>
            <w:r>
              <w:rPr>
                <w:rFonts w:ascii="仿宋_GB2312" w:hAnsi="仿宋_GB2312" w:cs="仿宋_GB2312" w:eastAsia="仿宋_GB2312"/>
              </w:rPr>
              <w:t>采购包2：2,550,000.00元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国家发展改革委办公厅关于招标代理服务收费有关问题的通知》（发改价格[2003]857号）、《国家发展改革委关于进一步放开建设项目专业服务价格的通知》的有关规定执行。 代理服务费汇款账号： 名 称：中昕国际项目管理有限公司 纳税人识别号：91610132773827069R 地址、电话：西安经济技术开发区凤城十二路首创禧悦里25幢A座16层 029-81317379 开户行及账号：中国建设银行股份有限公司西安文景路支行 61050178150000000278 注：汇款时需备注及项目名称（简称）+包号（如有分包）。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符合采购人需求，符合招标文件技术要求。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联系人：王涛、陈玲娟</w:t>
      </w:r>
    </w:p>
    <w:p>
      <w:pPr>
        <w:pStyle w:val="null3"/>
      </w:pPr>
      <w:r>
        <w:rPr>
          <w:rFonts w:ascii="仿宋_GB2312" w:hAnsi="仿宋_GB2312" w:cs="仿宋_GB2312" w:eastAsia="仿宋_GB2312"/>
        </w:rPr>
        <w:t>联系电话：13572476552</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AI科研创新开发一体化设备项目，该项目积极响应国家“人工智能+”行动与教育数字化转型战略，坚持以科研创新为核心，立足职业院校科研特色与智能制造领域多学科融合需求，围绕人工智能技术应用、大数据技术等专业与人工智能融合的科研场景。通过搭建适配人工智能应用的高性能教学实训环境、专用数据承载体系与高速网络传输架构，为学校开展 AI 课程教学、科研创新实践及技术研发应用，筑牢坚实完备的数字化运行保障体系。结合学校既有门户与数据治理基础，以一体化融合应用为牵引，紧扣 AI 科研与人才实践需求，打通校内业务壁垒、重塑服务流程，打造五维数据可视化空间，为AI科研创新、学生实践实训提供精准数据支撑。完善数据管控与集成，筑牢数据安全底座，保障AI科研数据、学生实践数据安全合规。整合消息体系实现高效协同，赋能人工智能科研创新与学生实践，为学校高质量发展注入数智化动能。建设AI智能体开发平台支持师生快速构建、训练部署各类教学、科研、管理智能体，赋能个性化智能应用创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3,150,000.00</w:t>
      </w:r>
    </w:p>
    <w:p>
      <w:pPr>
        <w:pStyle w:val="null3"/>
      </w:pPr>
      <w:r>
        <w:rPr>
          <w:rFonts w:ascii="仿宋_GB2312" w:hAnsi="仿宋_GB2312" w:cs="仿宋_GB2312" w:eastAsia="仿宋_GB2312"/>
        </w:rPr>
        <w:t>采购包最高限价（元）: 3,150,000.00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第一包：AI 科研创新开发平台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2,550,000.00</w:t>
      </w:r>
    </w:p>
    <w:p>
      <w:pPr>
        <w:pStyle w:val="null3"/>
      </w:pPr>
      <w:r>
        <w:rPr>
          <w:rFonts w:ascii="仿宋_GB2312" w:hAnsi="仿宋_GB2312" w:cs="仿宋_GB2312" w:eastAsia="仿宋_GB2312"/>
        </w:rPr>
        <w:t>采购包最高限价（元）: 2,550,000.00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第二包：AI 科研创新融合应用平台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标的名称：第一包：AI 科研创新开发平台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0"/>
              <w:gridCol w:w="1808"/>
              <w:gridCol w:w="224"/>
              <w:gridCol w:w="220"/>
            </w:tblGrid>
            <w:tr>
              <w:tc>
                <w:tcPr>
                  <w:tcW w:type="dxa" w:w="3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18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p>
                  <w:pPr>
                    <w:pStyle w:val="null3"/>
                    <w:jc w:val="center"/>
                  </w:pPr>
                  <w:r>
                    <w:rPr>
                      <w:rFonts w:ascii="仿宋_GB2312" w:hAnsi="仿宋_GB2312" w:cs="仿宋_GB2312" w:eastAsia="仿宋_GB2312"/>
                      <w:sz w:val="21"/>
                      <w:color w:val="000000"/>
                    </w:rPr>
                    <w:t>（套）</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AI高性能异构核心模块</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AI高性能异构核心模块，</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机箱：机架式服务器；</w:t>
                  </w:r>
                </w:p>
                <w:p>
                  <w:pPr>
                    <w:pStyle w:val="null3"/>
                    <w:jc w:val="both"/>
                  </w:pPr>
                  <w:r>
                    <w:rPr>
                      <w:rFonts w:ascii="仿宋_GB2312" w:hAnsi="仿宋_GB2312" w:cs="仿宋_GB2312" w:eastAsia="仿宋_GB2312"/>
                      <w:sz w:val="21"/>
                      <w:color w:val="000000"/>
                    </w:rPr>
                    <w:t>2.★AI芯片：本次配置8颗AI处理单元，单个AI处理单元≥310TFlops FP16，单个AI处理单元支持≥64GB HBM，非稀疏情况下：整机可提供≥2.5PFlopsFP16算力、使用FP32算力时整机可提供≥0.65PFLOPS FP32算力；提供8路AI处理单元全网状互联，AI处理单元间互联总带宽≥390GB/s；</w:t>
                  </w:r>
                </w:p>
                <w:p>
                  <w:pPr>
                    <w:pStyle w:val="null3"/>
                    <w:jc w:val="both"/>
                  </w:pPr>
                  <w:r>
                    <w:rPr>
                      <w:rFonts w:ascii="仿宋_GB2312" w:hAnsi="仿宋_GB2312" w:cs="仿宋_GB2312" w:eastAsia="仿宋_GB2312"/>
                      <w:sz w:val="21"/>
                      <w:color w:val="000000"/>
                    </w:rPr>
                    <w:t>3.★核心处理单元：本次配置配置≥4颗ARM架构国产核心处理单元，单颗物理核心数≥48核，单颗基础主频≥2.6GHz；所投服务器的CPU须符合安全可靠测评要求，提供CPU符合安全可靠测评要求的证明材料；</w:t>
                  </w:r>
                </w:p>
                <w:p>
                  <w:pPr>
                    <w:pStyle w:val="null3"/>
                    <w:jc w:val="both"/>
                  </w:pPr>
                  <w:r>
                    <w:rPr>
                      <w:rFonts w:ascii="仿宋_GB2312" w:hAnsi="仿宋_GB2312" w:cs="仿宋_GB2312" w:eastAsia="仿宋_GB2312"/>
                      <w:sz w:val="21"/>
                      <w:color w:val="000000"/>
                    </w:rPr>
                    <w:t>4.▲系统内存：本次配置≥512GB DDR4内存，支持可扩展≥1024GB内存；</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▲数据存储单元：本次配置≥2个480GB SATA SSD，≥2个3.84TB NVMe SSD；</w:t>
                  </w:r>
                  <w:r>
                    <w:rPr>
                      <w:rFonts w:ascii="仿宋_GB2312" w:hAnsi="仿宋_GB2312" w:cs="仿宋_GB2312" w:eastAsia="仿宋_GB2312"/>
                      <w:sz w:val="21"/>
                      <w:color w:val="000000"/>
                    </w:rPr>
                    <w:t>配置磁盘阵列卡，支持</w:t>
                  </w:r>
                  <w:r>
                    <w:rPr>
                      <w:rFonts w:ascii="仿宋_GB2312" w:hAnsi="仿宋_GB2312" w:cs="仿宋_GB2312" w:eastAsia="仿宋_GB2312"/>
                      <w:sz w:val="21"/>
                      <w:color w:val="000000"/>
                    </w:rPr>
                    <w:t>RAID 0/1/10/5/50/6/60，缓存≥4G，支持掉电保护功能；</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网络接口：本次配置</w:t>
                  </w:r>
                  <w:r>
                    <w:rPr>
                      <w:rFonts w:ascii="仿宋_GB2312" w:hAnsi="仿宋_GB2312" w:cs="仿宋_GB2312" w:eastAsia="仿宋_GB2312"/>
                      <w:sz w:val="21"/>
                      <w:color w:val="000000"/>
                    </w:rPr>
                    <w:t>≥4个25GE光口（含对应数量25GE光模块），≥8个200GE接口（含对应数量200GE光模块）；</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电源：本次配置</w:t>
                  </w:r>
                  <w:r>
                    <w:rPr>
                      <w:rFonts w:ascii="仿宋_GB2312" w:hAnsi="仿宋_GB2312" w:cs="仿宋_GB2312" w:eastAsia="仿宋_GB2312"/>
                      <w:sz w:val="21"/>
                      <w:color w:val="000000"/>
                    </w:rPr>
                    <w:t>≥4个热插拔电源模块，支持2+2冗余；</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.★为满足学校应用和教学要求，AI芯片厂家提供底层算子开发、模型迁移适配技术支持，提供AI芯片厂家针对本项目盖章的技术支持文件；</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服务：提供</w:t>
                  </w:r>
                  <w:r>
                    <w:rPr>
                      <w:rFonts w:ascii="仿宋_GB2312" w:hAnsi="仿宋_GB2312" w:cs="仿宋_GB2312" w:eastAsia="仿宋_GB2312"/>
                      <w:sz w:val="21"/>
                      <w:color w:val="000000"/>
                    </w:rPr>
                    <w:t>3年原厂质保服务；</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此设备为本项目核心</w:t>
                  </w:r>
                  <w:r>
                    <w:rPr>
                      <w:rFonts w:ascii="仿宋_GB2312" w:hAnsi="仿宋_GB2312" w:cs="仿宋_GB2312" w:eastAsia="仿宋_GB2312"/>
                      <w:sz w:val="21"/>
                      <w:b/>
                      <w:color w:val="000000"/>
                    </w:rPr>
                    <w:t>产品</w:t>
                  </w: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 科研创新开发数据交换模块</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集群交换节点，</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2.业务交换节点，2台</w:t>
                  </w:r>
                </w:p>
                <w:p>
                  <w:pPr>
                    <w:pStyle w:val="null3"/>
                    <w:jc w:val="both"/>
                  </w:pPr>
                  <w:r>
                    <w:rPr>
                      <w:rFonts w:ascii="仿宋_GB2312" w:hAnsi="仿宋_GB2312" w:cs="仿宋_GB2312" w:eastAsia="仿宋_GB2312"/>
                      <w:sz w:val="21"/>
                      <w:color w:val="000000"/>
                    </w:rPr>
                    <w:t>3.接入交换节点，2台</w:t>
                  </w:r>
                </w:p>
                <w:p>
                  <w:pPr>
                    <w:pStyle w:val="null3"/>
                    <w:jc w:val="both"/>
                  </w:pPr>
                  <w:r>
                    <w:rPr>
                      <w:rFonts w:ascii="仿宋_GB2312" w:hAnsi="仿宋_GB2312" w:cs="仿宋_GB2312" w:eastAsia="仿宋_GB2312"/>
                      <w:sz w:val="21"/>
                      <w:color w:val="000000"/>
                    </w:rPr>
                    <w:t>4.管理交换节点，1台</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（一）集群交换节点，</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1.▲性能：交换容量≥25Tbps，包转发率≥19000Mpps（若存在多个参数，以最小值为准）；</w:t>
                  </w:r>
                </w:p>
                <w:p>
                  <w:pPr>
                    <w:pStyle w:val="null3"/>
                    <w:jc w:val="both"/>
                  </w:pPr>
                  <w:r>
                    <w:rPr>
                      <w:rFonts w:ascii="仿宋_GB2312" w:hAnsi="仿宋_GB2312" w:cs="仿宋_GB2312" w:eastAsia="仿宋_GB2312"/>
                      <w:sz w:val="21"/>
                      <w:color w:val="000000"/>
                    </w:rPr>
                    <w:t>2.▲接口：支持 400GE QSFP-DD 光口≥32 个，10GE SFP+光口≥2 个，配置 16 个 400GE 多模光模块及配套线缆（支持一分二）；</w:t>
                  </w:r>
                </w:p>
                <w:p>
                  <w:pPr>
                    <w:pStyle w:val="null3"/>
                    <w:jc w:val="both"/>
                  </w:pPr>
                  <w:r>
                    <w:rPr>
                      <w:rFonts w:ascii="仿宋_GB2312" w:hAnsi="仿宋_GB2312" w:cs="仿宋_GB2312" w:eastAsia="仿宋_GB2312"/>
                      <w:sz w:val="21"/>
                      <w:color w:val="000000"/>
                    </w:rPr>
                    <w:t>3.▲电源风扇：要求配置 2 个交流电源模块，6 个风扇模块；</w:t>
                  </w:r>
                </w:p>
                <w:p>
                  <w:pPr>
                    <w:pStyle w:val="null3"/>
                    <w:jc w:val="both"/>
                  </w:pPr>
                  <w:r>
                    <w:rPr>
                      <w:rFonts w:ascii="仿宋_GB2312" w:hAnsi="仿宋_GB2312" w:cs="仿宋_GB2312" w:eastAsia="仿宋_GB2312"/>
                      <w:sz w:val="21"/>
                      <w:color w:val="000000"/>
                    </w:rPr>
                    <w:t>4.路由功能：支持 RIP、OSPF、ISIS、BGP、RIPng、OSPFv3、ISISv6、BGP4+等动态路由协议；</w:t>
                  </w:r>
                </w:p>
                <w:p>
                  <w:pPr>
                    <w:pStyle w:val="null3"/>
                    <w:jc w:val="both"/>
                  </w:pPr>
                  <w:r>
                    <w:rPr>
                      <w:rFonts w:ascii="仿宋_GB2312" w:hAnsi="仿宋_GB2312" w:cs="仿宋_GB2312" w:eastAsia="仿宋_GB2312"/>
                      <w:sz w:val="21"/>
                      <w:color w:val="000000"/>
                    </w:rPr>
                    <w:t>5.▲设备表项：支持 FIBv4 表项≥1500K，FIBv6 表项≥750K；</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可靠性：支持</w:t>
                  </w:r>
                  <w:r>
                    <w:rPr>
                      <w:rFonts w:ascii="仿宋_GB2312" w:hAnsi="仿宋_GB2312" w:cs="仿宋_GB2312" w:eastAsia="仿宋_GB2312"/>
                      <w:sz w:val="21"/>
                      <w:color w:val="000000"/>
                    </w:rPr>
                    <w:t>M-LAG 或 vPC 或 DRNI 等跨机箱链路捆绑技术，支持一致性检查、维护模式无损升级、协议认证等功能；</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BFD 功能：支持硬件 BFD，最小 3.3ms 发包间隔；</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智能运维：支持缓存的微突发状态统计；支持数据面故障快速自愈</w:t>
                  </w:r>
                  <w:r>
                    <w:rPr>
                      <w:rFonts w:ascii="仿宋_GB2312" w:hAnsi="仿宋_GB2312" w:cs="仿宋_GB2312" w:eastAsia="仿宋_GB2312"/>
                      <w:sz w:val="21"/>
                      <w:color w:val="000000"/>
                    </w:rPr>
                    <w:t>DPFR；</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b/>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智能无损：支持</w:t>
                  </w:r>
                  <w:r>
                    <w:rPr>
                      <w:rFonts w:ascii="仿宋_GB2312" w:hAnsi="仿宋_GB2312" w:cs="仿宋_GB2312" w:eastAsia="仿宋_GB2312"/>
                      <w:sz w:val="21"/>
                      <w:color w:val="000000"/>
                    </w:rPr>
                    <w:t>RDMA 和 RoCEv2 智能无损网络，支持AI ECN 和 PFC 功能；</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流量分析：支持</w:t>
                  </w:r>
                  <w:r>
                    <w:rPr>
                      <w:rFonts w:ascii="仿宋_GB2312" w:hAnsi="仿宋_GB2312" w:cs="仿宋_GB2312" w:eastAsia="仿宋_GB2312"/>
                      <w:sz w:val="21"/>
                      <w:color w:val="000000"/>
                    </w:rPr>
                    <w:t>Netstream 1:1 采样功能，支持 IFIT随流检测功能；</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4"/>
                    </w:rPr>
                    <w:t>#</w:t>
                  </w:r>
                  <w:r>
                    <w:rPr>
                      <w:rFonts w:ascii="仿宋_GB2312" w:hAnsi="仿宋_GB2312" w:cs="仿宋_GB2312" w:eastAsia="仿宋_GB2312"/>
                      <w:sz w:val="21"/>
                    </w:rPr>
                    <w:t>维护管理：</w:t>
                  </w:r>
                  <w:r>
                    <w:rPr>
                      <w:rFonts w:ascii="仿宋_GB2312" w:hAnsi="仿宋_GB2312" w:cs="仿宋_GB2312" w:eastAsia="仿宋_GB2312"/>
                      <w:sz w:val="21"/>
                    </w:rPr>
                    <w:t>支持</w:t>
                  </w:r>
                  <w:r>
                    <w:rPr>
                      <w:rFonts w:ascii="仿宋_GB2312" w:hAnsi="仿宋_GB2312" w:cs="仿宋_GB2312" w:eastAsia="仿宋_GB2312"/>
                      <w:sz w:val="21"/>
                    </w:rPr>
                    <w:t>SNMPv1/v2/v3等网络管理协议</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Console、Telnet、SSH</w:t>
                  </w:r>
                  <w:r>
                    <w:rPr>
                      <w:rFonts w:ascii="仿宋_GB2312" w:hAnsi="仿宋_GB2312" w:cs="仿宋_GB2312" w:eastAsia="仿宋_GB2312"/>
                      <w:sz w:val="21"/>
                    </w:rPr>
                    <w:t>管理方式；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.▲国产化：关键芯片 CPU、交换芯片均为国产芯片；</w:t>
                  </w:r>
                </w:p>
                <w:p>
                  <w:pPr>
                    <w:pStyle w:val="null3"/>
                    <w:numPr>
                      <w:ilvl w:val="0"/>
                      <w:numId w:val="1"/>
                    </w:numPr>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服务：三年原厂硬件质保服务；</w:t>
                  </w:r>
                </w:p>
                <w:p>
                  <w:pPr>
                    <w:pStyle w:val="null3"/>
                    <w:jc w:val="both"/>
                  </w:pPr>
                  <w:r>
                    <w:rPr>
                      <w:rFonts w:ascii="仿宋_GB2312" w:hAnsi="仿宋_GB2312" w:cs="仿宋_GB2312" w:eastAsia="仿宋_GB2312"/>
                      <w:sz w:val="21"/>
                      <w:color w:val="000000"/>
                    </w:rPr>
                    <w:t>（二）业务交换节点，</w:t>
                  </w:r>
                  <w:r>
                    <w:rPr>
                      <w:rFonts w:ascii="仿宋_GB2312" w:hAnsi="仿宋_GB2312" w:cs="仿宋_GB2312" w:eastAsia="仿宋_GB2312"/>
                      <w:sz w:val="21"/>
                      <w:color w:val="000000"/>
                    </w:rPr>
                    <w:t>2台</w:t>
                  </w:r>
                </w:p>
                <w:p>
                  <w:pPr>
                    <w:pStyle w:val="null3"/>
                    <w:jc w:val="both"/>
                  </w:pPr>
                  <w:r>
                    <w:rPr>
                      <w:rFonts w:ascii="仿宋_GB2312" w:hAnsi="仿宋_GB2312" w:cs="仿宋_GB2312" w:eastAsia="仿宋_GB2312"/>
                      <w:sz w:val="21"/>
                      <w:color w:val="000000"/>
                    </w:rPr>
                    <w:t>1.▲性能：交换容量≥8Tbps，包转发率≥2000Mpps（若存在多个参数，以最小值为准）；</w:t>
                  </w:r>
                </w:p>
                <w:p>
                  <w:pPr>
                    <w:pStyle w:val="null3"/>
                    <w:jc w:val="both"/>
                  </w:pPr>
                  <w:r>
                    <w:rPr>
                      <w:rFonts w:ascii="仿宋_GB2312" w:hAnsi="仿宋_GB2312" w:cs="仿宋_GB2312" w:eastAsia="仿宋_GB2312"/>
                      <w:sz w:val="21"/>
                      <w:color w:val="000000"/>
                    </w:rPr>
                    <w:t>2.▲接口：支持 10/25GE SFP28 光口≥48 个，100/200GE光口≥8 个，配置 10 个 25GE 多模光模块，4 个 100GE 多模光模块；</w:t>
                  </w:r>
                </w:p>
                <w:p>
                  <w:pPr>
                    <w:pStyle w:val="null3"/>
                    <w:jc w:val="both"/>
                  </w:pPr>
                  <w:r>
                    <w:rPr>
                      <w:rFonts w:ascii="仿宋_GB2312" w:hAnsi="仿宋_GB2312" w:cs="仿宋_GB2312" w:eastAsia="仿宋_GB2312"/>
                      <w:sz w:val="21"/>
                      <w:color w:val="000000"/>
                    </w:rPr>
                    <w:t>3.▲电源风扇：要求配置2个交流电源，5 个风扇模块；</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路由功能：支持</w:t>
                  </w:r>
                  <w:r>
                    <w:rPr>
                      <w:rFonts w:ascii="仿宋_GB2312" w:hAnsi="仿宋_GB2312" w:cs="仿宋_GB2312" w:eastAsia="仿宋_GB2312"/>
                      <w:sz w:val="21"/>
                      <w:color w:val="000000"/>
                    </w:rPr>
                    <w:t>RIP、OSPF、ISIS、BGP、RIPng、OSPFv3、ISISv6、BGP4+等动态路由协议；</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设备表项：支持</w:t>
                  </w:r>
                  <w:r>
                    <w:rPr>
                      <w:rFonts w:ascii="仿宋_GB2312" w:hAnsi="仿宋_GB2312" w:cs="仿宋_GB2312" w:eastAsia="仿宋_GB2312"/>
                      <w:sz w:val="21"/>
                      <w:color w:val="000000"/>
                    </w:rPr>
                    <w:t>FIBv4 表项≥1500K，FIBv6 表项≥750K；</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可靠性：支持</w:t>
                  </w:r>
                  <w:r>
                    <w:rPr>
                      <w:rFonts w:ascii="仿宋_GB2312" w:hAnsi="仿宋_GB2312" w:cs="仿宋_GB2312" w:eastAsia="仿宋_GB2312"/>
                      <w:sz w:val="21"/>
                      <w:color w:val="000000"/>
                    </w:rPr>
                    <w:t>M-LAG 或 vPC 或 DRNI 等跨机箱链路捆绑技术，支持一致性检查、维护模式无损升级、协议认证等功能；</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BFD 功能：支持硬件 BFD，最小 3.3ms 发包间隔；</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智能运维：支持缓存的微突发状态统计；支持数据面故障快速自愈</w:t>
                  </w:r>
                  <w:r>
                    <w:rPr>
                      <w:rFonts w:ascii="仿宋_GB2312" w:hAnsi="仿宋_GB2312" w:cs="仿宋_GB2312" w:eastAsia="仿宋_GB2312"/>
                      <w:sz w:val="21"/>
                      <w:color w:val="000000"/>
                    </w:rPr>
                    <w:t>DPFR；</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智能无损：支持</w:t>
                  </w:r>
                  <w:r>
                    <w:rPr>
                      <w:rFonts w:ascii="仿宋_GB2312" w:hAnsi="仿宋_GB2312" w:cs="仿宋_GB2312" w:eastAsia="仿宋_GB2312"/>
                      <w:sz w:val="21"/>
                      <w:color w:val="000000"/>
                    </w:rPr>
                    <w:t>RDMA 和 RoCEv2 智能无损网络，支持AI ECN 和 PFC 功能；</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流量分析：支持</w:t>
                  </w:r>
                  <w:r>
                    <w:rPr>
                      <w:rFonts w:ascii="仿宋_GB2312" w:hAnsi="仿宋_GB2312" w:cs="仿宋_GB2312" w:eastAsia="仿宋_GB2312"/>
                      <w:sz w:val="21"/>
                      <w:color w:val="000000"/>
                    </w:rPr>
                    <w:t>Netstream 1:1 采样功能，支持 IFIT随流检测功能；</w:t>
                  </w:r>
                </w:p>
                <w:p>
                  <w:pPr>
                    <w:pStyle w:val="null3"/>
                    <w:jc w:val="both"/>
                  </w:pPr>
                  <w:r>
                    <w:rPr>
                      <w:rFonts w:ascii="仿宋_GB2312" w:hAnsi="仿宋_GB2312" w:cs="仿宋_GB2312" w:eastAsia="仿宋_GB2312"/>
                      <w:sz w:val="21"/>
                      <w:color w:val="000000"/>
                    </w:rPr>
                    <w:t>11.▲国产化：关键芯片 CPU、交换芯片均为国产芯片；</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服务：三年原厂硬件质保服务；</w:t>
                  </w:r>
                </w:p>
                <w:p>
                  <w:pPr>
                    <w:pStyle w:val="null3"/>
                    <w:jc w:val="both"/>
                  </w:pPr>
                  <w:r>
                    <w:rPr>
                      <w:rFonts w:ascii="仿宋_GB2312" w:hAnsi="仿宋_GB2312" w:cs="仿宋_GB2312" w:eastAsia="仿宋_GB2312"/>
                      <w:sz w:val="21"/>
                      <w:color w:val="000000"/>
                    </w:rPr>
                    <w:t>（三）接入交换节点，</w:t>
                  </w:r>
                  <w:r>
                    <w:rPr>
                      <w:rFonts w:ascii="仿宋_GB2312" w:hAnsi="仿宋_GB2312" w:cs="仿宋_GB2312" w:eastAsia="仿宋_GB2312"/>
                      <w:sz w:val="21"/>
                      <w:color w:val="000000"/>
                    </w:rPr>
                    <w:t>2台</w:t>
                  </w:r>
                </w:p>
                <w:p>
                  <w:pPr>
                    <w:pStyle w:val="null3"/>
                    <w:jc w:val="both"/>
                  </w:pPr>
                  <w:r>
                    <w:rPr>
                      <w:rFonts w:ascii="仿宋_GB2312" w:hAnsi="仿宋_GB2312" w:cs="仿宋_GB2312" w:eastAsia="仿宋_GB2312"/>
                      <w:sz w:val="21"/>
                      <w:color w:val="000000"/>
                    </w:rPr>
                    <w:t>1.▲性能：交换容量≥8Tbps，包转发率≥2000Mpps（若存在多个参数，以最小值为准）；</w:t>
                  </w:r>
                </w:p>
                <w:p>
                  <w:pPr>
                    <w:pStyle w:val="null3"/>
                    <w:jc w:val="both"/>
                  </w:pPr>
                  <w:r>
                    <w:rPr>
                      <w:rFonts w:ascii="仿宋_GB2312" w:hAnsi="仿宋_GB2312" w:cs="仿宋_GB2312" w:eastAsia="仿宋_GB2312"/>
                      <w:sz w:val="21"/>
                      <w:color w:val="000000"/>
                    </w:rPr>
                    <w:t>2.▲接口：支持 10/25GE SFP28 光口≥48 个，100/200GE光口≥8 个，配置 10 个 25GE 多模光模块；</w:t>
                  </w:r>
                </w:p>
                <w:p>
                  <w:pPr>
                    <w:pStyle w:val="null3"/>
                    <w:jc w:val="both"/>
                  </w:pPr>
                  <w:r>
                    <w:rPr>
                      <w:rFonts w:ascii="仿宋_GB2312" w:hAnsi="仿宋_GB2312" w:cs="仿宋_GB2312" w:eastAsia="仿宋_GB2312"/>
                      <w:sz w:val="21"/>
                      <w:color w:val="000000"/>
                    </w:rPr>
                    <w:t>3.▲电源风扇：要求配置2个交流电源，5 个风扇模块；</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路由功能：支持</w:t>
                  </w:r>
                  <w:r>
                    <w:rPr>
                      <w:rFonts w:ascii="仿宋_GB2312" w:hAnsi="仿宋_GB2312" w:cs="仿宋_GB2312" w:eastAsia="仿宋_GB2312"/>
                      <w:sz w:val="21"/>
                      <w:color w:val="000000"/>
                    </w:rPr>
                    <w:t>RIP、OSPF、ISIS、BGP、RIPng、OSPFv3、ISISv6、BGP4+等动态路由协议；</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设备表项：支持</w:t>
                  </w:r>
                  <w:r>
                    <w:rPr>
                      <w:rFonts w:ascii="仿宋_GB2312" w:hAnsi="仿宋_GB2312" w:cs="仿宋_GB2312" w:eastAsia="仿宋_GB2312"/>
                      <w:sz w:val="21"/>
                      <w:color w:val="000000"/>
                    </w:rPr>
                    <w:t>FIBv4 表项≥1500K，FIBv6 表项≥750K；</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可靠性：支持</w:t>
                  </w:r>
                  <w:r>
                    <w:rPr>
                      <w:rFonts w:ascii="仿宋_GB2312" w:hAnsi="仿宋_GB2312" w:cs="仿宋_GB2312" w:eastAsia="仿宋_GB2312"/>
                      <w:sz w:val="21"/>
                      <w:color w:val="000000"/>
                    </w:rPr>
                    <w:t>M-LAG 或 vPC 或 DRNI 等跨机箱链路捆绑技术，支持一致性检查、维护模式无损升级、协议认证等功能；</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BFD 功能：支持硬件 BFD，最小 3.3ms 发包间隔；</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智能运维：支持缓存的微突发状态统计；支持数据面故障快速自愈</w:t>
                  </w:r>
                  <w:r>
                    <w:rPr>
                      <w:rFonts w:ascii="仿宋_GB2312" w:hAnsi="仿宋_GB2312" w:cs="仿宋_GB2312" w:eastAsia="仿宋_GB2312"/>
                      <w:sz w:val="21"/>
                      <w:color w:val="000000"/>
                    </w:rPr>
                    <w:t>DPFR；</w:t>
                  </w:r>
                </w:p>
                <w:p>
                  <w:pPr>
                    <w:pStyle w:val="null3"/>
                    <w:jc w:val="both"/>
                  </w:pPr>
                  <w:r>
                    <w:rPr>
                      <w:rFonts w:ascii="仿宋_GB2312" w:hAnsi="仿宋_GB2312" w:cs="仿宋_GB2312" w:eastAsia="仿宋_GB2312"/>
                      <w:sz w:val="21"/>
                      <w:color w:val="000000"/>
                    </w:rPr>
                    <w:t>9.</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智能无损：支持</w:t>
                  </w:r>
                  <w:r>
                    <w:rPr>
                      <w:rFonts w:ascii="仿宋_GB2312" w:hAnsi="仿宋_GB2312" w:cs="仿宋_GB2312" w:eastAsia="仿宋_GB2312"/>
                      <w:sz w:val="21"/>
                      <w:color w:val="000000"/>
                    </w:rPr>
                    <w:t>RDMA 和 RoCEv2 智能无损网络，支持AI ECN 和 PFC 功能；</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流量分析：支持</w:t>
                  </w:r>
                  <w:r>
                    <w:rPr>
                      <w:rFonts w:ascii="仿宋_GB2312" w:hAnsi="仿宋_GB2312" w:cs="仿宋_GB2312" w:eastAsia="仿宋_GB2312"/>
                      <w:sz w:val="21"/>
                      <w:color w:val="000000"/>
                    </w:rPr>
                    <w:t>Netstream 1:1 采样功能，支持 IFIT随流检测功能；</w:t>
                  </w:r>
                </w:p>
                <w:p>
                  <w:pPr>
                    <w:pStyle w:val="null3"/>
                    <w:jc w:val="both"/>
                  </w:pPr>
                  <w:r>
                    <w:rPr>
                      <w:rFonts w:ascii="仿宋_GB2312" w:hAnsi="仿宋_GB2312" w:cs="仿宋_GB2312" w:eastAsia="仿宋_GB2312"/>
                      <w:sz w:val="21"/>
                      <w:color w:val="000000"/>
                    </w:rPr>
                    <w:t>11.▲国产化：关键芯片 CPU、交换芯片均为国产芯片；</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服务：三年原厂硬件质保服务；</w:t>
                  </w:r>
                </w:p>
                <w:p>
                  <w:pPr>
                    <w:pStyle w:val="null3"/>
                    <w:jc w:val="both"/>
                  </w:pPr>
                  <w:r>
                    <w:rPr>
                      <w:rFonts w:ascii="仿宋_GB2312" w:hAnsi="仿宋_GB2312" w:cs="仿宋_GB2312" w:eastAsia="仿宋_GB2312"/>
                      <w:sz w:val="21"/>
                      <w:color w:val="000000"/>
                    </w:rPr>
                    <w:t>（四）管理交换节点，</w:t>
                  </w:r>
                  <w:r>
                    <w:rPr>
                      <w:rFonts w:ascii="仿宋_GB2312" w:hAnsi="仿宋_GB2312" w:cs="仿宋_GB2312" w:eastAsia="仿宋_GB2312"/>
                      <w:sz w:val="21"/>
                      <w:color w:val="000000"/>
                    </w:rPr>
                    <w:t>1台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性能：交换容量</w:t>
                  </w:r>
                  <w:r>
                    <w:rPr>
                      <w:rFonts w:ascii="仿宋_GB2312" w:hAnsi="仿宋_GB2312" w:cs="仿宋_GB2312" w:eastAsia="仿宋_GB2312"/>
                      <w:sz w:val="21"/>
                      <w:color w:val="000000"/>
                    </w:rPr>
                    <w:t>≥700Gbps，包转发率≥250Mpps（若存在多个参数，以最小值为准）；</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接口：支持</w:t>
                  </w:r>
                  <w:r>
                    <w:rPr>
                      <w:rFonts w:ascii="仿宋_GB2312" w:hAnsi="仿宋_GB2312" w:cs="仿宋_GB2312" w:eastAsia="仿宋_GB2312"/>
                      <w:sz w:val="21"/>
                      <w:color w:val="000000"/>
                    </w:rPr>
                    <w:t>10/100/1000BASE-T 以太网端口≥48 个，万兆 SFP+光口≥4 个，配置 4 个万兆多模光模块；</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电源风扇：要求配置</w:t>
                  </w:r>
                  <w:r>
                    <w:rPr>
                      <w:rFonts w:ascii="仿宋_GB2312" w:hAnsi="仿宋_GB2312" w:cs="仿宋_GB2312" w:eastAsia="仿宋_GB2312"/>
                      <w:sz w:val="21"/>
                      <w:color w:val="000000"/>
                    </w:rPr>
                    <w:t>2 个交流电源，2 个风扇模块；</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VLAN 功能：支持 4K VLAN，支持IP、MAC、端口、VLAN的组合绑定；</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路由功能：支持</w:t>
                  </w:r>
                  <w:r>
                    <w:rPr>
                      <w:rFonts w:ascii="仿宋_GB2312" w:hAnsi="仿宋_GB2312" w:cs="仿宋_GB2312" w:eastAsia="仿宋_GB2312"/>
                      <w:sz w:val="21"/>
                      <w:color w:val="000000"/>
                    </w:rPr>
                    <w:t>RIP、OSPF、ISIS、BGP、RIPng、OSPFv3、ISISv6、BGP4+等动态路由协议；</w:t>
                  </w:r>
                </w:p>
                <w:p>
                  <w:pPr>
                    <w:pStyle w:val="null3"/>
                    <w:jc w:val="both"/>
                  </w:pPr>
                  <w:r>
                    <w:rPr>
                      <w:rFonts w:ascii="仿宋_GB2312" w:hAnsi="仿宋_GB2312" w:cs="仿宋_GB2312" w:eastAsia="仿宋_GB2312"/>
                      <w:sz w:val="21"/>
                      <w:color w:val="000000"/>
                    </w:rPr>
                    <w:t>6.▲国产化：关键芯片 CPU、交换芯片均为国产芯片；</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服务：三年原厂硬件质保服务；</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 科研创新开发互动设备</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AI 科研创新开发互动设备，</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取景传感设备</w:t>
                  </w:r>
                  <w:r>
                    <w:rPr>
                      <w:rFonts w:ascii="仿宋_GB2312" w:hAnsi="仿宋_GB2312" w:cs="仿宋_GB2312" w:eastAsia="仿宋_GB2312"/>
                      <w:sz w:val="21"/>
                      <w:color w:val="000000"/>
                    </w:rPr>
                    <w:t>≥8000000PIXEL，使用国产化操作系统，互动采样传感设备≥13000000PIXEL，视觉体验模块≥2800x1840，数据缓存资源容量：≥8GB；数据存储容量≥256GB，终端接口支持Type-C</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一体化融合应用工作台</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一体化融合应用工作台，</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在学校现有融合门户平台基础上构建一体化融合应用工作台，实现全场景、一站式功能整合与集约化呈现。</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深度汇聚整合校内各类应用系统入口、数据空间可视化展示、个人待办事项提醒、全流程业务办理等核心功能，打破原有门户中办事大厅、数据展示、业务应用相互割裂、分散独立的现状，有效解决功能分散、入口繁多、页面跳转繁琐等问题，打造集中统一、便捷高效的综合服务与一站式操作入口。全面提升门户使用体验与服务效能，支持师生在单一页面内即可完成应用快速访问、数据直观查阅、待办一键处理、流程便捷发起等全链路操作，实现校园信息化服务从</w:t>
                  </w:r>
                  <w:r>
                    <w:rPr>
                      <w:rFonts w:ascii="仿宋_GB2312" w:hAnsi="仿宋_GB2312" w:cs="仿宋_GB2312" w:eastAsia="仿宋_GB2312"/>
                      <w:sz w:val="21"/>
                      <w:color w:val="000000"/>
                    </w:rPr>
                    <w:t>“分散展示”向“集约融合、一站直达、高效办理”的转型升级，为全校师生提供极简、高效、统一的前端服务支撑，显著提升校园智慧化服务水平与用户满意度。</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业务办理与进度管控</w:t>
                  </w:r>
                </w:p>
                <w:p>
                  <w:pPr>
                    <w:pStyle w:val="null3"/>
                    <w:jc w:val="both"/>
                  </w:pPr>
                  <w:r>
                    <w:rPr>
                      <w:rFonts w:ascii="仿宋_GB2312" w:hAnsi="仿宋_GB2312" w:cs="仿宋_GB2312" w:eastAsia="仿宋_GB2312"/>
                      <w:sz w:val="21"/>
                      <w:color w:val="000000"/>
                    </w:rPr>
                    <w:t>▲应支持第三方事项办理页面嵌入学校现有门户平台内展示，融合并在工作台集中展示来自不同已对接系统的审批事项流转信息，支持点击后直接进入事项处理页面，无需跳转至对应第三方业务系统，且支持在工作台直接查看办理进度，实现全校各业务系统审批事项的互联互通与融合展示。</w:t>
                  </w:r>
                </w:p>
                <w:p>
                  <w:pPr>
                    <w:pStyle w:val="null3"/>
                    <w:jc w:val="both"/>
                  </w:pPr>
                  <w:r>
                    <w:rPr>
                      <w:rFonts w:ascii="仿宋_GB2312" w:hAnsi="仿宋_GB2312" w:cs="仿宋_GB2312" w:eastAsia="仿宋_GB2312"/>
                      <w:sz w:val="21"/>
                      <w:color w:val="000000"/>
                    </w:rPr>
                    <w:t>支持个人需办理事项数据汇总，统一查看待处理事务；支持个人已办结事项数据汇总，统一查看已处理业务；支持待阅信息、已阅信息及各类申请办事业务数据的统一汇总与展示。</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支持关键字检索、多字段组合查询；支持将业务系统事项关键字段信息推送至平台展示；支持以任务条形式展示业务系统事项流转处理记录及各节点办理耗时。</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支持事务催办提醒功能，教师可对个人提交的申请事务发起催办，提醒审批人员及时处理，催办指令可根据实际需求关闭。</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服务汇聚与集约化管控</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构建平台全域服务集中展示，实现全量可用服务一站式汇聚呈现，面向用户提供完整访问入口，支持服务关键词检索及个性化收藏管理。</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支持基于多维度分类标签实现服务资源精准筛选，筛选场景涵盖个人收藏、自建服务、部门归属、业务类型等多种维度。</w:t>
                  </w:r>
                </w:p>
                <w:p>
                  <w:pPr>
                    <w:pStyle w:val="null3"/>
                    <w:jc w:val="both"/>
                  </w:pPr>
                  <w:r>
                    <w:rPr>
                      <w:rFonts w:ascii="仿宋_GB2312" w:hAnsi="仿宋_GB2312" w:cs="仿宋_GB2312" w:eastAsia="仿宋_GB2312"/>
                      <w:sz w:val="21"/>
                      <w:color w:val="000000"/>
                    </w:rPr>
                    <w:t>在平台集成管控体系下，支持系统访问入口与业务流程服务入口分层分场景展示；针对流程类服务入口，可按照平台标准集成规范，内嵌展示完整配套办事指引信息，包含办事审批进度、服务表单、流程图及流转记录等内容，并支持一键导出和打印。（需提供演示）</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支持对服务资源列表执行多维度个性化排序。</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资讯展示与个性化推送</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实现对校园资讯信息的集中梳理与分类呈现，支持用户根据个人需求进行栏目订阅，提供拖拽排序、卡片式增减、信息收藏及历史检索功能，实现个性化信息精准触达。</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通过标准</w:t>
                  </w:r>
                  <w:r>
                    <w:rPr>
                      <w:rFonts w:ascii="仿宋_GB2312" w:hAnsi="仿宋_GB2312" w:cs="仿宋_GB2312" w:eastAsia="仿宋_GB2312"/>
                      <w:sz w:val="21"/>
                      <w:color w:val="000000"/>
                    </w:rPr>
                    <w:t xml:space="preserve"> API </w:t>
                  </w:r>
                  <w:r>
                    <w:rPr>
                      <w:rFonts w:ascii="仿宋_GB2312" w:hAnsi="仿宋_GB2312" w:cs="仿宋_GB2312" w:eastAsia="仿宋_GB2312"/>
                      <w:sz w:val="21"/>
                      <w:color w:val="000000"/>
                    </w:rPr>
                    <w:t>对接模式，支持信息内容在平台内直接呈现，也可跳转至原业务详情页面；平台内展示支持内容打印、附件预览等操作。</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智能信息推荐，依托信息发布时间、浏览量、浏览人群等基础数据，采用协同过滤算法为用户精准推送相关信息内容。个性化偏好推荐，用户可主动关注指定标签类信息，平台将依据用户偏好持续推送同类型信息内容。</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AI</w:t>
                  </w:r>
                  <w:r>
                    <w:rPr>
                      <w:rFonts w:ascii="仿宋_GB2312" w:hAnsi="仿宋_GB2312" w:cs="仿宋_GB2312" w:eastAsia="仿宋_GB2312"/>
                      <w:sz w:val="21"/>
                      <w:color w:val="000000"/>
                    </w:rPr>
                    <w:t>智能服务，实时响应师生的操作疑问、业务咨询，同步自动推荐对应办事流程、自动填写相关信息并校验相关材料的合规性、完整性，有效降低师生操作门槛。</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AI智能体开发平台</w:t>
                  </w:r>
                </w:p>
              </w:tc>
              <w:tc>
                <w:tcPr>
                  <w:tcW w:type="dxa" w:w="18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AI智能体开发平台，</w:t>
                  </w:r>
                  <w:r>
                    <w:rPr>
                      <w:rFonts w:ascii="仿宋_GB2312" w:hAnsi="仿宋_GB2312" w:cs="仿宋_GB2312" w:eastAsia="仿宋_GB2312"/>
                      <w:sz w:val="21"/>
                      <w:color w:val="000000"/>
                    </w:rPr>
                    <w:t>1套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服务权限与资源管控：支持创建团队空间，邀请校内外用户共同管理资源，团队空间数量无限制。空间所有者拥有完整管理权限，包括编辑空间简介、管理空间成员、转让团队、删除团队等操作。工作空间实现资源隔离，不同空间间资源和数据完全隔离，确保敏感数据安全，支持私有化部署。支持配置资源发布权限，可设置允许全部成员发布智能体和应用，或仅限白名单成员发布，确保项目质量和安全性。</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模型管理：提供包含但不限于：</w:t>
                  </w:r>
                  <w:r>
                    <w:rPr>
                      <w:rFonts w:ascii="仿宋_GB2312" w:hAnsi="仿宋_GB2312" w:cs="仿宋_GB2312" w:eastAsia="仿宋_GB2312"/>
                      <w:sz w:val="21"/>
                      <w:color w:val="000000"/>
                    </w:rPr>
                    <w:t>doubao、kimi、DeepSeek、智谱清言等主流模型接入，提供不同任务类型的模型能力评估。支持深度思考模型、大语言模型。</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提供视觉语言模型、向量模型、视觉大模型、语音大模型。支持信息抽取、内容创作、代码生成、文生图、深度思考、图生视频、文生视频、角色扮演、逻辑推理、翻译能力。</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能够接入开源模型：支持对接学校本地大模型。</w:t>
                  </w:r>
                </w:p>
                <w:p>
                  <w:pPr>
                    <w:pStyle w:val="null3"/>
                    <w:jc w:val="both"/>
                  </w:pPr>
                  <w:r>
                    <w:rPr>
                      <w:rFonts w:ascii="仿宋_GB2312" w:hAnsi="仿宋_GB2312" w:cs="仿宋_GB2312" w:eastAsia="仿宋_GB2312"/>
                      <w:sz w:val="21"/>
                      <w:color w:val="000000"/>
                    </w:rPr>
                    <w:t>大模型体验中心：用户可以通过对话的方式进行模型试用，包括模型选择、模型参数配置、</w:t>
                  </w:r>
                  <w:r>
                    <w:rPr>
                      <w:rFonts w:ascii="仿宋_GB2312" w:hAnsi="仿宋_GB2312" w:cs="仿宋_GB2312" w:eastAsia="仿宋_GB2312"/>
                      <w:sz w:val="21"/>
                      <w:color w:val="000000"/>
                    </w:rPr>
                    <w:t>Prompt编写Prompt模板引用、编辑历史会话管理。全部模型及工具的免费调用。（需提供演示）</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Prompt开发与管理：支持通过自然语言告诉 AI 期望编写或优化的提示词，大语言模型会根据描述，自动生成提示词；支持根据调试结果，告诉 AI 提示词哪里不符合预期以及预期效果，通过大语言模型会自动完成优化。 支持各种业务场景的提示词模版，支持直接使用这些模版，或将其修改为更适合自己业务的提示词。 支持在资源库中创建提示词，供团队内的其他成员引用。通过更新和丰富提示词资源库，可以不断提高提示词的编写效率。</w:t>
                  </w:r>
                </w:p>
                <w:p>
                  <w:pPr>
                    <w:pStyle w:val="null3"/>
                    <w:jc w:val="both"/>
                  </w:pPr>
                  <w:r>
                    <w:rPr>
                      <w:rFonts w:ascii="仿宋_GB2312" w:hAnsi="仿宋_GB2312" w:cs="仿宋_GB2312" w:eastAsia="仿宋_GB2312"/>
                      <w:sz w:val="21"/>
                      <w:color w:val="000000"/>
                    </w:rPr>
                    <w:t>数字分身：支持行业领先的大模型，用户通过自然语言与</w:t>
                  </w:r>
                  <w:r>
                    <w:rPr>
                      <w:rFonts w:ascii="仿宋_GB2312" w:hAnsi="仿宋_GB2312" w:cs="仿宋_GB2312" w:eastAsia="仿宋_GB2312"/>
                      <w:sz w:val="21"/>
                      <w:color w:val="000000"/>
                    </w:rPr>
                    <w:t>Agent 对话实现通用任务，支持8大类数字技能，包括高质量生成文档、PPT、视频、图片、网页、表格、播客、图表。基于 SOUL.md、USER.md、MEMORY.md、TOOLS.md、CONTACT.md、SECRET.md 等结构化记忆文件沉淀 Agent 人设、用户画像、长期事实、工具使用方式与敏感信息，支持跨会话、跨场景复用；支持为用户的 Agent 分配专属云手机与云电脑。支持生成多种格式内容，包括PPT幻灯片、网页、PDF、Markdown文档、Excel表格等，满足不同办公场景需求，支持一键导出可编辑文件。支持通过 CLI 创建和管理 Agent、Workflow、Web 应用、Skill、小程序等资源。支持从文案策划、剧本生成到成片导出的完整视频生产流程，提供对话式剪辑与时间线手动剪辑双轨模式，可灵活调整镜头、配音和字幕；支持导出通用 MP4 文件和视频剪辑工程，适用于品牌宣传、培训课程、短剧等视频场景。提供开箱即用的行业化的技能商店，可以通过自然语言方式开发专属技能，平台提供开箱免费可用的技能≥100款，同时支持技能自定义开发上传、下载、搜索与分享，技能可分享到学校组织内或平台生态。</w:t>
                  </w:r>
                </w:p>
                <w:p>
                  <w:pPr>
                    <w:pStyle w:val="null3"/>
                    <w:jc w:val="both"/>
                  </w:pPr>
                  <w:r>
                    <w:rPr>
                      <w:rFonts w:ascii="仿宋_GB2312" w:hAnsi="仿宋_GB2312" w:cs="仿宋_GB2312" w:eastAsia="仿宋_GB2312"/>
                      <w:sz w:val="21"/>
                      <w:color w:val="000000"/>
                    </w:rPr>
                    <w:t>Vibe Coding能力：支持通过简单对话让AI承担编码调试等繁琐工作，将复杂代码逻辑转变为清晰可见的图形界面。支持通过自然语言对话的发方式完成应用开发，开发过程自动分配云端运行环境，自主解决编码所需基础功能和依赖环境。支持通过简单的对话即可构建全代码智能体。支持全代码开发工作流，将用户需求转化为可执行、可观测、可迭代的工作流代码，支持API集成。支持快速封装可复用的AI能力单元，支持灵活嵌入，提供模块化功能扩展。支持全栈网页应用开发，支持自定义设置视觉风格，可实现自定义域名部署。支持全代码移动应用程序开发，支持一键生成可供下载的Android版APK安装包。支持一键部署能力，无需关注底层服务器资源分配，无需手动打包与构建，点击"部署"即可自动完成云端打包、构建与服务部署。（需提供演示）</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应用插件管理：支持平台所有官方插件的使用费用抵扣。支持创建自定义插件，连接集成各种三方平台和三方公网服务。支持通过</w:t>
                  </w:r>
                  <w:r>
                    <w:rPr>
                      <w:rFonts w:ascii="仿宋_GB2312" w:hAnsi="仿宋_GB2312" w:cs="仿宋_GB2312" w:eastAsia="仿宋_GB2312"/>
                      <w:sz w:val="21"/>
                      <w:color w:val="000000"/>
                    </w:rPr>
                    <w:t>API 连接集成各种三方平台和三方服务，通过插件扩展 Agent 能力。提供≥1000官方插件，提供搜索、天气、图像生成和处理等通用/垂直场景插件。提供大模型开发中常用插件能力，包括知识库、文档解析、文生图、图生视频、函数调用、信息检索、应用插件等。提供自主开发插件能力，融合到智能体开发平台使用。</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应用流程编排：支持通过可视化的方式，对插件、大语言模型、数据库等功能进行组合，从而实现复杂、稳定的业务流程编排。节点配置支持多种类型的节点进行混合编排，支持大模型节点、插件节点、工作流节点。支持业务逻辑的编排，支持引入代码节点、选择器节点、意图识别节点、循环节点、批处理节点、支持变量聚合和异步任务。支持数据库节点，支持</w:t>
                  </w:r>
                  <w:r>
                    <w:rPr>
                      <w:rFonts w:ascii="仿宋_GB2312" w:hAnsi="仿宋_GB2312" w:cs="仿宋_GB2312" w:eastAsia="仿宋_GB2312"/>
                      <w:sz w:val="21"/>
                      <w:color w:val="000000"/>
                    </w:rPr>
                    <w:t>sql自定义、数据的增删改查节点。</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知识库类型节点，支持知识库写入、检索、删除，支持变量赋值和长期记忆的写入与检索。支持图像生成、视频生成节点，支持视频的抽帧与音频提取，支持抠图、画板、画质提升。支持工作流内的问答、文本处理、</w:t>
                  </w:r>
                  <w:r>
                    <w:rPr>
                      <w:rFonts w:ascii="仿宋_GB2312" w:hAnsi="仿宋_GB2312" w:cs="仿宋_GB2312" w:eastAsia="仿宋_GB2312"/>
                      <w:sz w:val="21"/>
                      <w:color w:val="000000"/>
                    </w:rPr>
                    <w:t>http请求、json序列化与反序列化。</w:t>
                  </w:r>
                </w:p>
                <w:p>
                  <w:pPr>
                    <w:pStyle w:val="null3"/>
                    <w:jc w:val="both"/>
                  </w:pPr>
                  <w:r>
                    <w:rPr>
                      <w:rFonts w:ascii="仿宋_GB2312" w:hAnsi="仿宋_GB2312" w:cs="仿宋_GB2312" w:eastAsia="仿宋_GB2312"/>
                      <w:sz w:val="21"/>
                      <w:color w:val="000000"/>
                    </w:rPr>
                    <w:t>系统运营与监控：提供从编写、调试、优化到版本管理的全流程支持，支持可视化</w:t>
                  </w:r>
                  <w:r>
                    <w:rPr>
                      <w:rFonts w:ascii="仿宋_GB2312" w:hAnsi="仿宋_GB2312" w:cs="仿宋_GB2312" w:eastAsia="仿宋_GB2312"/>
                      <w:sz w:val="21"/>
                      <w:color w:val="000000"/>
                    </w:rPr>
                    <w:t>Playground实现实时交互测试。评测功能内置专家评估器，支持多对象评测，提供开箱即用的结果洞察分析、多实验对比及观测能力，实现评测过程透明化。内置大模型评估器模板，支持快速验证和复杂场景深度评测。观测功能提供大模型应用全生命周期可视化支持，覆盖开发调试与线上运行全流程，助力开发者快速定位问题根因与性能瓶颈，实时掌控应用全链路状态，完整记录从用户输入到AI输出的每个处理环节，包括Prompt解析、模型调用、工具执行等关键节点。自动捕获中间结果和异常状态，精准定位错误发生环节。（需提供演示）</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智能体</w:t>
                  </w:r>
                  <w:r>
                    <w:rPr>
                      <w:rFonts w:ascii="仿宋_GB2312" w:hAnsi="仿宋_GB2312" w:cs="仿宋_GB2312" w:eastAsia="仿宋_GB2312"/>
                      <w:sz w:val="21"/>
                      <w:color w:val="000000"/>
                    </w:rPr>
                    <w:t>API的认证服务： 支持将智能体发布到多种社交渠道，包括但不限于：微信小程序、微信服务号、微信订阅号、飞书、飞书多维表格、校内定制门户站群等。支持将Agent发布为Web SDK。支持将Agent发布为 API</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工作空间人数配置：每年提供</w:t>
                  </w:r>
                  <w:r>
                    <w:rPr>
                      <w:rFonts w:ascii="仿宋_GB2312" w:hAnsi="仿宋_GB2312" w:cs="仿宋_GB2312" w:eastAsia="仿宋_GB2312"/>
                      <w:sz w:val="21"/>
                      <w:color w:val="000000"/>
                    </w:rPr>
                    <w:t>≥1000个开发者坐席。开发者座席具备个人或部门专属空间及账号，可独立部署个人数字分身及个人Claw。</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调用大模型的逻辑推理、知识问答、语言理解、代码生成等能力，可实现多轮对话、复杂说法的精确理解、个性化的问题回复，增强用户对人机对话的接受度、意愿度，确保高质量的对话体验。</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支持平台所有官方插件和大模型的使用费用抵扣。</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资源包：不低于</w:t>
                  </w:r>
                  <w:r>
                    <w:rPr>
                      <w:rFonts w:ascii="仿宋_GB2312" w:hAnsi="仿宋_GB2312" w:cs="仿宋_GB2312" w:eastAsia="仿宋_GB2312"/>
                      <w:sz w:val="21"/>
                      <w:color w:val="000000"/>
                    </w:rPr>
                    <w:t>2个</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提供每月</w:t>
                  </w:r>
                  <w:r>
                    <w:rPr>
                      <w:rFonts w:ascii="仿宋_GB2312" w:hAnsi="仿宋_GB2312" w:cs="仿宋_GB2312" w:eastAsia="仿宋_GB2312"/>
                      <w:sz w:val="21"/>
                      <w:color w:val="000000"/>
                    </w:rPr>
                    <w:t>300万点资源包（全年约360亿token数）。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1000万点一年内有效资源包(大约100亿token数）。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可以抵扣平台内所有计费项。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b/>
                      <w:color w:val="000000"/>
                    </w:rPr>
                    <w:t>#</w:t>
                  </w:r>
                  <w:r>
                    <w:rPr>
                      <w:rFonts w:ascii="仿宋_GB2312" w:hAnsi="仿宋_GB2312" w:cs="仿宋_GB2312" w:eastAsia="仿宋_GB2312"/>
                      <w:sz w:val="21"/>
                      <w:color w:val="000000"/>
                    </w:rPr>
                    <w:t>资源包的规格单位为资源点。</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平台模型插件等的计费标准按照资源点设计定义。提供国内通用大语言模型，支持深度思考及长上下文输入输出。提供国内通用多模态模型，每年提供支持图片生成、视频生成的多模态模型算力消耗。</w:t>
                  </w:r>
                </w:p>
              </w:tc>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50"/>
            </w:pPr>
            <w:r>
              <w:rPr>
                <w:rFonts w:ascii="仿宋_GB2312" w:hAnsi="仿宋_GB2312" w:cs="仿宋_GB2312" w:eastAsia="仿宋_GB2312"/>
                <w:sz w:val="16"/>
                <w:color w:val="000000"/>
              </w:rPr>
              <w:t>注：</w:t>
            </w:r>
            <w:r>
              <w:rPr>
                <w:rFonts w:ascii="仿宋_GB2312" w:hAnsi="仿宋_GB2312" w:cs="仿宋_GB2312" w:eastAsia="仿宋_GB2312"/>
                <w:sz w:val="16"/>
                <w:color w:val="000000"/>
              </w:rPr>
              <w:t>技术要求表中，所有软件类产品都须提供正版授权书。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标的名称：第二包：AI 科研创新融合应用平台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07"/>
              <w:gridCol w:w="1835"/>
              <w:gridCol w:w="202"/>
              <w:gridCol w:w="208"/>
            </w:tblGrid>
            <w:tr>
              <w:tc>
                <w:tcPr>
                  <w:tcW w:type="dxa" w:w="3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1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p>
                  <w:pPr>
                    <w:pStyle w:val="null3"/>
                    <w:jc w:val="center"/>
                  </w:pPr>
                  <w:r>
                    <w:rPr>
                      <w:rFonts w:ascii="仿宋_GB2312" w:hAnsi="仿宋_GB2312" w:cs="仿宋_GB2312" w:eastAsia="仿宋_GB2312"/>
                      <w:sz w:val="21"/>
                      <w:color w:val="000000"/>
                    </w:rPr>
                    <w:t>（套）</w:t>
                  </w:r>
                </w:p>
              </w:tc>
              <w:tc>
                <w:tcPr>
                  <w:tcW w:type="dxa" w:w="2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AI 科研创新存储模块</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AI 科研创新存储模</w:t>
                  </w:r>
                  <w:r>
                    <w:rPr>
                      <w:rFonts w:ascii="仿宋_GB2312" w:hAnsi="仿宋_GB2312" w:cs="仿宋_GB2312" w:eastAsia="仿宋_GB2312"/>
                      <w:sz w:val="21"/>
                      <w:color w:val="000000"/>
                    </w:rPr>
                    <w:t>块，</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color w:val="000000"/>
                    </w:rPr>
                    <w:t>1.▲控制器：配置≥2控制器，控制器采用多核处理器，控制器总物理核心数≥64核，单处理器主频率≥2.6GHz；</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租户：存储系统配置</w:t>
                  </w:r>
                  <w:r>
                    <w:rPr>
                      <w:rFonts w:ascii="仿宋_GB2312" w:hAnsi="仿宋_GB2312" w:cs="仿宋_GB2312" w:eastAsia="仿宋_GB2312"/>
                      <w:sz w:val="21"/>
                      <w:color w:val="000000"/>
                    </w:rPr>
                    <w:t>SAN和NAS的多租户功能，多租户功能能够提供存储资源、网络和业务的隔离，客户端通过租户数据逻辑端口只能访问该租户内的共享，并且支持租户自管理；</w:t>
                  </w:r>
                </w:p>
                <w:p>
                  <w:pPr>
                    <w:pStyle w:val="null3"/>
                    <w:jc w:val="both"/>
                  </w:pPr>
                  <w:r>
                    <w:rPr>
                      <w:rFonts w:ascii="仿宋_GB2312" w:hAnsi="仿宋_GB2312" w:cs="仿宋_GB2312" w:eastAsia="仿宋_GB2312"/>
                      <w:sz w:val="21"/>
                      <w:color w:val="000000"/>
                    </w:rPr>
                    <w:t>3.▲CPU指令集：存储 CPU 的指令集，采用RISC 精简指令集；</w:t>
                  </w:r>
                </w:p>
                <w:p>
                  <w:pPr>
                    <w:pStyle w:val="null3"/>
                    <w:jc w:val="both"/>
                  </w:pPr>
                  <w:r>
                    <w:rPr>
                      <w:rFonts w:ascii="仿宋_GB2312" w:hAnsi="仿宋_GB2312" w:cs="仿宋_GB2312" w:eastAsia="仿宋_GB2312"/>
                      <w:sz w:val="21"/>
                      <w:color w:val="000000"/>
                    </w:rPr>
                    <w:t>4.▲存储缓存：存储系统内总一级缓存容量配置≥128GB，且任意控制器一级缓存容量≥64GB（不含任何性能加速模块、FlashCache、PAM卡，SSD Cache、SCM等）；</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硬盘和接口配置：配置</w:t>
                  </w:r>
                  <w:r>
                    <w:rPr>
                      <w:rFonts w:ascii="仿宋_GB2312" w:hAnsi="仿宋_GB2312" w:cs="仿宋_GB2312" w:eastAsia="仿宋_GB2312"/>
                      <w:sz w:val="21"/>
                      <w:color w:val="000000"/>
                    </w:rPr>
                    <w:t>≥8*960GB SAS SSD 硬盘，配置≥12块16TB 7.2K NL-SAS硬盘；配置≥8*10GE 光口（含光模块），≥8*25GE 光口（含25GE光模块），≥8个GE电口；</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存储多路径：存储系统支持厂商自研的多路径软件，支持链路的负载均衡，支持路径故障自动切换与回切，支持链路检测和隔离，支持主机链路告警在存储界面统一管理；</w:t>
                  </w:r>
                </w:p>
                <w:p>
                  <w:pPr>
                    <w:pStyle w:val="null3"/>
                    <w:jc w:val="both"/>
                  </w:pPr>
                  <w:r>
                    <w:rPr>
                      <w:rFonts w:ascii="仿宋_GB2312" w:hAnsi="仿宋_GB2312" w:cs="仿宋_GB2312" w:eastAsia="仿宋_GB2312"/>
                      <w:sz w:val="21"/>
                      <w:color w:val="000000"/>
                    </w:rPr>
                    <w:t>7.▲NAS文件系统：存储采用分布式文件系统架构，文件系统无控制器归属，在多控配置下，支持多个控制器负载均衡，在单文件系统的情况下，多个控制器负载均衡，控制器的 OPS 和 CPU 利用率差异小于5%；</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存储支持端到端</w:t>
                  </w:r>
                  <w:r>
                    <w:rPr>
                      <w:rFonts w:ascii="仿宋_GB2312" w:hAnsi="仿宋_GB2312" w:cs="仿宋_GB2312" w:eastAsia="仿宋_GB2312"/>
                      <w:sz w:val="21"/>
                      <w:color w:val="000000"/>
                    </w:rPr>
                    <w:t>DIF 校验特性，对静默数据的损坏可以检测和修复；</w:t>
                  </w:r>
                </w:p>
                <w:p>
                  <w:pPr>
                    <w:pStyle w:val="null3"/>
                    <w:jc w:val="both"/>
                  </w:pPr>
                  <w:r>
                    <w:rPr>
                      <w:rFonts w:ascii="仿宋_GB2312" w:hAnsi="仿宋_GB2312" w:cs="仿宋_GB2312" w:eastAsia="仿宋_GB2312"/>
                      <w:sz w:val="21"/>
                      <w:color w:val="000000"/>
                    </w:rPr>
                    <w:t>9.▲存储底层操作系统、虚拟化软件基于国产操作系统，不得采用国外开源社区操作系统（包括但不限于RedHat、CentOS及衍生版本）和国外操作系统（如Suse）；</w:t>
                  </w:r>
                </w:p>
                <w:p>
                  <w:pPr>
                    <w:pStyle w:val="null3"/>
                    <w:jc w:val="both"/>
                  </w:pPr>
                  <w:r>
                    <w:rPr>
                      <w:rFonts w:ascii="仿宋_GB2312" w:hAnsi="仿宋_GB2312" w:cs="仿宋_GB2312" w:eastAsia="仿宋_GB2312"/>
                      <w:sz w:val="21"/>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配额：支持针对目录、用户、用户组这三类对象进行配额限；</w:t>
                  </w:r>
                </w:p>
                <w:p>
                  <w:pPr>
                    <w:pStyle w:val="null3"/>
                    <w:jc w:val="both"/>
                  </w:pPr>
                  <w:r>
                    <w:rPr>
                      <w:rFonts w:ascii="仿宋_GB2312" w:hAnsi="仿宋_GB2312" w:cs="仿宋_GB2312" w:eastAsia="仿宋_GB2312"/>
                      <w:sz w:val="21"/>
                      <w:color w:val="000000"/>
                    </w:rPr>
                    <w:t>11.▲快照：配置快照功能，开启快照后对存储性能影响≤5%；</w:t>
                  </w:r>
                </w:p>
                <w:p>
                  <w:pPr>
                    <w:pStyle w:val="null3"/>
                    <w:jc w:val="both"/>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级联快照：存储系统支持级联快照，支持对快照创建快照和数据恢复，快照可以读写；</w:t>
                  </w:r>
                </w:p>
                <w:p>
                  <w:pPr>
                    <w:pStyle w:val="null3"/>
                    <w:jc w:val="both"/>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数据加密：支持数据加密功能，可以通过与外置密管的配合实现数据的加密。数据加密模块通过国家密码管理局《商用密码产品认证证书》；</w:t>
                  </w:r>
                </w:p>
                <w:p>
                  <w:pPr>
                    <w:pStyle w:val="null3"/>
                    <w:jc w:val="both"/>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国芯验证：存储的关键芯片（控制器</w:t>
                  </w:r>
                  <w:r>
                    <w:rPr>
                      <w:rFonts w:ascii="仿宋_GB2312" w:hAnsi="仿宋_GB2312" w:cs="仿宋_GB2312" w:eastAsia="仿宋_GB2312"/>
                      <w:sz w:val="21"/>
                      <w:color w:val="000000"/>
                    </w:rPr>
                    <w:t>CPU、系统BMC管理芯片、接口卡处理芯片、SSD控制芯片）均为国产品牌；</w:t>
                  </w:r>
                </w:p>
                <w:p>
                  <w:pPr>
                    <w:pStyle w:val="null3"/>
                    <w:jc w:val="both"/>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文件系统</w:t>
                  </w:r>
                  <w:r>
                    <w:rPr>
                      <w:rFonts w:ascii="仿宋_GB2312" w:hAnsi="仿宋_GB2312" w:cs="仿宋_GB2312" w:eastAsia="仿宋_GB2312"/>
                      <w:sz w:val="21"/>
                      <w:color w:val="000000"/>
                    </w:rPr>
                    <w:t>WORM：存储支持文件系统WORM功能，支持时间周期配置策略；</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1"/>
                      <w:color w:val="000000"/>
                    </w:rPr>
                    <w:t>维保：提供三年原厂维保服务；</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此设备为本项目核心产品</w:t>
                  </w: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C0C0C"/>
                    </w:rPr>
                    <w:t>数据空间综合应用平台</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一、配置要求（设备名称、数量）</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数据空间综合应用平台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套</w:t>
                  </w:r>
                </w:p>
                <w:p>
                  <w:pPr>
                    <w:pStyle w:val="null3"/>
                    <w:jc w:val="both"/>
                  </w:pPr>
                  <w:r>
                    <w:rPr>
                      <w:rFonts w:ascii="仿宋_GB2312" w:hAnsi="仿宋_GB2312" w:cs="仿宋_GB2312" w:eastAsia="仿宋_GB2312"/>
                      <w:sz w:val="21"/>
                      <w:color w:val="000000"/>
                    </w:rPr>
                    <w:t>二、技术参数</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依托学校已建成的领导驾驶舱及现有数据中心核心资源，深度衔接原有建设成果，新增构建职能部门数据空间、二级学院数据空间、师生个人数据空间，与原有领导驾驶舱实现无缝融合、协同联动，最终形成五维一体化数据空间新格局。</w:t>
                  </w:r>
                </w:p>
                <w:p>
                  <w:pPr>
                    <w:pStyle w:val="null3"/>
                    <w:jc w:val="both"/>
                  </w:pPr>
                  <w:r>
                    <w:rPr>
                      <w:rFonts w:ascii="仿宋_GB2312" w:hAnsi="仿宋_GB2312" w:cs="仿宋_GB2312" w:eastAsia="仿宋_GB2312"/>
                      <w:sz w:val="21"/>
                      <w:color w:val="000000"/>
                    </w:rPr>
                    <w:t>（一）重点任务发展监测财资平台：</w:t>
                  </w:r>
                </w:p>
                <w:p>
                  <w:pPr>
                    <w:pStyle w:val="null3"/>
                    <w:jc w:val="both"/>
                  </w:pPr>
                  <w:r>
                    <w:rPr>
                      <w:rFonts w:ascii="仿宋_GB2312" w:hAnsi="仿宋_GB2312" w:cs="仿宋_GB2312" w:eastAsia="仿宋_GB2312"/>
                      <w:sz w:val="21"/>
                      <w:color w:val="000000"/>
                    </w:rPr>
                    <w:t>1、总体要求</w:t>
                  </w:r>
                </w:p>
                <w:p>
                  <w:pPr>
                    <w:pStyle w:val="null3"/>
                    <w:jc w:val="both"/>
                  </w:pPr>
                  <w:r>
                    <w:rPr>
                      <w:rFonts w:ascii="仿宋_GB2312" w:hAnsi="仿宋_GB2312" w:cs="仿宋_GB2312" w:eastAsia="仿宋_GB2312"/>
                      <w:sz w:val="21"/>
                      <w:b/>
                      <w:color w:val="000000"/>
                    </w:rPr>
                    <w:t>#</w:t>
                  </w:r>
                  <w:r>
                    <w:rPr>
                      <w:rFonts w:ascii="仿宋_GB2312" w:hAnsi="仿宋_GB2312" w:cs="仿宋_GB2312" w:eastAsia="仿宋_GB2312"/>
                      <w:sz w:val="21"/>
                      <w:color w:val="000000"/>
                    </w:rPr>
                    <w:t>紧扣学校新双高、十五五等建设主线，打造集监测、预警、展示于一体的综合性财资管理支撑平台。围绕重要任务、关键指标与验收标准，构建全过程、可追溯的监测体系，通过数据整合与可视化分析服务，实现对建设进度、资金使用、成果产出等要素的实时跟踪与可视化呈现。</w:t>
                  </w:r>
                </w:p>
                <w:p>
                  <w:pPr>
                    <w:pStyle w:val="null3"/>
                    <w:jc w:val="both"/>
                  </w:pPr>
                  <w:r>
                    <w:rPr>
                      <w:rFonts w:ascii="仿宋_GB2312" w:hAnsi="仿宋_GB2312" w:cs="仿宋_GB2312" w:eastAsia="仿宋_GB2312"/>
                      <w:sz w:val="21"/>
                      <w:color w:val="000000"/>
                    </w:rPr>
                    <w:t>2、核心成果总览模块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支持建设成效一屏统览，以可视化大屏全景展示学校重点任务全量成果，实现成果价值的直观量化呈现，支持按建设周期、建设类别、成果等级等多维度筛选展示。</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具备全级别成果精准统计能力，支持校级、院级、部门级等全层级建设成果的自动统计、分类汇总，可按成果类型、完成度、价值贡献等维度生成统计报表，数据实时更新。</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支持核心建设定位可视化，可将建设任务与学校发展战略、信息化建设规划进行关联映射，直观呈现建设内容的定位与价值，清晰展示建设目标的匹配度。</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支持与学校现有业务系统、项目管理系统、数据中台等无缝对接，自动归集建设成果数据，无需人工二次录入。</w:t>
                  </w:r>
                </w:p>
                <w:p>
                  <w:pPr>
                    <w:pStyle w:val="null3"/>
                    <w:jc w:val="both"/>
                  </w:pPr>
                  <w:r>
                    <w:rPr>
                      <w:rFonts w:ascii="仿宋_GB2312" w:hAnsi="仿宋_GB2312" w:cs="仿宋_GB2312" w:eastAsia="仿宋_GB2312"/>
                      <w:sz w:val="21"/>
                      <w:color w:val="000000"/>
                    </w:rPr>
                    <w:t>3、资金预算管理模块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支持分任务资金投向分析，可按建设任务、项目类别、责任部门、时间周期等维度，对资金投向进行多维度分析，自动生成柱状图、饼图、趋势图等可视化分析图表。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具备专款专用监管能力，支持对专项经费、财政资金等进行专款专用监管，对超预算、违规列支等情况进行实时预警。</w:t>
                  </w:r>
                </w:p>
                <w:p>
                  <w:pPr>
                    <w:pStyle w:val="null3"/>
                    <w:jc w:val="both"/>
                  </w:pPr>
                  <w:r>
                    <w:rPr>
                      <w:rFonts w:ascii="仿宋_GB2312" w:hAnsi="仿宋_GB2312" w:cs="仿宋_GB2312" w:eastAsia="仿宋_GB2312"/>
                      <w:sz w:val="21"/>
                      <w:color w:val="000000"/>
                    </w:rPr>
                    <w:t>4、绩效目标达成模块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支持全维度指标动态追踪，可自定义建设绩效指标体系，实现绩效指标全维度、全周期动态追踪，实时展示指标完成进度、达成率。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具备建设达标预警能力，针对未达标、进度滞后的绩效指标，自动触发预警，支持系统消息、短信、邮件等多渠道预警消息推送。</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支持多维度效益监测，可从社会效益、管理效益、师生效益等多维度，对建设成效进行效益监测与分析。</w:t>
                  </w:r>
                </w:p>
                <w:p>
                  <w:pPr>
                    <w:pStyle w:val="null3"/>
                    <w:jc w:val="both"/>
                  </w:pPr>
                  <w:r>
                    <w:rPr>
                      <w:rFonts w:ascii="仿宋_GB2312" w:hAnsi="仿宋_GB2312" w:cs="仿宋_GB2312" w:eastAsia="仿宋_GB2312"/>
                      <w:sz w:val="21"/>
                      <w:color w:val="000000"/>
                    </w:rPr>
                    <w:t>4、建设任务管控模块</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支持年度</w:t>
                  </w:r>
                  <w:r>
                    <w:rPr>
                      <w:rFonts w:ascii="仿宋_GB2312" w:hAnsi="仿宋_GB2312" w:cs="仿宋_GB2312" w:eastAsia="仿宋_GB2312"/>
                      <w:sz w:val="21"/>
                      <w:color w:val="000000"/>
                    </w:rPr>
                    <w:t>/</w:t>
                  </w:r>
                  <w:r>
                    <w:rPr>
                      <w:rFonts w:ascii="仿宋_GB2312" w:hAnsi="仿宋_GB2312" w:cs="仿宋_GB2312" w:eastAsia="仿宋_GB2312"/>
                      <w:sz w:val="21"/>
                      <w:color w:val="000000"/>
                    </w:rPr>
                    <w:t>专项任务进度可视化，实时展示年度建设任务、专项建设任务的完成状态、进度百分比，直观呈现任务推进情况。</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支持建设任务清单化管理，可将建设任务拆解为可执行的任务清单，明确任务内容、完成标准、时间节点，支持任务分层拆解（校级</w:t>
                  </w:r>
                  <w:r>
                    <w:rPr>
                      <w:rFonts w:ascii="仿宋_GB2312" w:hAnsi="仿宋_GB2312" w:cs="仿宋_GB2312" w:eastAsia="仿宋_GB2312"/>
                      <w:sz w:val="21"/>
                      <w:color w:val="000000"/>
                    </w:rPr>
                    <w:t>→部门级→个人级）。</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实现责任主体绑定，可将建设任务与责任部门、责任人进行绑定，明确责任主体，实现任务到人、责任到人，支持全流程责任追溯。</w:t>
                  </w:r>
                </w:p>
                <w:p>
                  <w:pPr>
                    <w:pStyle w:val="null3"/>
                    <w:jc w:val="both"/>
                  </w:pPr>
                  <w:r>
                    <w:rPr>
                      <w:rFonts w:ascii="仿宋_GB2312" w:hAnsi="仿宋_GB2312" w:cs="仿宋_GB2312" w:eastAsia="仿宋_GB2312"/>
                      <w:sz w:val="21"/>
                      <w:color w:val="000000"/>
                    </w:rPr>
                    <w:t>（二）</w:t>
                  </w:r>
                  <w:r>
                    <w:rPr>
                      <w:rFonts w:ascii="仿宋_GB2312" w:hAnsi="仿宋_GB2312" w:cs="仿宋_GB2312" w:eastAsia="仿宋_GB2312"/>
                      <w:sz w:val="21"/>
                      <w:color w:val="000000"/>
                    </w:rPr>
                    <w:t>AI智慧大脑数据空间</w:t>
                  </w:r>
                </w:p>
                <w:p>
                  <w:pPr>
                    <w:pStyle w:val="null3"/>
                    <w:jc w:val="both"/>
                  </w:pPr>
                  <w:r>
                    <w:rPr>
                      <w:rFonts w:ascii="仿宋_GB2312" w:hAnsi="仿宋_GB2312" w:cs="仿宋_GB2312" w:eastAsia="仿宋_GB2312"/>
                      <w:sz w:val="21"/>
                      <w:color w:val="000000"/>
                    </w:rPr>
                    <w:t>1、总体要求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1）▲依托学校已建成的领导驾驶舱及现有数据中心核心资源基于</w:t>
                  </w:r>
                  <w:r>
                    <w:rPr>
                      <w:rFonts w:ascii="仿宋_GB2312" w:hAnsi="仿宋_GB2312" w:cs="仿宋_GB2312" w:eastAsia="仿宋_GB2312"/>
                      <w:sz w:val="21"/>
                      <w:color w:val="000000"/>
                    </w:rPr>
                    <w:t>AI</w:t>
                  </w:r>
                  <w:r>
                    <w:rPr>
                      <w:rFonts w:ascii="仿宋_GB2312" w:hAnsi="仿宋_GB2312" w:cs="仿宋_GB2312" w:eastAsia="仿宋_GB2312"/>
                      <w:sz w:val="21"/>
                      <w:color w:val="000000"/>
                    </w:rPr>
                    <w:t>技术及可视化</w:t>
                  </w:r>
                  <w:r>
                    <w:rPr>
                      <w:rFonts w:ascii="仿宋_GB2312" w:hAnsi="仿宋_GB2312" w:cs="仿宋_GB2312" w:eastAsia="仿宋_GB2312"/>
                      <w:sz w:val="21"/>
                      <w:color w:val="000000"/>
                    </w:rPr>
                    <w:t>BI</w:t>
                  </w:r>
                  <w:r>
                    <w:rPr>
                      <w:rFonts w:ascii="仿宋_GB2312" w:hAnsi="仿宋_GB2312" w:cs="仿宋_GB2312" w:eastAsia="仿宋_GB2312"/>
                      <w:sz w:val="21"/>
                      <w:color w:val="000000"/>
                    </w:rPr>
                    <w:t>架构划分二级学院、职能部门、班主任、师生个人四类智慧大脑数据空间。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要求学校空间、学院空间、师生空间、班级空间全部集中在一个页面分级展示，并能够支持集成到学校门户顶层导航栏，无需独立域名，实现界面一体化的展示，完全贴合学校门户交互架构，便于相关管理人员集中查看与切换。</w:t>
                  </w:r>
                  <w:r>
                    <w:rPr>
                      <w:rFonts w:ascii="仿宋_GB2312" w:hAnsi="仿宋_GB2312" w:cs="仿宋_GB2312" w:eastAsia="仿宋_GB2312"/>
                      <w:sz w:val="21"/>
                      <w:color w:val="000000"/>
                    </w:rPr>
                    <w:t>（需提供</w:t>
                  </w:r>
                  <w:r>
                    <w:rPr>
                      <w:rFonts w:ascii="仿宋_GB2312" w:hAnsi="仿宋_GB2312" w:cs="仿宋_GB2312" w:eastAsia="仿宋_GB2312"/>
                      <w:sz w:val="21"/>
                      <w:color w:val="000000"/>
                    </w:rPr>
                    <w:t>演示</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2、二级学院数据空间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依托首页、师资力量、人才培养、教育教学、产学研合作五大板块，集中汇聚师资职称结构、生师比、课程建设、学生招录培养、实习就业、校企合作、成果与实训基地等全维度办学指标</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配套多时段筛选、指标口径注释与明细下钻；</w:t>
                  </w:r>
                </w:p>
                <w:p>
                  <w:pPr>
                    <w:pStyle w:val="null3"/>
                    <w:jc w:val="both"/>
                  </w:pPr>
                  <w:r>
                    <w:rPr>
                      <w:rFonts w:ascii="仿宋_GB2312" w:hAnsi="仿宋_GB2312" w:cs="仿宋_GB2312" w:eastAsia="仿宋_GB2312"/>
                      <w:sz w:val="21"/>
                      <w:color w:val="000000"/>
                    </w:rPr>
                    <w:t>3、职能部门数据空间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围绕人员概况、产学研合作、财务资产、网办服务开展统计；</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分别实现人员编制与十年流动分析、校企合作成果与基地台账、年度预算收支与资产增减折旧核算、网办工单存量与月度办事趋势研判，</w:t>
                  </w:r>
                </w:p>
                <w:p>
                  <w:pPr>
                    <w:pStyle w:val="null3"/>
                    <w:jc w:val="both"/>
                  </w:pPr>
                  <w:r>
                    <w:rPr>
                      <w:rFonts w:ascii="仿宋_GB2312" w:hAnsi="仿宋_GB2312" w:cs="仿宋_GB2312" w:eastAsia="仿宋_GB2312"/>
                      <w:sz w:val="21"/>
                      <w:color w:val="000000"/>
                    </w:rPr>
                    <w:t>全模块附带指标说明及明细穿透查询；</w:t>
                  </w:r>
                </w:p>
                <w:p>
                  <w:pPr>
                    <w:pStyle w:val="null3"/>
                    <w:jc w:val="both"/>
                  </w:pPr>
                  <w:r>
                    <w:rPr>
                      <w:rFonts w:ascii="仿宋_GB2312" w:hAnsi="仿宋_GB2312" w:cs="仿宋_GB2312" w:eastAsia="仿宋_GB2312"/>
                      <w:sz w:val="21"/>
                      <w:color w:val="000000"/>
                    </w:rPr>
                    <w:t>4、师生个人数据空间</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细分教师、学生两类专属页面。</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教师端以时间轴呈现基础履历、进修考核信息，从教学工作量、评教成果、课题论文知识产权多维度量化教研育人能力。</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学生端展示学籍档案、在校异动、二课堂与奖惩记录，从综测学分、课业成绩、实习证书研判学业水平，并依托一卡通、借阅、上网、校园定位数据实现日常消费、图书借阅、上网规律、在校轨迹等校园生活画像分析。</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班级空间：一站式聚合学生学籍生源、考勤请假、综测成绩、学分预警、奖惩资助、技能证书、班级课表等班级精细化管理数据，支持切换班级、限定时间查看明细与数据导出。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高质量数据集</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一、配置要求（设备名称、数量）</w:t>
                  </w:r>
                </w:p>
                <w:p>
                  <w:pPr>
                    <w:pStyle w:val="null3"/>
                    <w:jc w:val="left"/>
                  </w:pPr>
                  <w:r>
                    <w:rPr>
                      <w:rFonts w:ascii="仿宋_GB2312" w:hAnsi="仿宋_GB2312" w:cs="仿宋_GB2312" w:eastAsia="仿宋_GB2312"/>
                      <w:sz w:val="21"/>
                      <w:color w:val="000000"/>
                    </w:rPr>
                    <w:t>1.高质量数据集，1套</w:t>
                  </w:r>
                </w:p>
                <w:p>
                  <w:pPr>
                    <w:pStyle w:val="null3"/>
                    <w:jc w:val="left"/>
                  </w:pPr>
                  <w:r>
                    <w:rPr>
                      <w:rFonts w:ascii="仿宋_GB2312" w:hAnsi="仿宋_GB2312" w:cs="仿宋_GB2312" w:eastAsia="仿宋_GB2312"/>
                      <w:sz w:val="21"/>
                      <w:color w:val="000000"/>
                    </w:rPr>
                    <w:t>二、技术参数</w:t>
                  </w:r>
                </w:p>
                <w:p>
                  <w:pPr>
                    <w:pStyle w:val="null3"/>
                    <w:jc w:val="left"/>
                  </w:pPr>
                  <w:r>
                    <w:rPr>
                      <w:rFonts w:ascii="仿宋_GB2312" w:hAnsi="仿宋_GB2312" w:cs="仿宋_GB2312" w:eastAsia="仿宋_GB2312"/>
                      <w:sz w:val="21"/>
                      <w:color w:val="000000"/>
                    </w:rPr>
                    <w:t>1、总体要求</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以学校现有数据中心的结构化数据为核心底座，全面利用教务、学工、人事、科研、财务等业务系统的权威主数据与业务数据，坚持</w:t>
                  </w:r>
                  <w:r>
                    <w:rPr>
                      <w:rFonts w:ascii="仿宋_GB2312" w:hAnsi="仿宋_GB2312" w:cs="仿宋_GB2312" w:eastAsia="仿宋_GB2312"/>
                      <w:sz w:val="21"/>
                      <w:color w:val="000000"/>
                    </w:rPr>
                    <w:t>“充分利旧、价值优先” 的原则，在不重复建设、不额外增加业务负担的前提下，深度挖掘存量数据及半结构、非结构化数据的应用潜力，最大化释放数据价值。</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建设过程中，将同步衔接现有数据中心安全防护体系，严格遵循教育部教育数据分类分级规范，构建覆盖数据采集、存储、共享、使用、销毁全生命周期的安全管控机制，筑牢数据安全防线，确保数据应用的合规性与安全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建立常态化数据运营体系，实现数据从</w:t>
                  </w:r>
                  <w:r>
                    <w:rPr>
                      <w:rFonts w:ascii="仿宋_GB2312" w:hAnsi="仿宋_GB2312" w:cs="仿宋_GB2312" w:eastAsia="仿宋_GB2312"/>
                      <w:sz w:val="21"/>
                      <w:color w:val="000000"/>
                    </w:rPr>
                    <w:t>“采集入库” 到 “价值变现” 的闭环管理，保障数据集的持续更新、质量稳定与高效复用。</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同步开展非结构化与半结构化数据的采集与解析工作，形成</w:t>
                  </w:r>
                  <w:r>
                    <w:rPr>
                      <w:rFonts w:ascii="仿宋_GB2312" w:hAnsi="仿宋_GB2312" w:cs="仿宋_GB2312" w:eastAsia="仿宋_GB2312"/>
                      <w:sz w:val="21"/>
                      <w:color w:val="000000"/>
                    </w:rPr>
                    <w:t>“结构化数据为主体、非 / 半结构化数据为补充” 的统一数据资源池，为智慧校园、职教大脑上报、决策分析等场景提供高质量、高安全、可运营的数据支撑。</w:t>
                  </w:r>
                </w:p>
                <w:p>
                  <w:pPr>
                    <w:pStyle w:val="null3"/>
                    <w:jc w:val="left"/>
                  </w:pPr>
                  <w:r>
                    <w:rPr>
                      <w:rFonts w:ascii="仿宋_GB2312" w:hAnsi="仿宋_GB2312" w:cs="仿宋_GB2312" w:eastAsia="仿宋_GB2312"/>
                      <w:sz w:val="21"/>
                      <w:color w:val="000000"/>
                    </w:rPr>
                    <w:t>2、文件、消息、日志集成</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1）▲实现文件、日志、消息三类数据接入能力。文件集成可对 csv、txt、excel、xml、json、照片、DB文件及音视频等多格式文档完成归集解析入湖。</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文件集成兼容</w:t>
                  </w:r>
                  <w:r>
                    <w:rPr>
                      <w:rFonts w:ascii="仿宋_GB2312" w:hAnsi="仿宋_GB2312" w:cs="仿宋_GB2312" w:eastAsia="仿宋_GB2312"/>
                      <w:sz w:val="21"/>
                      <w:color w:val="000000"/>
                    </w:rPr>
                    <w:t>FTP、SFTP、HDFS 数据源浏览、自选归集与可视化配置解析规则，实现集成任务全生命周期增删改查、单批启停执行与运行日志查阅.</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日志集成预置网络设备、系统、安全、网络行为等多类解析模板，采用向导式配置完成日志实时采集解析，支持采集任务上下线、日志在线查看、图表统计与采集服务器注册管控；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消息集成围绕数据</w:t>
                  </w:r>
                  <w:r>
                    <w:rPr>
                      <w:rFonts w:ascii="仿宋_GB2312" w:hAnsi="仿宋_GB2312" w:cs="仿宋_GB2312" w:eastAsia="仿宋_GB2312"/>
                      <w:sz w:val="21"/>
                      <w:color w:val="000000"/>
                    </w:rPr>
                    <w:t>Topic 开展新增、删除运维操作，配套使用者账号管理与 Topic 访问授权，并可实时监控各用户的数据消费情况。</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▲提供大数据集成相关软件著作权及第三方软件测试报告。</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▲提供流程监控大屏，包括离线流程监控和实时流程监控，支持总览视角查看所有流程的综合情况。支持流程运行的调度分布情况统计图和任务类型分布图展示及各类排名统计。</w:t>
                  </w:r>
                </w:p>
                <w:p>
                  <w:pPr>
                    <w:pStyle w:val="null3"/>
                    <w:jc w:val="left"/>
                  </w:pPr>
                  <w:r>
                    <w:rPr>
                      <w:rFonts w:ascii="仿宋_GB2312" w:hAnsi="仿宋_GB2312" w:cs="仿宋_GB2312" w:eastAsia="仿宋_GB2312"/>
                      <w:sz w:val="21"/>
                      <w:color w:val="000000"/>
                    </w:rPr>
                    <w:t>2.数据分级分类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依据教育行业分级分类规范与国家数据安全、个人信息相关法律法规搭建全生命周期管控体系，采用三级分类架构，分别为重要等级、安全等级以及共享等级。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数据重要性维度可以分为一般、重要、核心三级。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数据按照开放程度维度可以分为公开数据、受限数据、敏感数据、涉密数据四个等级。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b/>
                      <w:color w:val="000000"/>
                    </w:rPr>
                    <w:t>#</w:t>
                  </w:r>
                  <w:r>
                    <w:rPr>
                      <w:rFonts w:ascii="仿宋_GB2312" w:hAnsi="仿宋_GB2312" w:cs="仿宋_GB2312" w:eastAsia="仿宋_GB2312"/>
                      <w:sz w:val="21"/>
                      <w:color w:val="000000"/>
                    </w:rPr>
                    <w:t>通过建立数据资产的安全级别和用户的安全级别，实现敏感数据的存储隔离及访问控制，确保数据的保密性，防止未经授权的信息泄漏，保障高校数据资产安全。</w:t>
                  </w:r>
                </w:p>
                <w:p>
                  <w:pPr>
                    <w:pStyle w:val="null3"/>
                    <w:jc w:val="left"/>
                  </w:pPr>
                  <w:r>
                    <w:rPr>
                      <w:rFonts w:ascii="仿宋_GB2312" w:hAnsi="仿宋_GB2312" w:cs="仿宋_GB2312" w:eastAsia="仿宋_GB2312"/>
                      <w:sz w:val="21"/>
                      <w:color w:val="000000"/>
                    </w:rPr>
                    <w:t>3.数据安全管理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从脱敏、加密、水印、访问控制、备份、安全审计六大维度构建全链路数据安全防护体系。</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依托掩码等四类脱敏算法与国密</w:t>
                  </w:r>
                  <w:r>
                    <w:rPr>
                      <w:rFonts w:ascii="仿宋_GB2312" w:hAnsi="仿宋_GB2312" w:cs="仿宋_GB2312" w:eastAsia="仿宋_GB2312"/>
                      <w:sz w:val="21"/>
                      <w:color w:val="000000"/>
                    </w:rPr>
                    <w:t>SM2/SM4 等加密算法实现敏感字段存储及传输防护，通过明暗水印配置与溯源能力追踪数据流向。</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支持脱敏规则设置及详情查看，包括且不限于脱敏规则、算法、位数、效果及相关脱敏策略；支持对于脱敏规则的批量停用、启用；支持查看和导出所有脱敏对象，并对脱敏对象的字段信息、规则信息和脱敏权限进行统一浏览。（需提供演示）</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按照数据密级与三级共享分级落实字段级精细化权限管控，搭配多形式定时备份策略留存全量数据，并全流程留存访问操作日志，实时监测违规行为、预警安全风险。</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支持将数据转换为加密形式，只有授权的用户或系统支持解密并查看其内容。提供内置</w:t>
                  </w:r>
                  <w:r>
                    <w:rPr>
                      <w:rFonts w:ascii="仿宋_GB2312" w:hAnsi="仿宋_GB2312" w:cs="仿宋_GB2312" w:eastAsia="仿宋_GB2312"/>
                      <w:sz w:val="21"/>
                      <w:color w:val="000000"/>
                    </w:rPr>
                    <w:t>SM4、SM2、RSA等算法，支持数据字段存储、API传输加密，</w:t>
                  </w:r>
                  <w:r>
                    <w:rPr>
                      <w:rFonts w:ascii="仿宋_GB2312" w:hAnsi="仿宋_GB2312" w:cs="仿宋_GB2312" w:eastAsia="仿宋_GB2312"/>
                      <w:sz w:val="21"/>
                      <w:color w:val="000000"/>
                    </w:rPr>
                    <w:t>支持数据水印及访问控制。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▲支持对数据访问和使用进行监控和审计。通过记录和分析数据的访问和使用情况，支持及时发现潜在的安全威胁和违规行为，并采取必要的措施保护数据安全。支持查看系统记录的所有安全审计事件。</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通过新建备份策略，将数据库保存在备用服务器中，预防数据意外丢失。支持通过EXP或EXPDB的方式备份数据湖、数据仓库、数据集市的数据。支持记录每一备份的详情历史记录，包括备份任务名称、数据源类型、方式、备份时间、备份耗时、备份状态，支持下载备份文件。</w:t>
                  </w:r>
                </w:p>
                <w:p>
                  <w:pPr>
                    <w:pStyle w:val="null3"/>
                    <w:jc w:val="left"/>
                  </w:pPr>
                  <w:r>
                    <w:rPr>
                      <w:rFonts w:ascii="仿宋_GB2312" w:hAnsi="仿宋_GB2312" w:cs="仿宋_GB2312" w:eastAsia="仿宋_GB2312"/>
                      <w:sz w:val="21"/>
                      <w:color w:val="000000"/>
                    </w:rPr>
                    <w:t>4.数据运营管理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1）数据运营机制</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围绕三项清单建立闭环运营制度，责任清单明确各数据全生命周期的岗位权责并按年度动态更新。</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问题清单划分质量、安全、可用性三类问题并区分轻重等级，设置分级时效完成上报、派单、整改、复核与月度复盘。</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b/>
                      <w:color w:val="000000"/>
                    </w:rPr>
                    <w:t>#</w:t>
                  </w:r>
                  <w:r>
                    <w:rPr>
                      <w:rFonts w:ascii="仿宋_GB2312" w:hAnsi="仿宋_GB2312" w:cs="仿宋_GB2312" w:eastAsia="仿宋_GB2312"/>
                      <w:sz w:val="21"/>
                      <w:color w:val="000000"/>
                    </w:rPr>
                    <w:t>需求清单划定四类数据需求类型，通过常态化</w:t>
                  </w:r>
                  <w:r>
                    <w:rPr>
                      <w:rFonts w:ascii="仿宋_GB2312" w:hAnsi="仿宋_GB2312" w:cs="仿宋_GB2312" w:eastAsia="仿宋_GB2312"/>
                      <w:sz w:val="21"/>
                      <w:color w:val="000000"/>
                    </w:rPr>
                    <w:t>+应急提报模式收集需求，从合规、必要、可行、优先级多维度评审排期，形成需求提报、评估、落地、验收迭代的全流程闭环管理。</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建设数据三清单运营看板，量化三类清单各自的落地完成率并做部门排名统计；元数据运营看板，统筹元数据各库数据表、字段量及解析进度，全层级元数据采集、变更统计，各业务系统入湖入仓分析；资产运营看板跟踪数据资产编目、确权、上架、申领及共享使用情况；集成看板监控数据同步任务成功率、交换体量与异常告警；数仓看板分层展示数据湖、多类型数仓及历史库的表量与数据存量；质量看板串联质检全流程，输出各部门质量考评排名与整改动态，支持在质量看板中一键下钻查看质量整改、质检规则、质量工单、质检方案、质量报告及巡检详情；安全看板汇总分级告警、脱敏加密、备份及审计等安全运行指标。</w:t>
                  </w:r>
                  <w:r>
                    <w:rPr>
                      <w:rFonts w:ascii="仿宋_GB2312" w:hAnsi="仿宋_GB2312" w:cs="仿宋_GB2312" w:eastAsia="仿宋_GB2312"/>
                      <w:sz w:val="21"/>
                      <w:color w:val="000000"/>
                    </w:rPr>
                    <w:t>（需提供演示）</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一体化消息管理</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一、配置要求（设备名称、数量）</w:t>
                  </w:r>
                </w:p>
                <w:p>
                  <w:pPr>
                    <w:pStyle w:val="null3"/>
                    <w:jc w:val="left"/>
                  </w:pPr>
                  <w:r>
                    <w:rPr>
                      <w:rFonts w:ascii="仿宋_GB2312" w:hAnsi="仿宋_GB2312" w:cs="仿宋_GB2312" w:eastAsia="仿宋_GB2312"/>
                      <w:sz w:val="21"/>
                      <w:color w:val="000000"/>
                    </w:rPr>
                    <w:t>1.一体化消息管理，1套</w:t>
                  </w:r>
                </w:p>
                <w:p>
                  <w:pPr>
                    <w:pStyle w:val="null3"/>
                    <w:jc w:val="left"/>
                  </w:pPr>
                  <w:r>
                    <w:rPr>
                      <w:rFonts w:ascii="仿宋_GB2312" w:hAnsi="仿宋_GB2312" w:cs="仿宋_GB2312" w:eastAsia="仿宋_GB2312"/>
                      <w:sz w:val="21"/>
                      <w:color w:val="000000"/>
                    </w:rPr>
                    <w:t>二、技术参数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总体要求：全面提升校园服务信息的流转效率与使用体验，形成轻量化、可复用、强兼容的校园智能通知服务体系，为师生提供统一、高效、安全的一站式信息服务支撑，实现</w:t>
                  </w:r>
                  <w:r>
                    <w:rPr>
                      <w:rFonts w:ascii="仿宋_GB2312" w:hAnsi="仿宋_GB2312" w:cs="仿宋_GB2312" w:eastAsia="仿宋_GB2312"/>
                      <w:sz w:val="21"/>
                      <w:color w:val="000000"/>
                    </w:rPr>
                    <w:t>“门户即入口、平台即能力”的一体化体验。</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为全面整合校园各类通知、公告、事项提醒、业务预警等服务信息，实现校内服务信息统一汇聚、精准触达、个性化管理与便捷查阅。</w:t>
                  </w:r>
                </w:p>
                <w:p>
                  <w:pPr>
                    <w:pStyle w:val="null3"/>
                    <w:jc w:val="left"/>
                  </w:pPr>
                  <w:r>
                    <w:rPr>
                      <w:rFonts w:ascii="仿宋_GB2312" w:hAnsi="仿宋_GB2312" w:cs="仿宋_GB2312" w:eastAsia="仿宋_GB2312"/>
                      <w:sz w:val="21"/>
                      <w:color w:val="000000"/>
                    </w:rPr>
                    <w:t>3、▲本次建设完全依托学校现有消息中心管理平台进行能力扩展与深度集成，不新建独立业务系统，所有服务能力均在学校统一门户中搭建专属页面实现。</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在一个页面查看所有类型消息，包括且不限于系统消息、办事消息及日程消息。支持对消息进行筛选，支持定义至少三种消息推送机制，支持一键关闭和一键免打扰；支持根据自身消息提醒的需要设置推送时间，如定时提醒或自定义时间提醒。</w:t>
                  </w:r>
                  <w:r>
                    <w:rPr>
                      <w:rFonts w:ascii="仿宋_GB2312" w:hAnsi="仿宋_GB2312" w:cs="仿宋_GB2312" w:eastAsia="仿宋_GB2312"/>
                      <w:sz w:val="21"/>
                      <w:color w:val="000000"/>
                    </w:rPr>
                    <w:t>（需提供演示）</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构建个人事项中心、全量通知广场、智能订阅管理、个性化提醒策略等一体化能力。</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3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留学生管理平台</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一、配置要求（设备名称、数量）</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留学生管理平台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1套</w:t>
                  </w:r>
                </w:p>
                <w:p>
                  <w:pPr>
                    <w:pStyle w:val="null3"/>
                    <w:jc w:val="left"/>
                  </w:pPr>
                  <w:r>
                    <w:rPr>
                      <w:rFonts w:ascii="仿宋_GB2312" w:hAnsi="仿宋_GB2312" w:cs="仿宋_GB2312" w:eastAsia="仿宋_GB2312"/>
                      <w:sz w:val="21"/>
                      <w:color w:val="000000"/>
                    </w:rPr>
                    <w:t>二、技术参数</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b/>
                      <w:color w:val="000000"/>
                    </w:rPr>
                    <w:t>#</w:t>
                  </w:r>
                  <w:r>
                    <w:rPr>
                      <w:rFonts w:ascii="仿宋_GB2312" w:hAnsi="仿宋_GB2312" w:cs="仿宋_GB2312" w:eastAsia="仿宋_GB2312"/>
                      <w:sz w:val="21"/>
                      <w:color w:val="000000"/>
                    </w:rPr>
                    <w:t>基</w:t>
                  </w:r>
                  <w:r>
                    <w:rPr>
                      <w:rFonts w:ascii="仿宋_GB2312" w:hAnsi="仿宋_GB2312" w:cs="仿宋_GB2312" w:eastAsia="仿宋_GB2312"/>
                      <w:sz w:val="21"/>
                      <w:color w:val="000000"/>
                    </w:rPr>
                    <w:t>于低代码平台轻量化搭建，不开发复杂业务系统，聚焦实现留学生从在校管理到离校办理的全生命周期线上化、规范化管理，覆盖信息汇总、系统管理、基础管理、学生管理、教学管理、日常管理、离校管理等核心业务模块。</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系统依托低代码平台的可视化表单绘制与审批流程构件能力，可快速适配各类业务场景与审批流程。</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▲流程节点支持按用户、部门、角色、计算角色、规则、表单字段、节点设置默认审批人、支持设置可选人员范围。</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系统具备多维度数据统计与可视化展示能力，为留学生管理提供数据支撑。</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系统严格遵循学校数据标准，通过学校数据中心完成与现有教务、财务、资产等业务系统的数据对接，确保数据同源、口径统一，整体实现流程可配、操作简便、数据规范、对接合规的管理目标。</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支持基于</w:t>
                  </w:r>
                  <w:r>
                    <w:rPr>
                      <w:rFonts w:ascii="仿宋_GB2312" w:hAnsi="仿宋_GB2312" w:cs="仿宋_GB2312" w:eastAsia="仿宋_GB2312"/>
                      <w:sz w:val="21"/>
                      <w:color w:val="000000"/>
                    </w:rPr>
                    <w:t>Web可视化建模工具绘制数据报表。支持数据报表的新增、修改、删除、复制及打包下载、导入、预览功能。</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支持基于</w:t>
                  </w:r>
                  <w:r>
                    <w:rPr>
                      <w:rFonts w:ascii="仿宋_GB2312" w:hAnsi="仿宋_GB2312" w:cs="仿宋_GB2312" w:eastAsia="仿宋_GB2312"/>
                      <w:sz w:val="21"/>
                      <w:color w:val="000000"/>
                    </w:rPr>
                    <w:t>Web可视化建模工具绘制图形报表，并支</w:t>
                  </w:r>
                  <w:r>
                    <w:rPr>
                      <w:rFonts w:ascii="仿宋_GB2312" w:hAnsi="仿宋_GB2312" w:cs="仿宋_GB2312" w:eastAsia="仿宋_GB2312"/>
                      <w:sz w:val="21"/>
                      <w:color w:val="000000"/>
                    </w:rPr>
                    <w:t>持预览。支持图形报表的新增、修改、删除、复制及打包下载、导入。</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支持基于</w:t>
                  </w:r>
                  <w:r>
                    <w:rPr>
                      <w:rFonts w:ascii="仿宋_GB2312" w:hAnsi="仿宋_GB2312" w:cs="仿宋_GB2312" w:eastAsia="仿宋_GB2312"/>
                      <w:sz w:val="21"/>
                      <w:color w:val="000000"/>
                    </w:rPr>
                    <w:t>Web可视化建模工具绘制Word报表，并支持预览。支持Word报表的新增、修改、删除、复制及打包下载、导入。</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b/>
                      <w:color w:val="000000"/>
                    </w:rPr>
                    <w:t>#</w:t>
                  </w:r>
                  <w:r>
                    <w:rPr>
                      <w:rFonts w:ascii="仿宋_GB2312" w:hAnsi="仿宋_GB2312" w:cs="仿宋_GB2312" w:eastAsia="仿宋_GB2312"/>
                      <w:sz w:val="21"/>
                      <w:color w:val="000000"/>
                    </w:rPr>
                    <w:t>支持基于</w:t>
                  </w:r>
                  <w:r>
                    <w:rPr>
                      <w:rFonts w:ascii="仿宋_GB2312" w:hAnsi="仿宋_GB2312" w:cs="仿宋_GB2312" w:eastAsia="仿宋_GB2312"/>
                      <w:sz w:val="21"/>
                      <w:color w:val="000000"/>
                    </w:rPr>
                    <w:t>web的可视化建模工具进行建模，绘制应用报表。</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▲提供低代码相关软件著作权及第三方软件测试报告。</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注：技术要求表中，所有软件类产品都须提供正版授权书。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合同签订之日起15个日历日内；安装调试期：到货之日起10 个日历日内；试运行期：完成安装调试后10个日历日。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合同签订之日起15个日历日内；安装调试期：到货之日起10 个日历日内；试运行期：完成安装调试后10个日历日。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10日，且达到平稳运营条件后向甲方申请验收，在30日内甲方进行最终验收，书面验收合格且无索赔争议后，达到付款条件起10个工作日内，支付合同总金额的40.0%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 10日，且达到平稳运营条件后向甲方申请验收，在30日内甲方进行最终验收，书面验收合格且无索赔争议后，达到付款条件起10个工作日内，支付合同总金额的40.0%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三年，自甲方最终书面验收合格之日起算。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响应文件，同时须线下提交纸质响应文件正本壹份、副本贰份、响应文件电子版壹份（以U盘形式提供，文件格式包含.doc/.docx格式及正本签字盖章后扫描的.pdf格式）；若电子响应文件与纸质响应文件不一致的，以电子响应文件为准；若正本和副本不符，以正本为准。 2、响应文件正、副本分别各自装订成册密封，响应文件电子版随正本封装，在封口处加盖供应商公章。为落实国家节能降耗、绿色低碳政策要求，纸质投标文件建议双面打印且不超过200张，超出200张采用分册胶装装订。 3、线下响应文件递交截止时间：同响应文件开启时间。 4、线下递交响应文件地点：西安经济技术开发区凤城十二路与文景路东北角首创·禧悦里25栋A座16层。 注：1、在项目实施过程中，因不可预见或安装需要未提及的附件，供应商应自行考虑，附件应包含在投标总报价中，后期不再追加。2、 2.6.1中签订合同：采购人应在中标通知书发出之日起二十五日内与中标人签订采购合同。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 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投标人应提交的相关资格证明材料.docx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 应函》完成承诺并进行电子签章。</w:t>
            </w:r>
          </w:p>
        </w:tc>
        <w:tc>
          <w:tcPr>
            <w:tcW w:type="dxa" w:w="1661"/>
          </w:tcPr>
          <w:p>
            <w:pPr>
              <w:pStyle w:val="null3"/>
            </w:pPr>
            <w:r>
              <w:rPr>
                <w:rFonts w:ascii="仿宋_GB2312" w:hAnsi="仿宋_GB2312" w:cs="仿宋_GB2312" w:eastAsia="仿宋_GB2312"/>
              </w:rPr>
              <w:t>投标人应提交的相关资格证明材料.docx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 授权代表参加投标时，提供法定代表人授权 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 提供法定代表人授权书和被授权人身份证；非法人单位参照执行； 供应商需在项目电子化交易系统中按要求上传相应证明文件并进行 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 面声明；供应商需在项目电子化交易系统中按要求上传相应证明文 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 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供应商不得为“信用中国”网站（www.creditchina.gov.cn）或“中 国执信公开网” 中被列入失信被执行人、重大税收违法案件当事人名 单和中国政府采购网（www.ccgp.gov.cn）被列入政府采购严重 违法失信行为记录名单的单位。供应商需在项目电子化交易系统中 按要求上传相应证明文件并进行电子签章。开标时将由代理机构进 行现场查询。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 求上传相应承诺文件并进行电子签章。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 业执照，事业单位提供事业单位法人证书， 自然人应提供身份证） 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法定代表人参加投标时，提供本人身份证； 授权代表参加投标时，提供法定代表人授权 书和被授权人身份证；非法人单位参照执行</w:t>
            </w:r>
          </w:p>
        </w:tc>
        <w:tc>
          <w:tcPr>
            <w:tcW w:type="dxa" w:w="3322"/>
          </w:tcPr>
          <w:p>
            <w:pPr>
              <w:pStyle w:val="null3"/>
            </w:pPr>
            <w:r>
              <w:rPr>
                <w:rFonts w:ascii="仿宋_GB2312" w:hAnsi="仿宋_GB2312" w:cs="仿宋_GB2312" w:eastAsia="仿宋_GB2312"/>
              </w:rPr>
              <w:t>法定代表人参加投标时，提供本人身份证；授权代表参加投标时， 提供法定代表人授权书和被授权人身份证；非法人单位参照执行； 供应商需在项目电子化交易系统中按要求上传相应证明文件并进行 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财务状况报告（以下两种资料提供任意一种即可）： 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 2）其开标前三个月内基本开户银行出具的资信证明。供应商需在项目电子化交易系统中按要求上传相应证明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 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 面声明；供应商需在项目电子化交易系统中按要求上传相应证明文 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 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 应商需在项目电子化交易系统中按要求上传相应证明文件并进行电 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提供开标前六个月已缴纳任意一个月完税凭证或税务机关开具的完税证明（任意税种）；依法免税的应提供相关文件证明；供应商需在项目电子化交易系统中按要求上传相应证明文件并进行电子签章。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六个月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供应商不得为“信用中国”网站（www.creditchina.gov.cn）或“中 国执信公开网” 中被列入失信被执行人、重大税收违法案件当事人名 单和中国政府采购网（www.ccgp.gov.cn）被列入政府采购严重 违法失信行为记录名单的单位。供应商需在项目电子化交易系统中 按要求上传相应证明文件并进行电子签章。开标时将由代理机构进 行现场查询。</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 求上传相应承诺文件并进行电子签章。</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其他资料.docx 参加政府采购活动行为自律承诺书.docx 陕西省政府采购供应商拒绝政府采购领域商业贿赂承诺书.docx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合同条款的响应(1).docx 标的清单 其他资料.docx 参加政府采购活动行为自律承诺书.docx 陕西省政府采购供应商拒绝政府采购领域商业贿赂承诺书.docx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投标产品完全符合、响应招标文件要求，没有负偏离得44分。 加“▲”参数总分为32分，每有一条技术指标负偏离扣1.6分，扣完为止。 加“#”参数总分12分，每有一条技术指标负偏离扣0.2分，扣完为止。 注：1、加“★”为实质性指标，不满足该指标项，按无效标处理； 2、加“▲”参数为重要参数，投标供应商须提供相关技术参数佐证材料(佐证材料不限于：产品彩页、技术白皮书、国家认可的检测机构出具的检测报告、制造商检测报告、功能性截图、官网截图等证明材料)予以证明其技术参数的响应性。供应商自行承担因证明材料不全而被视为技术参数偏离的风险。 3、加“#”参数为普通参数。</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提供本项目“核心产品”货源渠道合法的证明文件（包括但不限于销售协议、代理协议、原厂授权等），产品符合国家、行业标准及有关规定，确保产品性能稳定，无产权纠纷，得2 分。其他得0分。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为保证设备配套软件质量及教学效果，投标人需提供以下演示(须使用真实系统演示(非测试和演示环境)，不接受PPT、Demo、动画或视频演示界面完整清晰且符合功能参数要求)，演示项共计4项，演示详细，完全符合采购人需求，每项计1.5分，满分6分；演示内容不清晰、不完整，每项计0.5分，演示效果差，无法满足采购人需求，计0分 演示内容：1、在平台集成管控体系下，支持系统访问入口与业务流程服务入口分层分场景展示；针对流程类服务入口，可按照平台标准集成规范，内嵌展示完整配套办事指引信息，包含办事审批进度、服务表单、流程图及流转记录等内容，并支持一键导出和打印。 2、大模型体验中心：用户可以通过对话的方式进行模型试用，包括模型选择、模型参数配置、Prompt编写Prompt模板引用、编辑历史会话管理。全部模型及工具的免费调用。 3、Vibe Coding能力：支持通过简单对话让AI承担编码调试等繁琐工作，将复杂代码逻辑转变为清晰可见的图形界面。支持通过自然语言对话的发方式完成应用开发，开发过程自动分配云端运行环境，自主解决编码所需基础功能和依赖环境。支持通过简单的对话即可构建全代码智能体。支持全代码开发工作流，将用户需求转化为可执行、可观测、可迭代的工作流代码，支持API集成。支持快速封装可复用的AI能力单元，支持灵活嵌入，提供模块化功能扩展。支持全栈网页应用开发，支持自定义设置视觉风格，可实现自定义域名部署。支持全代码移动应用程序开发，支持一键生成可供下载的Android版APK安装包。支持一键部署能力，无需关注底层服务器资源分配，无需手动打包与构建，点击"部署"即可自动完成云端打包、构建与服务部署。 4、系统运营与监控：提供从编写、调试、优化到版本管理的全流程支持，支持可视化Playground实现实时交互测试。评测功能内置专家评估器，支持多对象评测，提供开箱即用的结果洞察分析、多实验对比及观测能力，实现评测过程透明化。内置大模型评估器模板，支持快速验证和复杂场景深度评测。观测功能提供大模型应用全生命周期可视化支持，覆盖开发调试与线上运行全流程，助力开发者快速定位问题根因与性能瓶颈，实时掌控应用全链路状态，完整记录从用户输入到AI输出的每个处理环节，包括Prompt解析、模型调用、工具执行等关键节点。自动捕获中间结果和异常状态，精准定位错误发生环节）【所有演示内容，须在15分钟内完成，超过规定时间未完成演示内容的，将根据已演示的内容进行综合打分，未进行演示的不得分。演示所需软硬件投标人自行准备，使用腾讯会议在线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供应商针对本项目提供具体详细可行的①供货及运输方案②人员安排 二、评审标准： 1、完整性：方案必须全面，对评审内容中的各项要求有详细描述； 2、合理性：切合本项目实际情况，提出步骤清晰、合理的方案； 3、针对性：方案能够紧扣项目实际情况，内容科学合理。 三、赋分标准： ①供货及运输方案方案：每完全满足一个评审标准得1分，满分3分； ②人员安排：每完全满足一个评审标准得1分，满分3分；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供应商针对本项目有完整的完整、详细的培训方案与计划 二、评审标准 1、完整性：内容必须全面，对评审内容中的各项要求有详细描述； 2、针对性：切合项目具体情况，明确责任及具体的培训方案； 三、赋分标准； 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供应商针对本项目有完整的售后服务方案，包括①售后服务内容；②质量保证措施； 二、评审标准 1、完整性：内容必须全面，对评审内容中的各项要求有详细描述； 2、合理性：切合项目具体情况，明确责任及具体的方案； 3、针对性：方案能够紧扣项目实际情况，内容科学合理。 三、赋分标准； ①售后服务内容：每完全满足一个评审标准得1分，满分3分； ②质量保证措施：每完全满足一个评审标准得1分，满分3分；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提供2023年1月1日至今类似项目业绩，响应文件中附其合同文件为依据(提供加盖供应商红色公章的完整复印件，以合同签订时间为准)，提供一份业绩得 1 分，最高得 3 分。不提供或不按要求提供，本项得0分。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提供政府采购政策等证明材料）</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投标产品完全符合、响应招标文件要求，没有负偏离的得44分。 加“▲”参数总分为32分，每有一条技术指标负偏离扣2分，扣完为止。 加“#”参数总分12分，每有一条技术指标负偏离扣0.2分，扣完为止。 注：1、加“★”为实质性指标，不满足该指标项，按无效标处理； 2、加“▲”参数为重要参数，投标供应商须提供相关技术参数佐证材料(佐证材料不限于：产品彩页、技术白皮书、国家认可的检测机构出具的检测报告、制造商检测报告、功能性截图、官网截图等证明材料)予以证明其技术参数的响应性。供应商自行承担因证明材料不全而被视为技术参数偏离的风险。 3、加“#”参数为普通参数。</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投标产品可靠性</w:t>
            </w:r>
          </w:p>
        </w:tc>
        <w:tc>
          <w:tcPr>
            <w:tcW w:type="dxa" w:w="2492"/>
          </w:tcPr>
          <w:p>
            <w:pPr>
              <w:pStyle w:val="null3"/>
            </w:pPr>
            <w:r>
              <w:rPr>
                <w:rFonts w:ascii="仿宋_GB2312" w:hAnsi="仿宋_GB2312" w:cs="仿宋_GB2312" w:eastAsia="仿宋_GB2312"/>
              </w:rPr>
              <w:t>提供本项目“核心产品”货源渠道合法的证明文件（包括但不限于销售协议、代理协议、原厂授权等），产品符合国家、行业标准及有关规定，确保产品性能稳定，无产权纠纷，得2 分。其他得0分。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为保证设备配套软件质量及教学效果，投标人需提供以下演示(须使用真实系统演示(非测试和演示环境)，不接受PPT、Demo、动画或视频演示界面完整清晰且符合功能参数要求)，演示项共计4项，演示详细，完全符合采购人需求，每项计1.5分，满分6分；演示内容不清晰、不完整，每项计0.5分，演示效果差，无法满足采购人需求，计0分。 （1、要求上述学校空间、学院空间、师生空间、班级空间全部集中在一个页面分级展示，并能够支持集成到学校门户顶层导航栏，无需独立域名，实现界面一体化的展示，完全贴合学校门户交互架构，便于相关管理人员集中查看与切换。 2、 支持脱敏规则设置及详情查看，包括且不限于脱敏规则、算法、位数、效果及相关脱敏策略。支持对于脱敏规则的批量停用、启用。支持查看和导出所有脱敏对象，并对脱敏对象的字段信息、规则信息和脱敏权限进行统一浏览。 3、建设数据三清单运营看板，量化三类清单各自的落地完成率并做部门排名统计；元数据运营看板，统筹元数据各库数据表、字段量及解析进度，全层级元数据采集、变更统计，各业务系统入湖入仓分析；资产运营看板跟踪数据资产编目、确权、上架、申领及共享使用情况；集成看板监控数据同步任务成功率、交换体量与异常告警；数仓看板分层展示数据湖、多类型数仓及历史库的表量与数据存量；质量看板串联质检全流程，输出各部门质量考评排名与整改动态，支持在质量看板中一键下钻查看质量整改、质检规则、质量工单、质检方案、质量报告及巡检详情；安全看板汇总分级告警、脱敏加密、备份及审计等安全运行指标。 4、支持在一个页面查看所有类型消息，包括且不限于系统消息、办事消息及日程消息。支持对消息进行筛选，支持定义至少三种消息推送机制，支持一键关闭和一键免打扰；支持根据自身消息提醒的需要设置推送时间，如定时提醒或自定义时间提醒）【所有演示内容，须在15分钟内完成，超过规定时间未完成演示内容的，将根据已演示的内容进行综合打分，未进行演示的不得分。演示所需软硬件投标人自行准备，使用腾讯会议在线演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一、评审内容： 供应商针对本项目提供具体详细可行的①供货及运输方案②人员安排 二、评审标准： 1、完整性：方案必须全面，对评审内容中的各项要求有详细描述； 2、合理性：切合本项目实际情况，提出步骤清晰、合理的方案； 3、针对性：方案能够紧扣项目实际情况，内容科学合理。 三、赋分标准： ①供货方案：每完全满足一个评审标准得1分，满分3分； ②人员安排：每完全满足一个评审标准得1分，满分3分；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供应商针对本项目有完整的完整、详细的培训方案与计划 二、评审标准 1、完整性：内容必须全面，对评审内容中的各项要求有详细描述； 2、针对性：切合项目具体情况，明确责任及具体的培训方案； 三、赋分标准； 每完全满足一个评审标准得1分，满分2分；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供应商针对本项目有完整的售后服务方案，包括①售后服务内容；②质量保证措施； 二、评审标准 1、完整性：内容必须全面，对评审内容中的各项要求有详细描述； 2、合理性：切合项目具体情况，明确责任及具体的方案； 3、针对性：方案能够紧扣项目实际情况，内容科学合理。 三、赋分标准； ①售后服务内容：每完全满足一个评审标准得1分，满分3分； ②质量保证措施：每完全满足一个评审标准得1分，满分3分；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提供2023年1月1日至今类似项目业绩，响应文件中附其合同文件为依据(提供加盖供应商红色公章的完整复印件，以合同签订时间为准)，提供一份业绩得 1 分，最高得 3分。不提供或不按要求提供，本项得0分。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满足招标文件要求且投标价格最低的投标报价为评标基准价，其价格分为满分。其他供应商的价格分统一按照下列公式计算：投标报价得分=(评标基准价/投标报价）×30计算分数时四舍五入取小数点后两位。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提供政府采购政策等证明材料）</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详见附件：参加政府采购活动行为自律承诺书.docx</w:t>
      </w:r>
    </w:p>
    <w:p>
      <w:pPr>
        <w:pStyle w:val="null3"/>
        <w:ind w:firstLine="960"/>
      </w:pPr>
      <w:r>
        <w:rPr>
          <w:rFonts w:ascii="仿宋_GB2312" w:hAnsi="仿宋_GB2312" w:cs="仿宋_GB2312" w:eastAsia="仿宋_GB2312"/>
        </w:rPr>
        <w:t>详见附件：合同条款的响应(1).docx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详见附件：陕西工大 设备更新二期--货物采购类合同模板-【定稿】.docx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