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28F88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5"/>
          <w:sz w:val="24"/>
          <w:szCs w:val="24"/>
          <w:lang w:val="zh-CN" w:eastAsia="zh-CN" w:bidi="ar-SA"/>
        </w:rPr>
        <w:t>基本信息查询</w:t>
      </w:r>
    </w:p>
    <w:p w14:paraId="5AA57472">
      <w:pPr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357CA46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供应商基本信息及项目经理的基本信息在“全国建筑市场监管公共服务平台”可查询且无不良记录（提供网页截图）。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（以上内容响应文件中提供复印件或扫描件并进行电子签章）</w:t>
      </w:r>
    </w:p>
    <w:p w14:paraId="1F071B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5ED76F6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DDE07DF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0</Lines>
  <Paragraphs>0</Paragraphs>
  <TotalTime>0</TotalTime>
  <ScaleCrop>false</ScaleCrop>
  <LinksUpToDate>false</LinksUpToDate>
  <CharactersWithSpaces>88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