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版本号：ZCHZCG-2026-01720260617001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南郑区中心敬老院配套基础设施及养老护理能力提升项目-电力设施改造提升项目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ZCHZCG-2026-017</w:t>
      </w:r>
      <w:r>
        <w:br/>
      </w:r>
      <w:r>
        <w:br/>
      </w:r>
      <w:r>
        <w:br/>
      </w:r>
    </w:p>
    <w:p>
      <w:pPr>
        <w:pStyle w:val="null3"/>
        <w:jc w:val="center"/>
        <w:outlineLvl w:val="2"/>
      </w:pPr>
      <w:r>
        <w:rPr>
          <w:rFonts w:ascii="仿宋_GB2312" w:hAnsi="仿宋_GB2312" w:cs="仿宋_GB2312" w:eastAsia="仿宋_GB2312"/>
          <w:sz w:val="28"/>
          <w:b/>
        </w:rPr>
        <w:t>汉中市南郑区民政局</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汉中市南郑区民政局</w:t>
      </w:r>
      <w:r>
        <w:rPr>
          <w:rFonts w:ascii="仿宋_GB2312" w:hAnsi="仿宋_GB2312" w:cs="仿宋_GB2312" w:eastAsia="仿宋_GB2312"/>
        </w:rPr>
        <w:t>委托，拟对</w:t>
      </w:r>
      <w:r>
        <w:rPr>
          <w:rFonts w:ascii="仿宋_GB2312" w:hAnsi="仿宋_GB2312" w:cs="仿宋_GB2312" w:eastAsia="仿宋_GB2312"/>
        </w:rPr>
        <w:t>南郑区中心敬老院配套基础设施及养老护理能力提升项目-电力设施改造提升项目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ZCHZCG-2026-017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南郑区中心敬老院配套基础设施及养老护理能力提升项目-电力设施改造提升项目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确保南郑区中心敬老院配套基础设施及养老护理能力提升项目顺利实施，计划对中心敬老院电力设施进行改造提升。主要涉及内容为：1.原500千伏安箱式变电机组迁移；2.增设1250千伏安箱式变电站设备；3.院内用电线路双回路线路改造提升。通过对电力设备和线路的改造升级，确保南郑区中心敬老护配套基础设施及养老护理能力提升项目能够顺利推进，确保院内用电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采购包1（南郑区中心敬老院配套基础设施及养老护理能力提升项目-电力设施改造提升项目）：属于专门面向中小企业采购。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1、供应商主体证明：具有独立承担民事责任的能力，提供营业执照、税务登记证、组织机构代码证或登载有统一社会信用代码的营业执照（或《事业单位法人证书》或其他合法组织登记证书）；</w:t>
      </w:r>
    </w:p>
    <w:p>
      <w:pPr>
        <w:pStyle w:val="null3"/>
      </w:pPr>
      <w:r>
        <w:rPr>
          <w:rFonts w:ascii="仿宋_GB2312" w:hAnsi="仿宋_GB2312" w:cs="仿宋_GB2312" w:eastAsia="仿宋_GB2312"/>
        </w:rPr>
        <w:t>2、法定代表⼈⾝份证明或法定代表⼈授权委托书：法定代表人授权委托书（附法定代表人、被授权人身份证复印件），法定代表人直接投标时，提供法定代表人身份证明（附法定代表人身份证复印件）；</w:t>
      </w:r>
    </w:p>
    <w:p>
      <w:pPr>
        <w:pStyle w:val="null3"/>
      </w:pPr>
      <w:r>
        <w:rPr>
          <w:rFonts w:ascii="仿宋_GB2312" w:hAnsi="仿宋_GB2312" w:cs="仿宋_GB2312" w:eastAsia="仿宋_GB2312"/>
        </w:rPr>
        <w:t>3、供应商相关资质：供应商须具备建设行政主管部门颁发的电力工程施工总承包三级及以上资质，并同时具有承装（修、试）电力设施许可证（承装类四级及以上资质），且具备合法有效的安全生产许可证；</w:t>
      </w:r>
    </w:p>
    <w:p>
      <w:pPr>
        <w:pStyle w:val="null3"/>
      </w:pPr>
      <w:r>
        <w:rPr>
          <w:rFonts w:ascii="仿宋_GB2312" w:hAnsi="仿宋_GB2312" w:cs="仿宋_GB2312" w:eastAsia="仿宋_GB2312"/>
        </w:rPr>
        <w:t>4、拟派项目负责人资格：供应商拟派项目经理须具备机电工程专业二级及以上注册建造师资格证，并提供执业资格证、注册证、安全生产考核合格B证，且未担任其他在建工程项目；</w:t>
      </w:r>
    </w:p>
    <w:p>
      <w:pPr>
        <w:pStyle w:val="null3"/>
      </w:pPr>
      <w:r>
        <w:rPr>
          <w:rFonts w:ascii="仿宋_GB2312" w:hAnsi="仿宋_GB2312" w:cs="仿宋_GB2312" w:eastAsia="仿宋_GB2312"/>
        </w:rPr>
        <w:t>5、供应商须提供《汉中市政府采购供应商资格承诺函》：供应商须具有健全的财务会计制度、履⾏合同所需的设备和专业技术能⼒、依法缴纳税收和社会保障资⾦，以及参加采购活动前3年内经营活动⽆重⼤违法违纪活动记录，供应商须提供《汉中市政府采购供应商资格承诺函》;</w:t>
      </w:r>
    </w:p>
    <w:p>
      <w:pPr>
        <w:pStyle w:val="null3"/>
      </w:pPr>
      <w:r>
        <w:rPr>
          <w:rFonts w:ascii="仿宋_GB2312" w:hAnsi="仿宋_GB2312" w:cs="仿宋_GB2312" w:eastAsia="仿宋_GB2312"/>
        </w:rPr>
        <w:t>6、非联合体磋商：本项目不接受联合体响应，供应商需提供《非联合体投标声明》，视为独立响应。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汉山街道办西大街32号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13892635370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陕西省汉中市汉台区南一环路气象北巷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汉中市南郑区民政局</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要求、中标（成交）⼈的投标（响应）⽂件及承诺、签订的合同、国家及⾏业相关规范标准进⾏。其他未尽事宜应严格按照《财政部关于进⼀步加强政府采购需求和履约验收管理的指导意⻅》（财库[2016]205 号）的要求进⾏验收。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地址：陕西省汉中市汉台区南一环路气象北巷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683,565.85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南郑区中心敬老院配套基础设施及养老护理能力提升项目-电力设施改造提升项目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标的名称：南郑区中心敬老院配套基础设施及养老护理能力提升项目-电力设施改造提升项目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2"/>
                <w:b/>
              </w:rPr>
              <w:t>南郑区中心敬老院配套基础设施及养老护理能力提升项目</w:t>
            </w:r>
            <w:r>
              <w:rPr>
                <w:rFonts w:ascii="仿宋_GB2312" w:hAnsi="仿宋_GB2312" w:cs="仿宋_GB2312" w:eastAsia="仿宋_GB2312"/>
                <w:sz w:val="32"/>
                <w:b/>
              </w:rPr>
              <w:t>-电力设施改造提升项目</w:t>
            </w:r>
          </w:p>
          <w:p>
            <w:pPr>
              <w:pStyle w:val="null3"/>
              <w:jc w:val="center"/>
            </w:pPr>
            <w:r>
              <w:rPr>
                <w:rFonts w:ascii="仿宋_GB2312" w:hAnsi="仿宋_GB2312" w:cs="仿宋_GB2312" w:eastAsia="仿宋_GB2312"/>
                <w:sz w:val="32"/>
                <w:b/>
              </w:rPr>
              <w:t>招标工程量清单</w:t>
            </w:r>
            <w:r>
              <w:rPr>
                <w:rFonts w:ascii="仿宋_GB2312" w:hAnsi="仿宋_GB2312" w:cs="仿宋_GB2312" w:eastAsia="仿宋_GB2312"/>
                <w:sz w:val="32"/>
                <w:b/>
              </w:rPr>
              <w:t>编制说明</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工程概况</w:t>
            </w:r>
          </w:p>
          <w:p>
            <w:pPr>
              <w:pStyle w:val="null3"/>
              <w:ind w:firstLine="480"/>
              <w:jc w:val="both"/>
            </w:pPr>
            <w:r>
              <w:rPr>
                <w:rFonts w:ascii="仿宋_GB2312" w:hAnsi="仿宋_GB2312" w:cs="仿宋_GB2312" w:eastAsia="仿宋_GB2312"/>
                <w:sz w:val="24"/>
              </w:rPr>
              <w:t>南郑区中心敬老院配套基础设施及养老护理能力提升项目</w:t>
            </w:r>
            <w:r>
              <w:rPr>
                <w:rFonts w:ascii="仿宋_GB2312" w:hAnsi="仿宋_GB2312" w:cs="仿宋_GB2312" w:eastAsia="仿宋_GB2312"/>
                <w:sz w:val="24"/>
              </w:rPr>
              <w:t>-电力设施改造提升项目位于汉中市南郑区中心敬老院，主要建设内容为：本工程10kV电源由交流116农阳线敬老院支线32#杆T接，经电缆敷设至新建两进四出环网箱，10kV电缆采用段电缆采用ZC-YJLV22-8.7/15kV-3*150,共计170米;环网箱出线一回至迁移500kVA箱变，电缆采用段电缆采用ZC-YJLV22-8.7/15kV-3*70,共计15米；环网箱出线二回至新建1250kVA箱交，段电缆采用ZC-YJLV22-8.7/15kV-3*120,共计20米。</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编制</w:t>
            </w:r>
            <w:r>
              <w:rPr>
                <w:rFonts w:ascii="仿宋_GB2312" w:hAnsi="仿宋_GB2312" w:cs="仿宋_GB2312" w:eastAsia="仿宋_GB2312"/>
                <w:sz w:val="24"/>
                <w:b/>
              </w:rPr>
              <w:t>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、陕西住房和城乡建设厅文件《关于印发</w:t>
            </w:r>
            <w:r>
              <w:rPr>
                <w:rFonts w:ascii="仿宋_GB2312" w:hAnsi="仿宋_GB2312" w:cs="仿宋_GB2312" w:eastAsia="仿宋_GB2312"/>
                <w:sz w:val="24"/>
              </w:rPr>
              <w:t>2025陕西省建设工程费用规则等计价依据的通知》。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、陕西省《建设工程工程量清单计价标准》（</w:t>
            </w:r>
            <w:r>
              <w:rPr>
                <w:rFonts w:ascii="仿宋_GB2312" w:hAnsi="仿宋_GB2312" w:cs="仿宋_GB2312" w:eastAsia="仿宋_GB2312"/>
                <w:sz w:val="24"/>
              </w:rPr>
              <w:t>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、《陕西省建设工程费用规则（</w:t>
            </w:r>
            <w:r>
              <w:rPr>
                <w:rFonts w:ascii="仿宋_GB2312" w:hAnsi="仿宋_GB2312" w:cs="仿宋_GB2312" w:eastAsia="仿宋_GB2312"/>
                <w:sz w:val="24"/>
              </w:rPr>
              <w:t>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4、《南郑区中心敬老院配套基础设施及养老护理能力提升项目电力设施改造提升项目施工图设计》。</w:t>
            </w:r>
          </w:p>
          <w:p>
            <w:pPr>
              <w:pStyle w:val="null3"/>
              <w:ind w:firstLine="48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中标（成交）人的投标（响应）文件及承诺、签订的合同、国家及行业相关规范标准进行。其他未尽事宜应严格按照《财政部关于进一步加强政府采购需求和履约验收管理的指导意见》（财库[2016]205 号）的要求进行验收。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自合同签订后60日历天。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供应商主体证明</w:t>
            </w:r>
          </w:p>
        </w:tc>
        <w:tc>
          <w:tcPr>
            <w:tcW w:type="dxa" w:w="3322"/>
          </w:tcPr>
          <w:p>
            <w:pPr>
              <w:pStyle w:val="null3"/>
            </w:pPr>
            <w:r>
              <w:rPr>
                <w:rFonts w:ascii="仿宋_GB2312" w:hAnsi="仿宋_GB2312" w:cs="仿宋_GB2312" w:eastAsia="仿宋_GB2312"/>
              </w:rPr>
              <w:t>具有独立承担民事责任的能力，提供营业执照、税务登记证、组织机构代码证或登载有统一社会信用代码的营业执照（或《事业单位法人证书》或其他合法组织登记证书）；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法定代表人授权委托书（附法定代表人、被授权人身份证复印件），法定代表人直接投标时，提供法定代表人身份证明（附法定代表人身份证复印件）；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供应商相关资质</w:t>
            </w:r>
          </w:p>
        </w:tc>
        <w:tc>
          <w:tcPr>
            <w:tcW w:type="dxa" w:w="3322"/>
          </w:tcPr>
          <w:p>
            <w:pPr>
              <w:pStyle w:val="null3"/>
            </w:pPr>
            <w:r>
              <w:rPr>
                <w:rFonts w:ascii="仿宋_GB2312" w:hAnsi="仿宋_GB2312" w:cs="仿宋_GB2312" w:eastAsia="仿宋_GB2312"/>
              </w:rPr>
              <w:t>供应商须具备建设行政主管部门颁发的电力工程施工总承包三级及以上资质，并同时具有承装（修、试）电力设施许可证（承装类四级及以上资质），且具备合法有效的安全生产许可证；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供应商拟派项目经理须具备机电工程专业二级及以上注册建造师资格证，并提供执业资格证、注册证、安全生产考核合格B证，且未担任其他在建工程项目；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履⾏合同所需的设备和专业技术能⼒、依法缴纳税收和社会保障资⾦，以及参加采购活动前3年内经营活动⽆重⼤违法违纪活动记录，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本项目不接受联合体响应，供应商需提供《非联合体投标声明》，视为独立响应。</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已标价工程量清单 中小企业声明函 技术方案 保证金缴交证明文件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中小企业声明函 技术方案 保证金缴交证明文件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提供的安全保证措施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提供的资源配置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环保⽂明措施</w:t>
            </w:r>
          </w:p>
        </w:tc>
        <w:tc>
          <w:tcPr>
            <w:tcW w:type="dxa" w:w="2492"/>
          </w:tcPr>
          <w:p>
            <w:pPr>
              <w:pStyle w:val="null3"/>
            </w:pPr>
            <w:r>
              <w:rPr>
                <w:rFonts w:ascii="仿宋_GB2312" w:hAnsi="仿宋_GB2312" w:cs="仿宋_GB2312" w:eastAsia="仿宋_GB2312"/>
              </w:rPr>
              <w:t>根据供应商提供的环保⽂明措施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施⼯部署</w:t>
            </w:r>
          </w:p>
        </w:tc>
        <w:tc>
          <w:tcPr>
            <w:tcW w:type="dxa" w:w="2492"/>
          </w:tcPr>
          <w:p>
            <w:pPr>
              <w:pStyle w:val="null3"/>
            </w:pPr>
            <w:r>
              <w:rPr>
                <w:rFonts w:ascii="仿宋_GB2312" w:hAnsi="仿宋_GB2312" w:cs="仿宋_GB2312" w:eastAsia="仿宋_GB2312"/>
              </w:rPr>
              <w:t>根据供应商提供的施⼯部署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施⼯⼯艺内容</w:t>
            </w:r>
          </w:p>
        </w:tc>
        <w:tc>
          <w:tcPr>
            <w:tcW w:type="dxa" w:w="2492"/>
          </w:tcPr>
          <w:p>
            <w:pPr>
              <w:pStyle w:val="null3"/>
            </w:pPr>
            <w:r>
              <w:rPr>
                <w:rFonts w:ascii="仿宋_GB2312" w:hAnsi="仿宋_GB2312" w:cs="仿宋_GB2312" w:eastAsia="仿宋_GB2312"/>
              </w:rPr>
              <w:t>根据供应商提供的施⼯⼯艺内容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提供的应急预案包含：①对可能存在重⼤事故（危险）进⾏分析，②响应机制，③针对施⼯过程中可能存在的突发安全事件的应急预案及处置流程，④施⼯设备突发故障的应急处理措施，⑤施⼯⼈员与项⽬所在地周围群众发⽣纠纷的应急预案。 根据以上⽅案内容进⾏综合评分，以上①-⑤项⽅案内容⻬全且⽆缺陷的得10分，每有⼀项⽅案内容缺失的扣2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供应商2023年1⽉1⽇（含1⽇）（以竣⼯验收报告时间为准）以来具有⼀个已完成类似项⽬业绩的得2分，本项最多得4分。（提供施⼯合同复印件和竣⼯验收报告复印件。）类似项⽬是指电力系统安装⼯程类项⽬。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1.经评标委员会评审，通过资格和符合性审查，且投标报价最低的投标⼈的投标报价作为评标基准价。2.投标报价得分=(评标基准价∕投标报价)×分值。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详见附件：保证金缴交证明文件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