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版本号：ZJXG202604220260624001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武屯街道仁官村基础设施改造项目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ZJXG2026042</w:t>
      </w:r>
      <w:r>
        <w:br/>
      </w:r>
      <w:r>
        <w:br/>
      </w:r>
      <w:r>
        <w:br/>
      </w:r>
    </w:p>
    <w:p>
      <w:pPr>
        <w:pStyle w:val="null3"/>
        <w:jc w:val="center"/>
        <w:outlineLvl w:val="2"/>
      </w:pPr>
      <w:r>
        <w:rPr>
          <w:rFonts w:ascii="仿宋_GB2312" w:hAnsi="仿宋_GB2312" w:cs="仿宋_GB2312" w:eastAsia="仿宋_GB2312"/>
          <w:sz w:val="28"/>
          <w:b/>
        </w:rPr>
        <w:t>西安市阎良区武屯街道办事处</w:t>
      </w:r>
    </w:p>
    <w:p>
      <w:pPr>
        <w:pStyle w:val="null3"/>
        <w:jc w:val="center"/>
        <w:outlineLvl w:val="2"/>
      </w:pPr>
      <w:r>
        <w:rPr>
          <w:rFonts w:ascii="仿宋_GB2312" w:hAnsi="仿宋_GB2312" w:cs="仿宋_GB2312" w:eastAsia="仿宋_GB2312"/>
          <w:sz w:val="28"/>
          <w:b/>
        </w:rPr>
        <w:t>陕西中鉴项目管理有限公司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陕西中鉴项目管理有限公司</w:t>
      </w:r>
      <w:r>
        <w:rPr>
          <w:rFonts w:ascii="仿宋_GB2312" w:hAnsi="仿宋_GB2312" w:cs="仿宋_GB2312" w:eastAsia="仿宋_GB2312"/>
        </w:rPr>
        <w:t>（以下简称“代理机构”）受</w:t>
      </w:r>
      <w:r>
        <w:rPr>
          <w:rFonts w:ascii="仿宋_GB2312" w:hAnsi="仿宋_GB2312" w:cs="仿宋_GB2312" w:eastAsia="仿宋_GB2312"/>
        </w:rPr>
        <w:t>西安市阎良区武屯街道办事处</w:t>
      </w:r>
      <w:r>
        <w:rPr>
          <w:rFonts w:ascii="仿宋_GB2312" w:hAnsi="仿宋_GB2312" w:cs="仿宋_GB2312" w:eastAsia="仿宋_GB2312"/>
        </w:rPr>
        <w:t>委托，拟对</w:t>
      </w:r>
      <w:r>
        <w:rPr>
          <w:rFonts w:ascii="仿宋_GB2312" w:hAnsi="仿宋_GB2312" w:cs="仿宋_GB2312" w:eastAsia="仿宋_GB2312"/>
        </w:rPr>
        <w:t>武屯街道仁官村基础设施改造项目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ZJXG2026042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武屯街道仁官村基础设施改造项目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武屯街道仁官村基础设施改造项目，详见竞争性磋商文件。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采购包1（武屯街道仁官村基础设施改造项目）：属于专门面向中小企业采购。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1、有效的主体资格证明：具有独立承担民事责任能力的法人、其他组织或自然人，并出具合法有效的相关证明材料。供应商需在项目电子化交易系统中按要求上传相应证明文件并进行电子签章；</w:t>
      </w:r>
    </w:p>
    <w:p>
      <w:pPr>
        <w:pStyle w:val="null3"/>
      </w:pPr>
      <w:r>
        <w:rPr>
          <w:rFonts w:ascii="仿宋_GB2312" w:hAnsi="仿宋_GB2312" w:cs="仿宋_GB2312" w:eastAsia="仿宋_GB2312"/>
        </w:rPr>
        <w:t>2、财务状况报告：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p>
      <w:pPr>
        <w:pStyle w:val="null3"/>
      </w:pPr>
      <w:r>
        <w:rPr>
          <w:rFonts w:ascii="仿宋_GB2312" w:hAnsi="仿宋_GB2312" w:cs="仿宋_GB2312" w:eastAsia="仿宋_GB2312"/>
        </w:rPr>
        <w:t>3、税收缴纳证明：提供供应商开标前六个月至今已缴存的任意一个月的纳税证明或完税证明，依法免税的单位应提供相关证明材料。供应商需在项目电子化交易系统中按要求上传相应证明文件并进行电子签章；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授权书被授权人身份证：法定代表人授权书及被授权人身份证（法定代表人直接参加磋商的须提供其法定代表人身份证），非法人单位参照执行。供应商需在项目电子化交易系统中按要求上传相应证明文件并进行电子签章；</w:t>
      </w:r>
    </w:p>
    <w:p>
      <w:pPr>
        <w:pStyle w:val="null3"/>
      </w:pPr>
      <w:r>
        <w:rPr>
          <w:rFonts w:ascii="仿宋_GB2312" w:hAnsi="仿宋_GB2312" w:cs="仿宋_GB2312" w:eastAsia="仿宋_GB2312"/>
        </w:rPr>
        <w:t>8、企业资质：供应商具备建设行政主管部门颁发的建筑工程施工总承包三级及以上资质；同时具有合格有效的安全生产许可证。供应商需在项目电子化交易系统中按要求上传相应证明文件并进行电子签章；</w:t>
      </w:r>
    </w:p>
    <w:p>
      <w:pPr>
        <w:pStyle w:val="null3"/>
      </w:pPr>
      <w:r>
        <w:rPr>
          <w:rFonts w:ascii="仿宋_GB2312" w:hAnsi="仿宋_GB2312" w:cs="仿宋_GB2312" w:eastAsia="仿宋_GB2312"/>
        </w:rPr>
        <w:t>9、项目经理：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p>
      <w:pPr>
        <w:pStyle w:val="null3"/>
      </w:pPr>
      <w:r>
        <w:rPr>
          <w:rFonts w:ascii="仿宋_GB2312" w:hAnsi="仿宋_GB2312" w:cs="仿宋_GB2312" w:eastAsia="仿宋_GB2312"/>
        </w:rPr>
        <w:t>10、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p>
      <w:pPr>
        <w:pStyle w:val="null3"/>
      </w:pPr>
      <w:r>
        <w:rPr>
          <w:rFonts w:ascii="仿宋_GB2312" w:hAnsi="仿宋_GB2312" w:cs="仿宋_GB2312" w:eastAsia="仿宋_GB2312"/>
        </w:rPr>
        <w:t>11、其他要求：（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12、非联合体投标：本项目不接受联合体投标，提供非联合体投标声明函。供应商需在项目电子化交易系统中按要求上传相应证明文件并进行电子签章；</w:t>
      </w:r>
    </w:p>
    <w:p>
      <w:pPr>
        <w:pStyle w:val="null3"/>
      </w:pPr>
      <w:r>
        <w:rPr>
          <w:rFonts w:ascii="仿宋_GB2312" w:hAnsi="仿宋_GB2312" w:cs="仿宋_GB2312" w:eastAsia="仿宋_GB2312"/>
        </w:rPr>
        <w:t>13、中小企业：本合同包为专门面向中小企业采购（提供中小企业声明函或监狱企业的证明文件或残疾人福利性单位声明函）。供应商需在项目电子化交易系统中按要求上传相应证明文件并进行电子签章；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西安市阎良区武屯街道办事处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西安市阎良区武屯街道街东1号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西安市阎良区武屯街道办事处经办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029-68330011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陕西中鉴项目管理有限公司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陕西省西安市未央区未央路109号万象未央1号楼506室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梁加豪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029-88229191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西安市阎良区政府采购管理股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郝智军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86204415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采购包1：1,937,320.08元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颁发的《招标代理服务收费管理暂行办法》（计价格〔2002〕1980号）和国家发展和改革委员会办公厅颁发的《关于招标代理服务收费有关问题的通知》（发改办价格〔2003〕857号）的文件收费标准计取。成交单位服务费交纳信息银行户名：陕西中鉴项目管理有限公司开户行：招商银行股份有限公司西安分行营业部账号：129911072510777联系电话：029-88229191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西安市阎良区武屯街道办事处</w:t>
      </w:r>
      <w:r>
        <w:rPr>
          <w:rFonts w:ascii="仿宋_GB2312" w:hAnsi="仿宋_GB2312" w:cs="仿宋_GB2312" w:eastAsia="仿宋_GB2312"/>
        </w:rPr>
        <w:t>和</w:t>
      </w:r>
      <w:r>
        <w:rPr>
          <w:rFonts w:ascii="仿宋_GB2312" w:hAnsi="仿宋_GB2312" w:cs="仿宋_GB2312" w:eastAsia="仿宋_GB2312"/>
        </w:rPr>
        <w:t>陕西中鉴项目管理有限公司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西安市阎良区武屯街道办事处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陕西中鉴项目管理有限公司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西安市阎良区武屯街道办事处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陕西中鉴项目管理有限公司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按照竞争性磋商文件及成交供应商竞争性磋商响应文件进行履约验收。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陕西中鉴项目管理有限公司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联系人：梁加豪</w:t>
      </w:r>
    </w:p>
    <w:p>
      <w:pPr>
        <w:pStyle w:val="null3"/>
      </w:pPr>
      <w:r>
        <w:rPr>
          <w:rFonts w:ascii="仿宋_GB2312" w:hAnsi="仿宋_GB2312" w:cs="仿宋_GB2312" w:eastAsia="仿宋_GB2312"/>
        </w:rPr>
        <w:t>联系电话：029-88229191</w:t>
      </w:r>
    </w:p>
    <w:p>
      <w:pPr>
        <w:pStyle w:val="null3"/>
      </w:pPr>
      <w:r>
        <w:rPr>
          <w:rFonts w:ascii="仿宋_GB2312" w:hAnsi="仿宋_GB2312" w:cs="仿宋_GB2312" w:eastAsia="仿宋_GB2312"/>
        </w:rPr>
        <w:t>地址：陕西省西安市未央区未央路109号万象未央1号楼506室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1,937,320.08</w:t>
      </w:r>
    </w:p>
    <w:p>
      <w:pPr>
        <w:pStyle w:val="null3"/>
      </w:pPr>
      <w:r>
        <w:rPr>
          <w:rFonts w:ascii="仿宋_GB2312" w:hAnsi="仿宋_GB2312" w:cs="仿宋_GB2312" w:eastAsia="仿宋_GB2312"/>
        </w:rPr>
        <w:t>采购包最高限价（元）: 1,937,320.08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1937320.08</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1,937,320.08</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标的名称：1937320.08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4"/>
              </w:rPr>
              <w:t>一、项目概况</w:t>
            </w:r>
          </w:p>
          <w:p>
            <w:pPr>
              <w:pStyle w:val="null3"/>
              <w:ind w:firstLine="420"/>
            </w:pPr>
            <w:r>
              <w:rPr>
                <w:rFonts w:ascii="仿宋_GB2312" w:hAnsi="仿宋_GB2312" w:cs="仿宋_GB2312" w:eastAsia="仿宋_GB2312"/>
                <w:sz w:val="24"/>
              </w:rPr>
              <w:t>武屯街道仁官村基础设施改造项目</w:t>
            </w:r>
            <w:r>
              <w:rPr>
                <w:rFonts w:ascii="仿宋_GB2312" w:hAnsi="仿宋_GB2312" w:cs="仿宋_GB2312" w:eastAsia="仿宋_GB2312"/>
                <w:sz w:val="24"/>
              </w:rPr>
              <w:t>，详见竞争性磋商文件。</w:t>
            </w:r>
          </w:p>
          <w:p>
            <w:pPr>
              <w:pStyle w:val="null3"/>
              <w:ind w:firstLine="420"/>
            </w:pPr>
            <w:r>
              <w:rPr>
                <w:rFonts w:ascii="仿宋_GB2312" w:hAnsi="仿宋_GB2312" w:cs="仿宋_GB2312" w:eastAsia="仿宋_GB2312"/>
                <w:sz w:val="24"/>
              </w:rPr>
              <w:t>二、工程内容和施工地点、计划工期</w:t>
            </w:r>
          </w:p>
          <w:p>
            <w:pPr>
              <w:pStyle w:val="null3"/>
              <w:ind w:firstLine="420"/>
            </w:pPr>
            <w:r>
              <w:rPr>
                <w:rFonts w:ascii="仿宋_GB2312" w:hAnsi="仿宋_GB2312" w:cs="仿宋_GB2312" w:eastAsia="仿宋_GB2312"/>
                <w:sz w:val="24"/>
              </w:rPr>
              <w:t>1.工程内容：</w:t>
            </w:r>
            <w:r>
              <w:rPr>
                <w:rFonts w:ascii="仿宋_GB2312" w:hAnsi="仿宋_GB2312" w:cs="仿宋_GB2312" w:eastAsia="仿宋_GB2312"/>
                <w:sz w:val="24"/>
              </w:rPr>
              <w:t>武屯街道仁官村基础设施改造项目，主要包含道路路面、户前改造、雨污水管道清掏等</w:t>
            </w:r>
            <w:r>
              <w:rPr>
                <w:rFonts w:ascii="仿宋_GB2312" w:hAnsi="仿宋_GB2312" w:cs="仿宋_GB2312" w:eastAsia="仿宋_GB2312"/>
                <w:sz w:val="24"/>
              </w:rPr>
              <w:t>。详见设计图纸及工程量清单。</w:t>
            </w:r>
          </w:p>
          <w:p>
            <w:pPr>
              <w:pStyle w:val="null3"/>
              <w:ind w:firstLine="420"/>
            </w:pPr>
            <w:r>
              <w:rPr>
                <w:rFonts w:ascii="仿宋_GB2312" w:hAnsi="仿宋_GB2312" w:cs="仿宋_GB2312" w:eastAsia="仿宋_GB2312"/>
                <w:sz w:val="24"/>
              </w:rPr>
              <w:t>2.工程地点：西安市阎良区</w:t>
            </w:r>
          </w:p>
          <w:p>
            <w:pPr>
              <w:pStyle w:val="null3"/>
              <w:ind w:firstLine="420"/>
            </w:pPr>
            <w:r>
              <w:rPr>
                <w:rFonts w:ascii="仿宋_GB2312" w:hAnsi="仿宋_GB2312" w:cs="仿宋_GB2312" w:eastAsia="仿宋_GB2312"/>
                <w:sz w:val="24"/>
              </w:rPr>
              <w:t>3.工期：自进场之日起</w:t>
            </w:r>
            <w:r>
              <w:rPr>
                <w:rFonts w:ascii="仿宋_GB2312" w:hAnsi="仿宋_GB2312" w:cs="仿宋_GB2312" w:eastAsia="仿宋_GB2312"/>
                <w:sz w:val="24"/>
              </w:rPr>
              <w:t>9</w:t>
            </w:r>
            <w:r>
              <w:rPr>
                <w:rFonts w:ascii="仿宋_GB2312" w:hAnsi="仿宋_GB2312" w:cs="仿宋_GB2312" w:eastAsia="仿宋_GB2312"/>
                <w:sz w:val="24"/>
              </w:rPr>
              <w:t>0个日历天内竣工。</w:t>
            </w:r>
          </w:p>
          <w:p>
            <w:pPr>
              <w:pStyle w:val="null3"/>
              <w:ind w:firstLine="420"/>
            </w:pPr>
            <w:r>
              <w:rPr>
                <w:rFonts w:ascii="仿宋_GB2312" w:hAnsi="仿宋_GB2312" w:cs="仿宋_GB2312" w:eastAsia="仿宋_GB2312"/>
                <w:sz w:val="24"/>
              </w:rPr>
              <w:t>三、工程量清单编制说明</w:t>
            </w:r>
          </w:p>
          <w:p>
            <w:pPr>
              <w:pStyle w:val="null3"/>
              <w:ind w:firstLine="420"/>
            </w:pPr>
            <w:r>
              <w:rPr>
                <w:rFonts w:ascii="仿宋_GB2312" w:hAnsi="仿宋_GB2312" w:cs="仿宋_GB2312" w:eastAsia="仿宋_GB2312"/>
                <w:sz w:val="24"/>
              </w:rPr>
              <w:t>（一）编制依据：</w:t>
            </w:r>
          </w:p>
          <w:p>
            <w:pPr>
              <w:pStyle w:val="null3"/>
              <w:ind w:firstLine="420"/>
            </w:pPr>
            <w:r>
              <w:rPr>
                <w:rFonts w:ascii="仿宋_GB2312" w:hAnsi="仿宋_GB2312" w:cs="仿宋_GB2312" w:eastAsia="仿宋_GB2312"/>
                <w:sz w:val="24"/>
              </w:rPr>
              <w:t>1.依据《关于印发2025陕西省建设工程费用规则等计价依据的通知》（陕建管发〔2025〕10号）、《建设工程工程量清单计价标准》（2025）；</w:t>
            </w:r>
          </w:p>
          <w:p>
            <w:pPr>
              <w:pStyle w:val="null3"/>
              <w:ind w:firstLine="420"/>
            </w:pPr>
            <w:r>
              <w:rPr>
                <w:rFonts w:ascii="仿宋_GB2312" w:hAnsi="仿宋_GB2312" w:cs="仿宋_GB2312" w:eastAsia="仿宋_GB2312"/>
                <w:sz w:val="24"/>
              </w:rPr>
              <w:t>2.《房屋建筑与装饰工程工程量计算标准》（2025）、《通用安装工程工程量计算标准》（2025）、《市政工程工程量计算标准》（2025）、《园林绿化工程工程量计算标准》（2025）；</w:t>
            </w:r>
          </w:p>
          <w:p>
            <w:pPr>
              <w:pStyle w:val="null3"/>
              <w:ind w:firstLine="420"/>
            </w:pPr>
            <w:r>
              <w:rPr>
                <w:rFonts w:ascii="仿宋_GB2312" w:hAnsi="仿宋_GB2312" w:cs="仿宋_GB2312" w:eastAsia="仿宋_GB2312"/>
                <w:sz w:val="24"/>
              </w:rPr>
              <w:t>3.《陕西省建设工程费用规则》（2025）；</w:t>
            </w:r>
          </w:p>
          <w:p>
            <w:pPr>
              <w:pStyle w:val="null3"/>
              <w:ind w:firstLine="420"/>
            </w:pPr>
            <w:r>
              <w:rPr>
                <w:rFonts w:ascii="仿宋_GB2312" w:hAnsi="仿宋_GB2312" w:cs="仿宋_GB2312" w:eastAsia="仿宋_GB2312"/>
                <w:sz w:val="24"/>
              </w:rPr>
              <w:t>4.《陕西省房屋建筑与装饰工程消耗量定额（2025）》、《陕西省通用安装工程消耗量定额（2025）》、《陕西省市政工程消耗量定额（2025）》、《陕西省园林绿化工程消耗量定额（2025）》及其配套的基价表（2025）、其他有关的计价依据和办法；</w:t>
            </w:r>
          </w:p>
          <w:p>
            <w:pPr>
              <w:pStyle w:val="null3"/>
              <w:ind w:firstLine="420"/>
            </w:pPr>
            <w:r>
              <w:rPr>
                <w:rFonts w:ascii="仿宋_GB2312" w:hAnsi="仿宋_GB2312" w:cs="仿宋_GB2312" w:eastAsia="仿宋_GB2312"/>
                <w:sz w:val="24"/>
              </w:rPr>
              <w:t>5.与招标工程相关的技术标准规范；</w:t>
            </w:r>
          </w:p>
          <w:p>
            <w:pPr>
              <w:pStyle w:val="null3"/>
              <w:ind w:firstLine="420"/>
            </w:pPr>
            <w:r>
              <w:rPr>
                <w:rFonts w:ascii="仿宋_GB2312" w:hAnsi="仿宋_GB2312" w:cs="仿宋_GB2312" w:eastAsia="仿宋_GB2312"/>
                <w:sz w:val="24"/>
              </w:rPr>
              <w:t>6.《武屯街道仁官村基础设施改造项目》的设计图纸；</w:t>
            </w:r>
          </w:p>
          <w:p>
            <w:pPr>
              <w:pStyle w:val="null3"/>
              <w:ind w:firstLine="420"/>
            </w:pPr>
            <w:r>
              <w:rPr>
                <w:rFonts w:ascii="仿宋_GB2312" w:hAnsi="仿宋_GB2312" w:cs="仿宋_GB2312" w:eastAsia="仿宋_GB2312"/>
                <w:sz w:val="24"/>
              </w:rPr>
              <w:t>7.计价软件采用广联达云计价平台GCCP 7.0 版本：7.5000.23.3。</w:t>
            </w:r>
          </w:p>
          <w:p>
            <w:pPr>
              <w:pStyle w:val="null3"/>
              <w:ind w:firstLine="420"/>
            </w:pPr>
            <w:r>
              <w:rPr>
                <w:rFonts w:ascii="仿宋_GB2312" w:hAnsi="仿宋_GB2312" w:cs="仿宋_GB2312" w:eastAsia="仿宋_GB2312"/>
                <w:sz w:val="24"/>
              </w:rPr>
              <w:t>（二）工程量清单：电子版另附。</w:t>
            </w:r>
          </w:p>
          <w:p>
            <w:pPr>
              <w:pStyle w:val="null3"/>
              <w:ind w:firstLine="420"/>
            </w:pPr>
            <w:r>
              <w:rPr>
                <w:rFonts w:ascii="仿宋_GB2312" w:hAnsi="仿宋_GB2312" w:cs="仿宋_GB2312" w:eastAsia="仿宋_GB2312"/>
                <w:sz w:val="24"/>
              </w:rPr>
              <w:t>（三）图纸：电子版另附。</w:t>
            </w:r>
          </w:p>
          <w:p>
            <w:pPr>
              <w:pStyle w:val="null3"/>
              <w:ind w:firstLine="420"/>
            </w:pPr>
            <w:r>
              <w:rPr>
                <w:rFonts w:ascii="仿宋_GB2312" w:hAnsi="仿宋_GB2312" w:cs="仿宋_GB2312" w:eastAsia="仿宋_GB2312"/>
                <w:sz w:val="24"/>
              </w:rPr>
              <w:t>四、施工要求</w:t>
            </w:r>
          </w:p>
          <w:p>
            <w:pPr>
              <w:pStyle w:val="null3"/>
              <w:ind w:firstLine="420"/>
            </w:pPr>
            <w:r>
              <w:rPr>
                <w:rFonts w:ascii="仿宋_GB2312" w:hAnsi="仿宋_GB2312" w:cs="仿宋_GB2312" w:eastAsia="仿宋_GB2312"/>
                <w:sz w:val="24"/>
              </w:rPr>
              <w:t>1、成交供应商必须配备足够的人员和充足的机械设备进入实施，确保按时保质保量完成任务。</w:t>
            </w:r>
          </w:p>
          <w:p>
            <w:pPr>
              <w:pStyle w:val="null3"/>
              <w:ind w:firstLine="420"/>
            </w:pPr>
            <w:r>
              <w:rPr>
                <w:rFonts w:ascii="仿宋_GB2312" w:hAnsi="仿宋_GB2312" w:cs="仿宋_GB2312" w:eastAsia="仿宋_GB2312"/>
                <w:sz w:val="24"/>
              </w:rPr>
              <w:t>2、必须严密组织，文明施工，作好四周维护及安全环保措施，所需费用由成交供应商承担，施工过程必须严格遵守政府相关规定。</w:t>
            </w:r>
          </w:p>
          <w:p>
            <w:pPr>
              <w:pStyle w:val="null3"/>
              <w:ind w:firstLine="420"/>
            </w:pPr>
            <w:r>
              <w:rPr>
                <w:rFonts w:ascii="仿宋_GB2312" w:hAnsi="仿宋_GB2312" w:cs="仿宋_GB2312" w:eastAsia="仿宋_GB2312"/>
                <w:sz w:val="24"/>
              </w:rPr>
              <w:t>3、严格遵守西安市关于控制扬尘污染、治污减霾的相关规定，并承担一切安全事故或违规处罚所带来的经济及法律责任。</w:t>
            </w:r>
          </w:p>
          <w:p>
            <w:pPr>
              <w:pStyle w:val="null3"/>
              <w:ind w:firstLine="420"/>
            </w:pPr>
            <w:r>
              <w:rPr>
                <w:rFonts w:ascii="仿宋_GB2312" w:hAnsi="仿宋_GB2312" w:cs="仿宋_GB2312" w:eastAsia="仿宋_GB2312"/>
                <w:sz w:val="24"/>
              </w:rPr>
              <w:t>4、在施工前，承包方应制定施工方案，提出具体的防尘抑尘降尘降噪等环保措施，配备足够的防尘抑尘降尘软硬件设施，明确具体的环保要求和环保责任人、制定湿法降尘专项实施方案，并按有关标准及专项实施方案实施湿法作业，有效降尘作业，造成扬尘污染的，必须服从相关监督或管理部门发出的责令整改并接受其按有关规定进行的处理。</w:t>
            </w:r>
          </w:p>
          <w:p>
            <w:pPr>
              <w:pStyle w:val="null3"/>
              <w:ind w:firstLine="420"/>
            </w:pPr>
            <w:r>
              <w:rPr>
                <w:rFonts w:ascii="仿宋_GB2312" w:hAnsi="仿宋_GB2312" w:cs="仿宋_GB2312" w:eastAsia="仿宋_GB2312"/>
                <w:sz w:val="24"/>
              </w:rPr>
              <w:t>承包方在垃圾外运中应严格遵守港务区关于治污减霾相关规定，服从采购人相关部门管理，严格做好治污减霾工作。</w:t>
            </w:r>
          </w:p>
          <w:p>
            <w:pPr>
              <w:pStyle w:val="null3"/>
              <w:ind w:firstLine="420"/>
            </w:pPr>
            <w:r>
              <w:rPr>
                <w:rFonts w:ascii="仿宋_GB2312" w:hAnsi="仿宋_GB2312" w:cs="仿宋_GB2312" w:eastAsia="仿宋_GB2312"/>
                <w:sz w:val="24"/>
              </w:rPr>
              <w:t>5、承包方必须严格按照治污减霾工作要求，完成施工出入口、洗车台、监控、环境监测设备等设施施工、安装，负责场内垃圾，裸露黄土覆盖、道路冲洗等工作，并承担相关费用，同时，需根据政府相关部门要求，完成拆除、渣土和垃圾外运相关手续办理后方可进场施工。施工过程中，应无条件响应各级管理部门，招标人各项管理规定，要求停工时必须立即停工，如因承包方私自作业，不按要求施工等情况由承包方承担全部责任，由此产生的全部费用由承包方承担。</w:t>
            </w:r>
          </w:p>
          <w:p>
            <w:pPr>
              <w:pStyle w:val="null3"/>
              <w:ind w:firstLine="420"/>
            </w:pPr>
            <w:r>
              <w:rPr>
                <w:rFonts w:ascii="仿宋_GB2312" w:hAnsi="仿宋_GB2312" w:cs="仿宋_GB2312" w:eastAsia="仿宋_GB2312"/>
                <w:sz w:val="24"/>
              </w:rPr>
              <w:t>6、承包方负责现场安全管理工作，并承担全部责任及由此产生的全部费用，现场人员由承包方按照相关规定办理相关保险事宜。</w:t>
            </w:r>
          </w:p>
          <w:p>
            <w:pPr>
              <w:pStyle w:val="null3"/>
              <w:ind w:firstLine="420"/>
            </w:pPr>
            <w:r>
              <w:rPr>
                <w:rFonts w:ascii="仿宋_GB2312" w:hAnsi="仿宋_GB2312" w:cs="仿宋_GB2312" w:eastAsia="仿宋_GB2312"/>
                <w:sz w:val="24"/>
              </w:rPr>
              <w:t>五、商务要求</w:t>
            </w:r>
          </w:p>
          <w:p>
            <w:pPr>
              <w:pStyle w:val="null3"/>
              <w:ind w:firstLine="420"/>
            </w:pPr>
            <w:r>
              <w:rPr>
                <w:rFonts w:ascii="仿宋_GB2312" w:hAnsi="仿宋_GB2312" w:cs="仿宋_GB2312" w:eastAsia="仿宋_GB2312"/>
                <w:sz w:val="24"/>
              </w:rPr>
              <w:t>1、付款方式：</w:t>
            </w:r>
          </w:p>
          <w:p>
            <w:pPr>
              <w:pStyle w:val="null3"/>
              <w:ind w:firstLine="420"/>
            </w:pPr>
            <w:r>
              <w:rPr>
                <w:rFonts w:ascii="仿宋_GB2312" w:hAnsi="仿宋_GB2312" w:cs="仿宋_GB2312" w:eastAsia="仿宋_GB2312"/>
                <w:sz w:val="24"/>
              </w:rPr>
              <w:t>合同签订后，项目完成并验收合格后甲方向乙方支付合同款的</w:t>
            </w:r>
            <w:r>
              <w:rPr>
                <w:rFonts w:ascii="仿宋_GB2312" w:hAnsi="仿宋_GB2312" w:cs="仿宋_GB2312" w:eastAsia="仿宋_GB2312"/>
                <w:sz w:val="24"/>
              </w:rPr>
              <w:t>70%，待结算审计完成后甲方向乙方支付至项目结算价款的100%，乙方要在项目质保期间严格履行好质保责任。</w:t>
            </w:r>
          </w:p>
          <w:p>
            <w:pPr>
              <w:pStyle w:val="null3"/>
              <w:ind w:firstLine="420"/>
            </w:pPr>
            <w:r>
              <w:rPr>
                <w:rFonts w:ascii="仿宋_GB2312" w:hAnsi="仿宋_GB2312" w:cs="仿宋_GB2312" w:eastAsia="仿宋_GB2312"/>
                <w:sz w:val="24"/>
              </w:rPr>
              <w:t>2、质量要求：</w:t>
            </w:r>
          </w:p>
          <w:p>
            <w:pPr>
              <w:pStyle w:val="null3"/>
              <w:ind w:firstLine="420"/>
            </w:pPr>
            <w:r>
              <w:rPr>
                <w:rFonts w:ascii="仿宋_GB2312" w:hAnsi="仿宋_GB2312" w:cs="仿宋_GB2312" w:eastAsia="仿宋_GB2312"/>
                <w:sz w:val="24"/>
              </w:rPr>
              <w:t>达到国家及行业现行技术规范标准，符合国家及行业验收合格标准。</w:t>
            </w:r>
          </w:p>
          <w:p>
            <w:pPr>
              <w:pStyle w:val="null3"/>
              <w:ind w:firstLine="420"/>
            </w:pPr>
            <w:r>
              <w:rPr>
                <w:rFonts w:ascii="仿宋_GB2312" w:hAnsi="仿宋_GB2312" w:cs="仿宋_GB2312" w:eastAsia="仿宋_GB2312"/>
                <w:sz w:val="24"/>
              </w:rPr>
              <w:t>3、质量保修期：</w:t>
            </w:r>
          </w:p>
          <w:p>
            <w:pPr>
              <w:pStyle w:val="null3"/>
              <w:ind w:firstLine="420"/>
            </w:pPr>
            <w:r>
              <w:rPr>
                <w:rFonts w:ascii="仿宋_GB2312" w:hAnsi="仿宋_GB2312" w:cs="仿宋_GB2312" w:eastAsia="仿宋_GB2312"/>
                <w:sz w:val="24"/>
              </w:rPr>
              <w:t>质量保修期其他工程为二年，防水工程为五年。</w:t>
            </w:r>
          </w:p>
          <w:p>
            <w:pPr>
              <w:pStyle w:val="null3"/>
              <w:ind w:firstLine="420"/>
            </w:pPr>
            <w:r>
              <w:rPr>
                <w:rFonts w:ascii="仿宋_GB2312" w:hAnsi="仿宋_GB2312" w:cs="仿宋_GB2312" w:eastAsia="仿宋_GB2312"/>
                <w:sz w:val="24"/>
              </w:rPr>
              <w:t>质量保修期自验收合格之日起计算。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各供应商所有分项报价（与最后磋商报价比例一致）同比例下浮。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的财务审计报告（成立时间至提交响应文件截止时间不足一年的可提供成立后任意时段的资产负债表）或其基本存款账户开户银行出具的资信证明及基本存款账户开户许可证（基本账户存款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提供供应商开标前六个月至今已缴存的任意一个月的纳税证明或完税证明，依法免税的单位应提供相关证明材料。供应商需在项目电子化交易系统中按要求上传相应证明文件并进行电子签章；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开标前六个月至今已缴存的任意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授权书被授权人身份证</w:t>
            </w:r>
          </w:p>
        </w:tc>
        <w:tc>
          <w:tcPr>
            <w:tcW w:type="dxa" w:w="3322"/>
          </w:tcPr>
          <w:p>
            <w:pPr>
              <w:pStyle w:val="null3"/>
            </w:pPr>
            <w:r>
              <w:rPr>
                <w:rFonts w:ascii="仿宋_GB2312" w:hAnsi="仿宋_GB2312" w:cs="仿宋_GB2312" w:eastAsia="仿宋_GB2312"/>
              </w:rPr>
              <w:t>法定代表人授权书及被授权人身份证（法定代表人直接参加磋商的须提供其法定代表人身份证），非法人单位参照执行。供应商需在项目电子化交易系统中按要求上传相应证明文件并进行电子签章；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供应商具备建设行政主管部门颁发的建筑工程施工总承包三级及以上资质；同时具有合格有效的安全生产许可证。供应商需在项目电子化交易系统中按要求上传相应证明文件并进行电子签章；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证书及有效的安全生产考核证书（B证）在本单位注册，且无在建工程（提供无在建工程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2）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本合同包为专门面向中小企业采购（提供中小企业声明函或监狱企业的证明文件或残疾人福利性单位声明函）。供应商需在项目电子化交易系统中按要求上传相应证明文件并进行电子签章；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报价函 标的清单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至少以下三处的项目名称、项目编号、标段与本项目完全一致：（1）竞争性磋商响应文件封面（2）响应函（3）法定代表人（主要负责人）委托授权书\身份证明</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竞争性磋商响应文件组成</w:t>
            </w:r>
          </w:p>
        </w:tc>
        <w:tc>
          <w:tcPr>
            <w:tcW w:type="dxa" w:w="3322"/>
          </w:tcPr>
          <w:p>
            <w:pPr>
              <w:pStyle w:val="null3"/>
            </w:pPr>
            <w:r>
              <w:rPr>
                <w:rFonts w:ascii="仿宋_GB2312" w:hAnsi="仿宋_GB2312" w:cs="仿宋_GB2312" w:eastAsia="仿宋_GB2312"/>
              </w:rPr>
              <w:t>竞争性磋商响应文件应包含竞争性磋商文件要求的所有内容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同时满足以下条款：（1）货币单位符合竞争性磋商文件要求（2）报价符合唯一性要求（3）未超出采购预算或最高限价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完全响应竞争性磋商文件要求的各项技术（服务）、商务实质性条款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完全理解并响应竞争性磋商文件合同条款的要求，且未含有采购人不能接受的附加条件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供应商认为有必要补充说明的事项.docx 残疾人福利性单位声明函 供应商类似项目业绩一览表 供应商资格证明文件.docx 响应函 主要人员简历表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1、评审内容：①施工目标；②资源配备计划。2、评审标准：①完整性：响应全面，对评审内容中的各项要求有详细描述；②可实施性：内容科学，步骤清晰、合理，可实施性强；③针对性：能够紧扣项目实际情况，满足具体要求。3、赋分标准：①施工目标：每完全满足一个评审标准得1分，不满足得0分。满分3分；②资源配备计划：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施工措施</w:t>
            </w:r>
          </w:p>
        </w:tc>
        <w:tc>
          <w:tcPr>
            <w:tcW w:type="dxa" w:w="2492"/>
          </w:tcPr>
          <w:p>
            <w:pPr>
              <w:pStyle w:val="null3"/>
            </w:pPr>
            <w:r>
              <w:rPr>
                <w:rFonts w:ascii="仿宋_GB2312" w:hAnsi="仿宋_GB2312" w:cs="仿宋_GB2312" w:eastAsia="仿宋_GB2312"/>
              </w:rPr>
              <w:t>1、评审内容：①工程重难点及解决方案；②施工方法及工艺；③相关技术措施；④应急措施。2、评审标准：①完整性：响应全面，对评审内容中的各项要求有详细描述；②可实施性：内容科学，步骤清晰、合理，可实施性强；③针对性：能够紧扣项目实际情况，满足具体要求。3、赋分标准：①工程重难点及解决方案：每完全满足一个评审标准得1分，不满足得0分。满分3分；②施工方法及工艺：每完全满足一个评审标准得1分，不满足得0分。满分3分；③相关技术措施：每完全满足一个评审标准得1分，不满足得0分。满分3分；④应急措施：每完全满足一个评审标准得1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施工进度</w:t>
            </w:r>
          </w:p>
        </w:tc>
        <w:tc>
          <w:tcPr>
            <w:tcW w:type="dxa" w:w="2492"/>
          </w:tcPr>
          <w:p>
            <w:pPr>
              <w:pStyle w:val="null3"/>
            </w:pPr>
            <w:r>
              <w:rPr>
                <w:rFonts w:ascii="仿宋_GB2312" w:hAnsi="仿宋_GB2312" w:cs="仿宋_GB2312" w:eastAsia="仿宋_GB2312"/>
              </w:rPr>
              <w:t>1、评审内容：①施工进度安排；②进度保障措施。2、评审标准：①完整性：响应全面，对评审内容中的各项要求有详细描述；②可实施性：内容科学，步骤清晰、合理，可实施性强；③针对性：能够紧扣项目实际情况，满足具体要求。3、赋分标准：①施工进度安排：每完全满足一个评审标准得1分，不满足得0分。满分3分；②进度保障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1、评审内容：①环境保护管理体系；②环保控制措施。2、评审标准：①完整性：响应全面，对评审内容中的各项要求有详细描述；②可实施性：内容科学，步骤清晰、合理，可实施性强；③针对性：能够紧扣项目实际情况，满足具体要求。3、赋分标准：①环境保护管理体系：每完全满足一个评审标准得1分，不满足得0分。满分3分；②环保控制措施：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质量管理</w:t>
            </w:r>
          </w:p>
        </w:tc>
        <w:tc>
          <w:tcPr>
            <w:tcW w:type="dxa" w:w="2492"/>
          </w:tcPr>
          <w:p>
            <w:pPr>
              <w:pStyle w:val="null3"/>
            </w:pPr>
            <w:r>
              <w:rPr>
                <w:rFonts w:ascii="仿宋_GB2312" w:hAnsi="仿宋_GB2312" w:cs="仿宋_GB2312" w:eastAsia="仿宋_GB2312"/>
              </w:rPr>
              <w:t>1、评审内容：①质量管理目标；②施工质量保障措施；③施工质量检验制度。2、评审标准：①完整性：响应全面，对评审内容中的各项要求有详细描述；②可实施性：内容科学，步骤清晰、合理，可实施性强；③针对性：能够紧扣项目实际情况，满足具体要求。3、赋分标准：①质量管理目标：每完全满足一个评审标准得1分，不满足得0分。满分3分；②施工质量保障措施：每完全满足一个评审标准得1分，不满足得0分。满分3分；③施工质量检验制度：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安全管理</w:t>
            </w:r>
          </w:p>
        </w:tc>
        <w:tc>
          <w:tcPr>
            <w:tcW w:type="dxa" w:w="2492"/>
          </w:tcPr>
          <w:p>
            <w:pPr>
              <w:pStyle w:val="null3"/>
            </w:pPr>
            <w:r>
              <w:rPr>
                <w:rFonts w:ascii="仿宋_GB2312" w:hAnsi="仿宋_GB2312" w:cs="仿宋_GB2312" w:eastAsia="仿宋_GB2312"/>
              </w:rPr>
              <w:t>1、评审内容：①安全管理体系；②文明施工。2、评审标准：①完整性：响应全面，对评审内容中的各项要求有详细描述；②可实施性：内容科学，步骤清晰、合理，可实施性强；③针对性：能够紧扣项目实际情况，满足具体要求。3、赋分标准：①安全管理体系：每完全满足一个评审标准得1分，不满足得0分。满分3分；②文明施工：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1、评审内容：①拟派项目部的组织架构；②岗位职责；③人员分工。2、评审标准：①完整性：响应全面，对评审内容中的各项要求有详细描述；②可实施性：内容科学，步骤清晰、合理，可实施性强；③针对性：能够紧扣项目实际情况，满足具体要求。3、赋分标准：①拟派项目部的组织架构：每完全满足一个评审标准得1分，不满足得0分。满分3分；②岗位职责：每完全满足一个评审标准得1分，不满足得0分。满分3分；③人员分工：每完全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提供针对本项目的主材清单（清单内容包括但不限于材料名称、品牌、规格、材质等）。1、评审内容：对主材清单内容进行评审。2、评审及赋分标准：清单内容完整，主材质量、工艺优良，安全可靠性高，完全满足项目需求的得2分。未提供清单或不能完全满足要求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节能产品、环保标志产品</w:t>
            </w:r>
          </w:p>
        </w:tc>
        <w:tc>
          <w:tcPr>
            <w:tcW w:type="dxa" w:w="2492"/>
          </w:tcPr>
          <w:p>
            <w:pPr>
              <w:pStyle w:val="null3"/>
            </w:pPr>
            <w:r>
              <w:rPr>
                <w:rFonts w:ascii="仿宋_GB2312" w:hAnsi="仿宋_GB2312" w:cs="仿宋_GB2312" w:eastAsia="仿宋_GB2312"/>
              </w:rPr>
              <w:t>采用的材料每有一项属于节能产品政府采购品目清单中优先采购范围，且获得国家确认的认证机构出具的、处于有效期之内的认证证书的，得0.5分；每有一项属于环境标志产品政府采购品目清单中优先采购范围，且获得国家确认的认证机构出具的、处于有效期之内的认证证书的，得0.5分。本项最高得2分。注：同时具备节能产品认证和环境标志产品认证的产品可分别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1、评审内容：①保修措施；②保修承诺。2、评审标准：①完整性：响应全面，对评审内容中的各项要求有详细描述；②可实施性：内容科学，步骤清晰、合理，可实施性强；③针对性：能够紧扣项目实际情况，满足具体要求。3、赋分标准：①保修措施：每完全满足一个评审标准得1分，不满足得0分。满分3分；②保修承诺：每完全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提供2023年01月01日以来承担过类似项目业绩。每提供一份有效的业绩证明文件（以合同或中标通知书为准)得2分，满分6分。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30分。3.磋商报价得分=（磋商基准价/磋商评审价）×30%*100的公式计算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