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版本号：KY2026-1-63120260717001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浐灞校区培训中心运营管理服务项目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KY2026-1-631</w:t>
      </w:r>
      <w:r>
        <w:br/>
      </w:r>
      <w:r>
        <w:br/>
      </w:r>
      <w:r>
        <w:br/>
      </w:r>
    </w:p>
    <w:p>
      <w:pPr>
        <w:pStyle w:val="null3"/>
        <w:jc w:val="center"/>
        <w:outlineLvl w:val="2"/>
      </w:pPr>
      <w:r>
        <w:rPr>
          <w:rFonts w:ascii="仿宋_GB2312" w:hAnsi="仿宋_GB2312" w:cs="仿宋_GB2312" w:eastAsia="仿宋_GB2312"/>
          <w:sz w:val="28"/>
          <w:b/>
        </w:rPr>
        <w:t>陕西警察学院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陕西警察学院</w:t>
      </w:r>
      <w:r>
        <w:rPr>
          <w:rFonts w:ascii="仿宋_GB2312" w:hAnsi="仿宋_GB2312" w:cs="仿宋_GB2312" w:eastAsia="仿宋_GB2312"/>
        </w:rPr>
        <w:t>委托，拟对</w:t>
      </w:r>
      <w:r>
        <w:rPr>
          <w:rFonts w:ascii="仿宋_GB2312" w:hAnsi="仿宋_GB2312" w:cs="仿宋_GB2312" w:eastAsia="仿宋_GB2312"/>
        </w:rPr>
        <w:t>浐灞校区培训中心运营管理服务项目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浐灞校区培训中心运营管理服务项目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本项目为浐灞校区培训中心运营管理服务项目，1项。具体详见第三章磋商项目技术、服务、商务及其他要求。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8、特殊资格：供应商须具备有效的《食品经营许可证》。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陕西警察学院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西安市浐灞生态区启源二路199号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029—68257926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银行账号：86113010750181502001462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100万元(不含)以下的按照文件标准计费收取；100万元(含)以上的按照文件标准上限75%计费。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陕西警察学院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陕西警察学院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陕西警察学院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1、采购文件、响应文件、澄清表（函）；2、合同及附件文本；3、国家相应的标准、规范。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联系人：汪涛、牛佩文</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本项目为培训中心委托管理运营项目，1项，具体详见服务内容及要求。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2,980,000.00</w:t>
      </w:r>
    </w:p>
    <w:p>
      <w:pPr>
        <w:pStyle w:val="null3"/>
      </w:pPr>
      <w:r>
        <w:rPr>
          <w:rFonts w:ascii="仿宋_GB2312" w:hAnsi="仿宋_GB2312" w:cs="仿宋_GB2312" w:eastAsia="仿宋_GB2312"/>
        </w:rPr>
        <w:t>采购包最高限价（元）: 2,980,000.00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运营管理服务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标的名称：运营管理服务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rPr>
              <w:t>项目地点：西安市未央区启源二路陕西警察学院培训中心</w:t>
            </w:r>
          </w:p>
          <w:p>
            <w:pPr>
              <w:pStyle w:val="null3"/>
            </w:pPr>
            <w:r>
              <w:rPr>
                <w:rFonts w:ascii="仿宋_GB2312" w:hAnsi="仿宋_GB2312" w:cs="仿宋_GB2312" w:eastAsia="仿宋_GB2312"/>
                <w:sz w:val="24"/>
              </w:rPr>
              <w:t>项目规模：建筑面积约</w:t>
            </w:r>
            <w:r>
              <w:rPr>
                <w:rFonts w:ascii="仿宋_GB2312" w:hAnsi="仿宋_GB2312" w:cs="仿宋_GB2312" w:eastAsia="仿宋_GB2312"/>
                <w:sz w:val="24"/>
              </w:rPr>
              <w:t>2.5万平方米</w:t>
            </w:r>
          </w:p>
          <w:p>
            <w:pPr>
              <w:pStyle w:val="null3"/>
            </w:pPr>
            <w:r>
              <w:rPr>
                <w:rFonts w:ascii="仿宋_GB2312" w:hAnsi="仿宋_GB2312" w:cs="仿宋_GB2312" w:eastAsia="仿宋_GB2312"/>
                <w:sz w:val="24"/>
              </w:rPr>
              <w:t>采购服务范围：包含但不限于客房、各类餐厅、多功能厅、会议室、商务中心全场景功能运营管理及全套配套后勤服务。</w:t>
            </w:r>
          </w:p>
          <w:p>
            <w:pPr>
              <w:pStyle w:val="null3"/>
            </w:pPr>
            <w:r>
              <w:rPr>
                <w:rFonts w:ascii="仿宋_GB2312" w:hAnsi="仿宋_GB2312" w:cs="仿宋_GB2312" w:eastAsia="仿宋_GB2312"/>
                <w:sz w:val="24"/>
                <w:b/>
              </w:rPr>
              <w:t>二、服务内容及要求</w:t>
            </w:r>
          </w:p>
          <w:p>
            <w:pPr>
              <w:pStyle w:val="null3"/>
            </w:pPr>
            <w:r>
              <w:rPr>
                <w:rFonts w:ascii="仿宋_GB2312" w:hAnsi="仿宋_GB2312" w:cs="仿宋_GB2312" w:eastAsia="仿宋_GB2312"/>
                <w:sz w:val="24"/>
                <w:b/>
              </w:rPr>
              <w:t>（一）客房专项服务管理要求</w:t>
            </w:r>
          </w:p>
          <w:p>
            <w:pPr>
              <w:pStyle w:val="null3"/>
            </w:pPr>
            <w:r>
              <w:rPr>
                <w:rFonts w:ascii="仿宋_GB2312" w:hAnsi="仿宋_GB2312" w:cs="仿宋_GB2312" w:eastAsia="仿宋_GB2312"/>
                <w:sz w:val="24"/>
              </w:rPr>
              <w:t>1.适配警校培训属性：严格遵守陕西警察学院校内安保、访客、涉密管理规定，客房区域实行封闭式精细化管理，严禁无关人员随意进出客房楼层，前台入住核验严格核对参训人员证件、校内审批入住单据，严禁私自办理外来人员入住、留宿业务。</w:t>
            </w:r>
          </w:p>
          <w:p>
            <w:pPr>
              <w:pStyle w:val="null3"/>
            </w:pPr>
            <w:r>
              <w:rPr>
                <w:rFonts w:ascii="仿宋_GB2312" w:hAnsi="仿宋_GB2312" w:cs="仿宋_GB2312" w:eastAsia="仿宋_GB2312"/>
                <w:sz w:val="24"/>
              </w:rPr>
              <w:t>2.客房保洁标准：每日定时完成客房清扫、布草更换、全屋消杀；公共楼道、电梯、休息区每日高频消杀；培训集中接待期间，实行一日两清扫服务，布草一客一换、杯具一客一消毒，客房物品摆放统一标准化，贴合公务接待规范。</w:t>
            </w:r>
          </w:p>
          <w:p>
            <w:pPr>
              <w:pStyle w:val="null3"/>
            </w:pPr>
            <w:r>
              <w:rPr>
                <w:rFonts w:ascii="仿宋_GB2312" w:hAnsi="仿宋_GB2312" w:cs="仿宋_GB2312" w:eastAsia="仿宋_GB2312"/>
                <w:sz w:val="24"/>
              </w:rPr>
              <w:t>3.前台运营要求：实行24小时值守，接听应答及时规范，熟练掌握校内培训排班、楼层房型、门禁管控规则；做好入住、退房、物品领用、遗失登记台账，所有入住台账按月归档，配合校方后勤、保卫部门核查调取。</w:t>
            </w:r>
          </w:p>
          <w:p>
            <w:pPr>
              <w:pStyle w:val="null3"/>
            </w:pPr>
            <w:r>
              <w:rPr>
                <w:rFonts w:ascii="仿宋_GB2312" w:hAnsi="仿宋_GB2312" w:cs="仿宋_GB2312" w:eastAsia="仿宋_GB2312"/>
                <w:sz w:val="24"/>
              </w:rPr>
              <w:t>4.物资管控要求：客房客耗品、布草由专人专户管理，出入库登记完整；严禁私自挪用、外借客房物资，客房破损设施第一时间上报工程组维修，保障参训人员住宿安全舒适。</w:t>
            </w:r>
          </w:p>
          <w:p>
            <w:pPr>
              <w:pStyle w:val="null3"/>
            </w:pPr>
            <w:r>
              <w:rPr>
                <w:rFonts w:ascii="仿宋_GB2312" w:hAnsi="仿宋_GB2312" w:cs="仿宋_GB2312" w:eastAsia="仿宋_GB2312"/>
                <w:sz w:val="24"/>
              </w:rPr>
              <w:t>5.服务纪律要求：客房全员保密上岗，不得打探、传播参训警务人员培训、工作相关信息，在岗仪容整洁，服从校方后勤部门统一管理调度。</w:t>
            </w:r>
          </w:p>
          <w:p>
            <w:pPr>
              <w:pStyle w:val="null3"/>
            </w:pPr>
            <w:r>
              <w:rPr>
                <w:rFonts w:ascii="仿宋_GB2312" w:hAnsi="仿宋_GB2312" w:cs="仿宋_GB2312" w:eastAsia="仿宋_GB2312"/>
                <w:sz w:val="24"/>
                <w:b/>
              </w:rPr>
              <w:t>（二）安保、工程专项服务管理要求</w:t>
            </w:r>
          </w:p>
          <w:p>
            <w:pPr>
              <w:pStyle w:val="null3"/>
            </w:pPr>
            <w:r>
              <w:rPr>
                <w:rFonts w:ascii="仿宋_GB2312" w:hAnsi="仿宋_GB2312" w:cs="仿宋_GB2312" w:eastAsia="仿宋_GB2312"/>
                <w:sz w:val="24"/>
              </w:rPr>
              <w:t>1.安保岗位全域要求：执行警校封闭式安保管理制度，门岗24小时不间断值守轮岗，落实人车核验、登记管控；外来物资、车辆入校必须核验校方审批单据，做好人车物资台账；定时开展园区楼栋、停车场、消防通道夜间巡逻，重点巡查客房区、后厨、配电房、消防点位，发现安全隐患立即上报。</w:t>
            </w:r>
          </w:p>
          <w:p>
            <w:pPr>
              <w:pStyle w:val="null3"/>
            </w:pPr>
            <w:r>
              <w:rPr>
                <w:rFonts w:ascii="仿宋_GB2312" w:hAnsi="仿宋_GB2312" w:cs="仿宋_GB2312" w:eastAsia="仿宋_GB2312"/>
                <w:sz w:val="24"/>
              </w:rPr>
              <w:t>2.安保附加要求：安保人员服从学校保卫科统一调度，熟知校内消防器材、应急点位、应急疏散流程，具备基础应急处置、秩序维稳能力，重大培训活动需配合校方做好现场秩序管控、人流疏导工作。</w:t>
            </w:r>
          </w:p>
          <w:p>
            <w:pPr>
              <w:pStyle w:val="null3"/>
            </w:pPr>
            <w:r>
              <w:rPr>
                <w:rFonts w:ascii="仿宋_GB2312" w:hAnsi="仿宋_GB2312" w:cs="仿宋_GB2312" w:eastAsia="仿宋_GB2312"/>
                <w:sz w:val="24"/>
              </w:rPr>
              <w:t>3.工程运维岗位要求：工程人员持证上岗，包含电工证、弱电运维相关证件，24小时待命值守；负责培训中心全域水电、燃气、空调、客房卫浴、会议影音、消防附属设施、门禁弱电系统日常巡检、保养、应急维修；每日完成配电间、水泵房、燃气点位巡检，留存巡检台账。</w:t>
            </w:r>
          </w:p>
          <w:p>
            <w:pPr>
              <w:pStyle w:val="null3"/>
            </w:pPr>
            <w:r>
              <w:rPr>
                <w:rFonts w:ascii="仿宋_GB2312" w:hAnsi="仿宋_GB2312" w:cs="仿宋_GB2312" w:eastAsia="仿宋_GB2312"/>
                <w:sz w:val="24"/>
              </w:rPr>
              <w:t>4.维保应急要求：一般性设施故障30分钟内到场处置，重大设施故障第一时间对接校方报备，协同维保单位抢修；严格落实校内安全施工规范，水电动火维修作业提前报备校方审批，杜绝违规作业，保障全域运营设施安全合规运行。</w:t>
            </w:r>
          </w:p>
          <w:p>
            <w:pPr>
              <w:pStyle w:val="null3"/>
            </w:pPr>
            <w:r>
              <w:rPr>
                <w:rFonts w:ascii="仿宋_GB2312" w:hAnsi="仿宋_GB2312" w:cs="仿宋_GB2312" w:eastAsia="仿宋_GB2312"/>
                <w:sz w:val="24"/>
                <w:b/>
              </w:rPr>
              <w:t>（三）餐饮专项服务管理要求</w:t>
            </w:r>
          </w:p>
          <w:p>
            <w:pPr>
              <w:pStyle w:val="null3"/>
            </w:pPr>
            <w:r>
              <w:rPr>
                <w:rFonts w:ascii="仿宋_GB2312" w:hAnsi="仿宋_GB2312" w:cs="仿宋_GB2312" w:eastAsia="仿宋_GB2312"/>
                <w:sz w:val="24"/>
              </w:rPr>
              <w:t>1、出品要求：严格按照食品安全法要求做好食品安全，饭菜花色品类每天更新，满足培训学员的三餐需求，并按照食品安全要求做好食品留样。</w:t>
            </w:r>
          </w:p>
          <w:p>
            <w:pPr>
              <w:pStyle w:val="null3"/>
            </w:pPr>
            <w:r>
              <w:rPr>
                <w:rFonts w:ascii="仿宋_GB2312" w:hAnsi="仿宋_GB2312" w:cs="仿宋_GB2312" w:eastAsia="仿宋_GB2312"/>
                <w:sz w:val="24"/>
              </w:rPr>
              <w:t>2、服务要求：所有服务人员态度端正，服务意识较好，参训学员用餐期间服务人员保持专业水准，有问必答，耐心细致。</w:t>
            </w:r>
          </w:p>
          <w:p>
            <w:pPr>
              <w:pStyle w:val="null3"/>
            </w:pPr>
            <w:r>
              <w:rPr>
                <w:rFonts w:ascii="仿宋_GB2312" w:hAnsi="仿宋_GB2312" w:cs="仿宋_GB2312" w:eastAsia="仿宋_GB2312"/>
                <w:sz w:val="24"/>
              </w:rPr>
              <w:t>3、餐饮区域卫生达标，每天清洁，每周检查，所有餐饮用具每餐后必须消毒，并做好对应的记录，以备检查。</w:t>
            </w:r>
          </w:p>
          <w:p>
            <w:pPr>
              <w:pStyle w:val="null3"/>
            </w:pPr>
            <w:r>
              <w:rPr>
                <w:rFonts w:ascii="仿宋_GB2312" w:hAnsi="仿宋_GB2312" w:cs="仿宋_GB2312" w:eastAsia="仿宋_GB2312"/>
                <w:sz w:val="24"/>
              </w:rPr>
              <w:t>4、安全管理要求：每天下班前必须检查水电气关闭情况，做好记录，并定期开展安全生产培训、消防安全培训、食品安全培训，在确保安全的前提下开展好接待工作。</w:t>
            </w:r>
          </w:p>
          <w:p>
            <w:pPr>
              <w:pStyle w:val="null3"/>
            </w:pPr>
            <w:r>
              <w:rPr>
                <w:rFonts w:ascii="仿宋_GB2312" w:hAnsi="仿宋_GB2312" w:cs="仿宋_GB2312" w:eastAsia="仿宋_GB2312"/>
                <w:sz w:val="24"/>
              </w:rPr>
              <w:t>5、运营成本控制：餐饮食材运营成本不得高于餐饮营业收入的45％。</w:t>
            </w:r>
          </w:p>
          <w:p>
            <w:pPr>
              <w:pStyle w:val="null3"/>
            </w:pPr>
            <w:r>
              <w:rPr>
                <w:rFonts w:ascii="仿宋_GB2312" w:hAnsi="仿宋_GB2312" w:cs="仿宋_GB2312" w:eastAsia="仿宋_GB2312"/>
                <w:sz w:val="24"/>
                <w:b/>
              </w:rPr>
              <w:t>三、人员配置标准</w:t>
            </w:r>
          </w:p>
          <w:p>
            <w:pPr>
              <w:pStyle w:val="null3"/>
            </w:pPr>
            <w:r>
              <w:rPr>
                <w:rFonts w:ascii="仿宋_GB2312" w:hAnsi="仿宋_GB2312" w:cs="仿宋_GB2312" w:eastAsia="仿宋_GB2312"/>
                <w:sz w:val="24"/>
                <w:b/>
              </w:rPr>
              <w:t>（一）供应商提供服务人员总数</w:t>
            </w:r>
            <w:r>
              <w:rPr>
                <w:rFonts w:ascii="仿宋_GB2312" w:hAnsi="仿宋_GB2312" w:cs="仿宋_GB2312" w:eastAsia="仿宋_GB2312"/>
                <w:sz w:val="24"/>
                <w:b/>
              </w:rPr>
              <w:t>39人：</w:t>
            </w:r>
          </w:p>
          <w:tbl>
            <w:tblPr>
              <w:tblBorders>
                <w:top w:val="none" w:color="000000" w:sz="4"/>
                <w:left w:val="none" w:color="000000" w:sz="4"/>
                <w:bottom w:val="none" w:color="000000" w:sz="4"/>
                <w:right w:val="none" w:color="000000" w:sz="4"/>
                <w:insideH w:val="none"/>
                <w:insideV w:val="none"/>
              </w:tblBorders>
            </w:tblPr>
            <w:tblGrid>
              <w:gridCol w:w="245"/>
              <w:gridCol w:w="700"/>
              <w:gridCol w:w="1157"/>
              <w:gridCol w:w="452"/>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w:t>
                  </w:r>
                </w:p>
              </w:tc>
              <w:tc>
                <w:tcPr>
                  <w:tcW w:type="dxa" w:w="1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行政人事部</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项目经理、主管</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工程安保部</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门岗、弱电、综合维修工</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餐饮部</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餐厅经理、主管、传菜员、保洁</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行政主厨</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炒锅厨师</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面点厨师</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凉菜厨师</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帮厨、切配及其他厨师</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客房部</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经理、主管</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客房部</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前台接待</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客房部</w:t>
                  </w:r>
                </w:p>
              </w:tc>
              <w:tc>
                <w:tcPr>
                  <w:tcW w:type="dxa" w:w="115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客房保洁</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bl>
          <w:p>
            <w:pPr>
              <w:pStyle w:val="null3"/>
              <w:spacing w:before="150"/>
            </w:pPr>
            <w:r>
              <w:rPr>
                <w:rFonts w:ascii="仿宋_GB2312" w:hAnsi="仿宋_GB2312" w:cs="仿宋_GB2312" w:eastAsia="仿宋_GB2312"/>
                <w:sz w:val="24"/>
                <w:b/>
              </w:rPr>
              <w:t>（二）人员要求</w:t>
            </w:r>
          </w:p>
          <w:p>
            <w:pPr>
              <w:pStyle w:val="null3"/>
            </w:pPr>
            <w:r>
              <w:rPr>
                <w:rFonts w:ascii="仿宋_GB2312" w:hAnsi="仿宋_GB2312" w:cs="仿宋_GB2312" w:eastAsia="仿宋_GB2312"/>
                <w:sz w:val="24"/>
              </w:rPr>
              <w:t>1.年龄限制：所有在岗服务人员年龄≤50周岁；</w:t>
            </w:r>
          </w:p>
          <w:p>
            <w:pPr>
              <w:pStyle w:val="null3"/>
            </w:pPr>
            <w:r>
              <w:rPr>
                <w:rFonts w:ascii="仿宋_GB2312" w:hAnsi="仿宋_GB2312" w:cs="仿宋_GB2312" w:eastAsia="仿宋_GB2312"/>
                <w:sz w:val="24"/>
              </w:rPr>
              <w:t>2.所有服务人员具有有效身份证、健康证、正规劳动合同。</w:t>
            </w:r>
          </w:p>
          <w:p>
            <w:pPr>
              <w:pStyle w:val="null3"/>
            </w:pPr>
            <w:r>
              <w:rPr>
                <w:rFonts w:ascii="仿宋_GB2312" w:hAnsi="仿宋_GB2312" w:cs="仿宋_GB2312" w:eastAsia="仿宋_GB2312"/>
                <w:sz w:val="24"/>
                <w:b/>
              </w:rPr>
              <w:t>四、其他说明</w:t>
            </w:r>
          </w:p>
          <w:p>
            <w:pPr>
              <w:pStyle w:val="null3"/>
            </w:pPr>
            <w:r>
              <w:rPr>
                <w:rFonts w:ascii="仿宋_GB2312" w:hAnsi="仿宋_GB2312" w:cs="仿宋_GB2312" w:eastAsia="仿宋_GB2312"/>
                <w:sz w:val="24"/>
                <w:b/>
              </w:rPr>
              <w:t>（一）采购人承担内容</w:t>
            </w:r>
          </w:p>
          <w:p>
            <w:pPr>
              <w:pStyle w:val="null3"/>
            </w:pPr>
            <w:r>
              <w:rPr>
                <w:rFonts w:ascii="仿宋_GB2312" w:hAnsi="仿宋_GB2312" w:cs="仿宋_GB2312" w:eastAsia="仿宋_GB2312"/>
                <w:sz w:val="24"/>
              </w:rPr>
              <w:t>1.场地基础配套：无偿提供运营场地，全额承担项目用水、用电、用气费用；</w:t>
            </w:r>
          </w:p>
          <w:p>
            <w:pPr>
              <w:pStyle w:val="null3"/>
            </w:pPr>
            <w:r>
              <w:rPr>
                <w:rFonts w:ascii="仿宋_GB2312" w:hAnsi="仿宋_GB2312" w:cs="仿宋_GB2312" w:eastAsia="仿宋_GB2312"/>
                <w:sz w:val="24"/>
              </w:rPr>
              <w:t>2.全品类运营耗材：餐厅生鲜食材、客房一次性客用品、全域消杀物资、会务耗材、工程维修耗材、保洁物资、全套设备器械等所有经营耗材及物资采购成本。</w:t>
            </w:r>
          </w:p>
          <w:p>
            <w:pPr>
              <w:pStyle w:val="null3"/>
            </w:pPr>
            <w:r>
              <w:rPr>
                <w:rFonts w:ascii="仿宋_GB2312" w:hAnsi="仿宋_GB2312" w:cs="仿宋_GB2312" w:eastAsia="仿宋_GB2312"/>
                <w:sz w:val="24"/>
                <w:b/>
              </w:rPr>
              <w:t>（二）报价说明</w:t>
            </w:r>
          </w:p>
          <w:p>
            <w:pPr>
              <w:pStyle w:val="null3"/>
            </w:pPr>
            <w:r>
              <w:rPr>
                <w:rFonts w:ascii="仿宋_GB2312" w:hAnsi="仿宋_GB2312" w:cs="仿宋_GB2312" w:eastAsia="仿宋_GB2312"/>
                <w:sz w:val="24"/>
              </w:rPr>
              <w:t>供应商本次投标报价，仅涵盖本项目</w:t>
            </w:r>
            <w:r>
              <w:rPr>
                <w:rFonts w:ascii="仿宋_GB2312" w:hAnsi="仿宋_GB2312" w:cs="仿宋_GB2312" w:eastAsia="仿宋_GB2312"/>
                <w:sz w:val="24"/>
              </w:rPr>
              <w:t>39名标配在岗人员工资、社保、各项员工福利、人员涉税管理费用等全部费用。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两年（合同一年一签，在预算有保障的前提下可续签下一年合同）。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陕西警察学院指定地点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1、采购文件、响应文件、澄清表（函）；2、合同及附件文本；3、国家相应的标准、规范。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其他，按月支付（因系统限制，合同总金额的 100 %，指月度应付金额），达到付款条件起10个工作日内，支付合同总金额的100.0%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1、本项目预算金额：2980000元/年，为一年预算金额。 2、供应商需要在线提交所有通过电子化交易平台实施的政府采购项目的响应文件，同时，线下提交响应文件正本 壹 份、副本 贰 份、电子版 壹 份（U盘一套标明供应商名称，单独密封）。 3、线下纸质文件递交截止时间：同在线递交电子响应文件截止时间一致；线下纸质文件递交地点：西安市雁展路1111号莱安中心T6-15层。（如需邮寄，建议顺丰速运，并将单位名称、联系人、电话及运单号发至1073273918@qq.com邮箱） 4、保证金的退还：自成交通知书发出之日起5个工作日内退还未成交供应商的磋商保证金,自采购合同签订之日起5个工作日内退还成交供应商的磋商保证金。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服务内容及服务要求应答表.docx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服务内容及服务要求应答表.docx 响应报价表.docx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服务内容及服务要求应答表.docx 响应报价表.docx 响应函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供应商针对本项目提供的整体服务方案，方案至少包含：①服务目标及计划；②内部管理制度及考核培训机制；③客房服务方案；④安保工程服务方案；⑤餐饮服务方案。 评审依据：方案内容全面详细、阐述条理清晰、内容合理，贴合项目的实际情况计15分，每缺一项内容扣3分，每有一项内容存在瑕疵扣1分，扣完为止。 注：评审内容“瑕疵”是指：内容粗略、逻辑混乱、描述过于简单、与项目特点不匹配、凭空编造、逻辑漏洞、出现常识性错误、存在不适用项目实际情况的情形或只有标题没有实质性内容等。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服务质量控制方案</w:t>
            </w:r>
          </w:p>
        </w:tc>
        <w:tc>
          <w:tcPr>
            <w:tcW w:type="dxa" w:w="2492"/>
          </w:tcPr>
          <w:p>
            <w:pPr>
              <w:pStyle w:val="null3"/>
            </w:pPr>
            <w:r>
              <w:rPr>
                <w:rFonts w:ascii="仿宋_GB2312" w:hAnsi="仿宋_GB2312" w:cs="仿宋_GB2312" w:eastAsia="仿宋_GB2312"/>
              </w:rPr>
              <w:t>根据本项目需求提供服务质量控制措施，包括但不限于：①卫生控制措施；②成本管控措施；③设施设备管理措施；④食品安全管理方案（包括但不限于：食品质量保证、食材日常贮存、日常检验检查、安全执行标准等）⑤膳食搭配方案（包括但不限于：餐品种类、科学搭配、传统节日和不同人群特色方案等）。 评审依据：各项内容全面详细、阐述条理清晰、内容合理，贴合项目的实际情况计15分，每缺一项内容扣3分，每有一项内容存在瑕疵扣1分，扣完为止。 注：评审内容“瑕疵”是指：内容粗略、逻辑混乱、描述过于简单、与项目特点不匹配、凭空编造、逻辑漏洞、出现常识性错误、存在不适用项目实际情况的情形或只有标题没有实质性内容等。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根据本项目需求提供应急方案：包含但不限于：①食品安全事故及食物中毒事件应急预案；②停水、停电、停气应急预案；③工伤应急处置预案；④消防安全突发事件应急预案等。 评审依据：各项内容全面详细、阐述条理清晰、内容合理，贴合项目的实际情况、可实施性强计4分，每缺一项内容扣1分，每有一项内容存在瑕疵扣0.5分，扣完为止。 注：评审内容“瑕疵”是指：内容粗略、逻辑混乱、描述过于简单、与项目特点不匹配、凭空编造、逻辑漏洞、出现常识性错误、存在不适用项目实际情况的情形或只有标题没有实质性内容等。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供应商针对本项目提供服务人员的配备情况，内容至少包含：①人员配备数量及清单；②人员岗位职责分工与工作经验；③人员管理制度。 评审依据：项目团队配置各部分内容全面详细、阐述条理清晰详尽、符合本项目采购需求计6分，每缺一项内容扣2分，每有一项内容存在瑕疵扣1分，扣完为止。 注：评审内容“瑕疵”是指：内容粗略、逻辑混乱、描述过于简单、与项目特点不匹配、凭空编造、逻辑漏洞、出现常识性错误、存在不适用项目实际情况的情形或只有标题没有实质性内容等。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1、拟派行政主厨：具有中式烹调师/中式面点师职业资格证书或人社备案机构核发的职业技能等级证书，一级（高级技师）得3分；二级（技师）得2分；三级（高级）得1分。 2、拟派厨师：具有中式烹调师/中式面点师职业资格证书或人社备案机构核发的职业技能等级证书，每具备一个三级（高级）及以上得3分，四级（中级）得2分，最高得12分。 注：上述人员不重复计分，须提供人员资质证书及本单位在职证明复印件加盖公章。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根据本项目需求提供服务承诺，包括：①食品安全承诺；②消防安全承诺；③环境清洁卫生承诺；④依法用工承诺；⑤设备安全、设施维护运行承诺；⑥菜品质量保障承诺；⑦客房服务保密承诺。 供应商每提供一项承诺得1分，满分7分；无承诺或承诺内容不满足采购需求的不得分。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供应商针对本项目提供有利于本项目实施的增值服务，每提供一项有效增值服务得2分，满分6分。 注：未提供增值服务或增值服务内容不利于项目实施的不得分。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提供2023年5月1日至今类似项目业绩合同（以合同签订日期为准），每提供一份计2分，满分12分。 注：须提供完整业绩合同及对应付款发票(任意一张)并加盖供应商公章。前述两种证明材料同时提供方可得分，否则不得分。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磋商报价得分=(评标基准价／磋商报价)×报价分值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