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版本号：JSHN-ZACG-202607-0120260714001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镇安县达仁镇区域综合养老服务中心建设项目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JSHN-ZACG-202607-01</w:t>
      </w:r>
      <w:r>
        <w:br/>
      </w:r>
      <w:r>
        <w:br/>
      </w:r>
      <w:r>
        <w:br/>
      </w:r>
    </w:p>
    <w:p>
      <w:pPr>
        <w:pStyle w:val="null3"/>
        <w:jc w:val="center"/>
        <w:outlineLvl w:val="2"/>
      </w:pPr>
      <w:r>
        <w:rPr>
          <w:rFonts w:ascii="仿宋_GB2312" w:hAnsi="仿宋_GB2312" w:cs="仿宋_GB2312" w:eastAsia="仿宋_GB2312"/>
          <w:sz w:val="28"/>
          <w:b/>
        </w:rPr>
        <w:t>镇安县民政局（本级）</w:t>
      </w:r>
    </w:p>
    <w:p>
      <w:pPr>
        <w:pStyle w:val="null3"/>
        <w:jc w:val="center"/>
        <w:outlineLvl w:val="2"/>
      </w:pPr>
      <w:r>
        <w:rPr>
          <w:rFonts w:ascii="仿宋_GB2312" w:hAnsi="仿宋_GB2312" w:cs="仿宋_GB2312" w:eastAsia="仿宋_GB2312"/>
          <w:sz w:val="28"/>
          <w:b/>
        </w:rPr>
        <w:t>锦岁华年（陕西）实业有限公司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锦岁华年（陕西）实业有限公司</w:t>
      </w:r>
      <w:r>
        <w:rPr>
          <w:rFonts w:ascii="仿宋_GB2312" w:hAnsi="仿宋_GB2312" w:cs="仿宋_GB2312" w:eastAsia="仿宋_GB2312"/>
        </w:rPr>
        <w:t>（以下简称“代理机构”）受</w:t>
      </w:r>
      <w:r>
        <w:rPr>
          <w:rFonts w:ascii="仿宋_GB2312" w:hAnsi="仿宋_GB2312" w:cs="仿宋_GB2312" w:eastAsia="仿宋_GB2312"/>
        </w:rPr>
        <w:t>镇安县民政局（本级）</w:t>
      </w:r>
      <w:r>
        <w:rPr>
          <w:rFonts w:ascii="仿宋_GB2312" w:hAnsi="仿宋_GB2312" w:cs="仿宋_GB2312" w:eastAsia="仿宋_GB2312"/>
        </w:rPr>
        <w:t>委托，拟对</w:t>
      </w:r>
      <w:r>
        <w:rPr>
          <w:rFonts w:ascii="仿宋_GB2312" w:hAnsi="仿宋_GB2312" w:cs="仿宋_GB2312" w:eastAsia="仿宋_GB2312"/>
        </w:rPr>
        <w:t>镇安县达仁镇区域综合养老服务中心建设项目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JSHN-ZACG-202607-01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镇安县达仁镇区域综合养老服务中心建设项目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镇安县达仁镇区域综合养老服务中心建设项目主要建设内容为：新建综合养老服务中心1栋:三层公共建筑，建筑高度11.6m,砖混结构，建筑面积312.29平米；室外场地建设。建设地点：镇安县达仁镇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采购包1（镇安县达仁镇区域综合养老服务中心建设项目）：属于专门面向中小企业采购。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pPr>
        <w:pStyle w:val="null3"/>
      </w:pPr>
      <w:r>
        <w:rPr>
          <w:rFonts w:ascii="仿宋_GB2312" w:hAnsi="仿宋_GB2312" w:cs="仿宋_GB2312" w:eastAsia="仿宋_GB2312"/>
        </w:rPr>
        <w:t>2、具有良好的商业信誉和健全的财务会计制度：提供由具备财务审计资质的单位出具的2024年度或2025年度完整审计报告或提供供应商基本存款账户信息及开标日期前90日内其基本存款账户开户银行出具的资信证明。以上形式的证明资料提供任何一种即可。</w:t>
      </w:r>
    </w:p>
    <w:p>
      <w:pPr>
        <w:pStyle w:val="null3"/>
      </w:pPr>
      <w:r>
        <w:rPr>
          <w:rFonts w:ascii="仿宋_GB2312" w:hAnsi="仿宋_GB2312" w:cs="仿宋_GB2312" w:eastAsia="仿宋_GB2312"/>
        </w:rPr>
        <w:t>3、具有履行合同所必需的设备和专业技术能力：提供履行合同所必需的设备和专业技术能力的书面声明。</w:t>
      </w:r>
    </w:p>
    <w:p>
      <w:pPr>
        <w:pStyle w:val="null3"/>
      </w:pPr>
      <w:r>
        <w:rPr>
          <w:rFonts w:ascii="仿宋_GB2312" w:hAnsi="仿宋_GB2312" w:cs="仿宋_GB2312" w:eastAsia="仿宋_GB2312"/>
        </w:rPr>
        <w:t>4、有依法缴纳税收和社会保障资金的良好记录：1.供应商近一年内（投标截止时间前）至少三个月的纳税证明材料：根据税务部门出具的完税凭证或纳税的银行转账汇款单、对账单等判定，如依法免税或不需要纳税的，提供相应证明材料。 2.供应商近一年内（投标截止时间前）至少三个月缴纳社会保障金的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pPr>
        <w:pStyle w:val="null3"/>
      </w:pPr>
      <w:r>
        <w:rPr>
          <w:rFonts w:ascii="仿宋_GB2312" w:hAnsi="仿宋_GB2312" w:cs="仿宋_GB2312" w:eastAsia="仿宋_GB2312"/>
        </w:rPr>
        <w:t>5、违法记录声明：提供参加本次政府采购活动前三年内在经营活动中没有重大违法记录的书面声明。</w:t>
      </w:r>
    </w:p>
    <w:p>
      <w:pPr>
        <w:pStyle w:val="null3"/>
      </w:pPr>
      <w:r>
        <w:rPr>
          <w:rFonts w:ascii="仿宋_GB2312" w:hAnsi="仿宋_GB2312" w:cs="仿宋_GB2312" w:eastAsia="仿宋_GB2312"/>
        </w:rPr>
        <w:t>6、法律、行政法规规定的其他条件：投标人满足法律、行政法规规定的其他条件的书面声明。</w:t>
      </w:r>
    </w:p>
    <w:p>
      <w:pPr>
        <w:pStyle w:val="null3"/>
      </w:pPr>
      <w:r>
        <w:rPr>
          <w:rFonts w:ascii="仿宋_GB2312" w:hAnsi="仿宋_GB2312" w:cs="仿宋_GB2312" w:eastAsia="仿宋_GB2312"/>
        </w:rPr>
        <w:t>7、法定代表人身份证明或法定代表人授权委托书：投标人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除单一来源采购外，为采购项目提供整体设计、规范编制或者项目管理、监理、检测等服务的供应商，不得再参加该采购项目的其他采购活动；提供《供应商企业关系关联承诺书》（格式自拟）。</w:t>
      </w:r>
    </w:p>
    <w:p>
      <w:pPr>
        <w:pStyle w:val="null3"/>
      </w:pPr>
      <w:r>
        <w:rPr>
          <w:rFonts w:ascii="仿宋_GB2312" w:hAnsi="仿宋_GB2312" w:cs="仿宋_GB2312" w:eastAsia="仿宋_GB2312"/>
        </w:rPr>
        <w:t>9、企业资质：供应商具备建筑工程施工总承包三级及以上资质，且具有有效的安全生产许可证（提供证明材料）。</w:t>
      </w:r>
    </w:p>
    <w:p>
      <w:pPr>
        <w:pStyle w:val="null3"/>
      </w:pPr>
      <w:r>
        <w:rPr>
          <w:rFonts w:ascii="仿宋_GB2312" w:hAnsi="仿宋_GB2312" w:cs="仿宋_GB2312" w:eastAsia="仿宋_GB2312"/>
        </w:rPr>
        <w:t>10、拟派项目负责人要求：拟派项目负责人具备建筑工程专业二级及以上注册建造师资质（在本单位注册），具备有效的安全生产考核合格证书（B证）；且无不良信用记录，无在建工程。</w:t>
      </w:r>
    </w:p>
    <w:p>
      <w:pPr>
        <w:pStyle w:val="null3"/>
      </w:pPr>
      <w:r>
        <w:rPr>
          <w:rFonts w:ascii="仿宋_GB2312" w:hAnsi="仿宋_GB2312" w:cs="仿宋_GB2312" w:eastAsia="仿宋_GB2312"/>
        </w:rPr>
        <w:t>11、其他要求：供应商及其拟派项目负责人须在“陕西省住房和城乡建设厅”官方网站可查询；如供应商为外省进陕企业，还须同时提供“陕西省住房和城乡建设厅”官网企业库外省进陕施工企业信息首页截图。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12、联合体：本项目不接受联合体磋商（提供承诺书）。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镇安县前街199号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镇安县民政局（本级）经办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13992462677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锦岁华年（陕西）实业有限公司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陕西省商洛市镇安县陕西省商洛市镇安县永乐街道办事处河滨路66号王家小院3楼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15686397588、18329971809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采购包1：1,319,157.24元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代理服务费收费标准：本项⽬采购招标代理服务费按计价格〔2002〕1980号及发改价格〔2011〕534号⽂件规定标准计取。由中标供应商领取成交通知书前⼀次性⽀付。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镇安县民政局（本级）</w:t>
      </w:r>
      <w:r>
        <w:rPr>
          <w:rFonts w:ascii="仿宋_GB2312" w:hAnsi="仿宋_GB2312" w:cs="仿宋_GB2312" w:eastAsia="仿宋_GB2312"/>
        </w:rPr>
        <w:t>和</w:t>
      </w:r>
      <w:r>
        <w:rPr>
          <w:rFonts w:ascii="仿宋_GB2312" w:hAnsi="仿宋_GB2312" w:cs="仿宋_GB2312" w:eastAsia="仿宋_GB2312"/>
        </w:rPr>
        <w:t>锦岁华年（陕西）实业有限公司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锦岁华年（陕西）实业有限公司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锦岁华年（陕西）实业有限公司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锦岁华年（陕西）实业有限公司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锦岁华年（陕西）实业有限公司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锦岁华年（陕西）实业有限公司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联系电话：15686397588</w:t>
      </w:r>
    </w:p>
    <w:p>
      <w:pPr>
        <w:pStyle w:val="null3"/>
      </w:pPr>
      <w:r>
        <w:rPr>
          <w:rFonts w:ascii="仿宋_GB2312" w:hAnsi="仿宋_GB2312" w:cs="仿宋_GB2312" w:eastAsia="仿宋_GB2312"/>
        </w:rPr>
        <w:t>地址：镇安县永乐街道办事处镇城社区河滨路66号王家小院3楼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1,319,157.24</w:t>
      </w:r>
    </w:p>
    <w:p>
      <w:pPr>
        <w:pStyle w:val="null3"/>
      </w:pPr>
      <w:r>
        <w:rPr>
          <w:rFonts w:ascii="仿宋_GB2312" w:hAnsi="仿宋_GB2312" w:cs="仿宋_GB2312" w:eastAsia="仿宋_GB2312"/>
        </w:rPr>
        <w:t>采购包最高限价（元）: 1,319,157.24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镇安县达仁镇区域综合养老服务中心建设项目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1,319,157.24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标的名称：镇安县达仁镇区域综合养老服务中心建设项目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工程内容和施工地点、计划工期、缺陷责任期、质量保修期</w:t>
            </w:r>
          </w:p>
          <w:p>
            <w:pPr>
              <w:pStyle w:val="null3"/>
            </w:pPr>
            <w:r>
              <w:rPr>
                <w:rFonts w:ascii="仿宋_GB2312" w:hAnsi="仿宋_GB2312" w:cs="仿宋_GB2312" w:eastAsia="仿宋_GB2312"/>
                <w:sz w:val="21"/>
              </w:rPr>
              <w:t>（一）工程内容：新建综合养老服务中心1栋:三层公共建筑，建筑高度11.6m,砖混结构，建筑面积312.29平米；室外场地建设。</w:t>
            </w:r>
          </w:p>
          <w:p>
            <w:pPr>
              <w:pStyle w:val="null3"/>
            </w:pPr>
            <w:r>
              <w:rPr>
                <w:rFonts w:ascii="仿宋_GB2312" w:hAnsi="仿宋_GB2312" w:cs="仿宋_GB2312" w:eastAsia="仿宋_GB2312"/>
                <w:sz w:val="21"/>
              </w:rPr>
              <w:t>（二）工程地点：镇安县达仁镇。</w:t>
            </w:r>
          </w:p>
          <w:p>
            <w:pPr>
              <w:pStyle w:val="null3"/>
            </w:pPr>
            <w:r>
              <w:rPr>
                <w:rFonts w:ascii="仿宋_GB2312" w:hAnsi="仿宋_GB2312" w:cs="仿宋_GB2312" w:eastAsia="仿宋_GB2312"/>
                <w:sz w:val="21"/>
              </w:rPr>
              <w:t>（三）计划工期：</w:t>
            </w:r>
            <w:r>
              <w:rPr>
                <w:rFonts w:ascii="仿宋_GB2312" w:hAnsi="仿宋_GB2312" w:cs="仿宋_GB2312" w:eastAsia="仿宋_GB2312"/>
                <w:sz w:val="21"/>
              </w:rPr>
              <w:t>90日历天。</w:t>
            </w:r>
          </w:p>
          <w:p>
            <w:pPr>
              <w:pStyle w:val="null3"/>
            </w:pPr>
            <w:r>
              <w:rPr>
                <w:rFonts w:ascii="仿宋_GB2312" w:hAnsi="仿宋_GB2312" w:cs="仿宋_GB2312" w:eastAsia="仿宋_GB2312"/>
                <w:sz w:val="21"/>
              </w:rPr>
              <w:t>（四）缺陷责任期（与质保金的退还无关）：</w:t>
            </w:r>
            <w:r>
              <w:rPr>
                <w:rFonts w:ascii="仿宋_GB2312" w:hAnsi="仿宋_GB2312" w:cs="仿宋_GB2312" w:eastAsia="仿宋_GB2312"/>
                <w:sz w:val="21"/>
              </w:rPr>
              <w:t>2年。</w:t>
            </w:r>
          </w:p>
          <w:p>
            <w:pPr>
              <w:pStyle w:val="null3"/>
            </w:pPr>
            <w:r>
              <w:rPr>
                <w:rFonts w:ascii="仿宋_GB2312" w:hAnsi="仿宋_GB2312" w:cs="仿宋_GB2312" w:eastAsia="仿宋_GB2312"/>
                <w:sz w:val="21"/>
              </w:rPr>
              <w:t>（五）质量保修期（与质保金的退还有关）：</w:t>
            </w:r>
            <w:r>
              <w:rPr>
                <w:rFonts w:ascii="仿宋_GB2312" w:hAnsi="仿宋_GB2312" w:cs="仿宋_GB2312" w:eastAsia="仿宋_GB2312"/>
                <w:sz w:val="21"/>
              </w:rPr>
              <w:t>1年。</w:t>
            </w:r>
          </w:p>
          <w:p>
            <w:pPr>
              <w:pStyle w:val="null3"/>
            </w:pPr>
            <w:r>
              <w:rPr>
                <w:rFonts w:ascii="仿宋_GB2312" w:hAnsi="仿宋_GB2312" w:cs="仿宋_GB2312" w:eastAsia="仿宋_GB2312"/>
                <w:sz w:val="21"/>
              </w:rPr>
              <w:t>二、工程量清单和编制依据</w:t>
            </w:r>
          </w:p>
          <w:p>
            <w:pPr>
              <w:pStyle w:val="null3"/>
            </w:pPr>
            <w:r>
              <w:rPr>
                <w:rFonts w:ascii="仿宋_GB2312" w:hAnsi="仿宋_GB2312" w:cs="仿宋_GB2312" w:eastAsia="仿宋_GB2312"/>
                <w:sz w:val="21"/>
              </w:rPr>
              <w:t>（一）工程量清单：</w:t>
            </w:r>
          </w:p>
          <w:p>
            <w:pPr>
              <w:pStyle w:val="null3"/>
            </w:pPr>
            <w:r>
              <w:rPr>
                <w:rFonts w:ascii="仿宋_GB2312" w:hAnsi="仿宋_GB2312" w:cs="仿宋_GB2312" w:eastAsia="仿宋_GB2312"/>
                <w:sz w:val="21"/>
              </w:rPr>
              <w:t>1、具体内容详见工程量清单。</w:t>
            </w:r>
          </w:p>
          <w:p>
            <w:pPr>
              <w:pStyle w:val="null3"/>
            </w:pPr>
            <w:r>
              <w:rPr>
                <w:rFonts w:ascii="仿宋_GB2312" w:hAnsi="仿宋_GB2312" w:cs="仿宋_GB2312" w:eastAsia="仿宋_GB2312"/>
                <w:sz w:val="21"/>
              </w:rPr>
              <w:t>2、</w:t>
            </w:r>
            <w:r>
              <w:rPr>
                <w:rFonts w:ascii="仿宋_GB2312" w:hAnsi="仿宋_GB2312" w:cs="仿宋_GB2312" w:eastAsia="仿宋_GB2312"/>
                <w:sz w:val="21"/>
              </w:rPr>
              <w:t>本项目招标最高限价（元）</w:t>
            </w:r>
            <w:r>
              <w:rPr>
                <w:rFonts w:ascii="仿宋_GB2312" w:hAnsi="仿宋_GB2312" w:cs="仿宋_GB2312" w:eastAsia="仿宋_GB2312"/>
                <w:sz w:val="21"/>
              </w:rPr>
              <w:t>:1319157.24</w:t>
            </w:r>
          </w:p>
          <w:p>
            <w:pPr>
              <w:pStyle w:val="null3"/>
            </w:pPr>
            <w:r>
              <w:rPr>
                <w:rFonts w:ascii="仿宋_GB2312" w:hAnsi="仿宋_GB2312" w:cs="仿宋_GB2312" w:eastAsia="仿宋_GB2312"/>
                <w:sz w:val="21"/>
              </w:rPr>
              <w:t>（二）编制依据</w:t>
            </w:r>
          </w:p>
          <w:p>
            <w:pPr>
              <w:pStyle w:val="null3"/>
            </w:pPr>
            <w:r>
              <w:rPr>
                <w:rFonts w:ascii="仿宋_GB2312" w:hAnsi="仿宋_GB2312" w:cs="仿宋_GB2312" w:eastAsia="仿宋_GB2312"/>
                <w:sz w:val="21"/>
              </w:rPr>
              <w:t>1、项目施工图纸；</w:t>
            </w:r>
          </w:p>
          <w:p>
            <w:pPr>
              <w:pStyle w:val="null3"/>
            </w:pPr>
            <w:r>
              <w:rPr>
                <w:rFonts w:ascii="仿宋_GB2312" w:hAnsi="仿宋_GB2312" w:cs="仿宋_GB2312" w:eastAsia="仿宋_GB2312"/>
                <w:sz w:val="21"/>
              </w:rPr>
              <w:t>2、常规合理施工组织设计、施工工艺；</w:t>
            </w:r>
          </w:p>
          <w:p>
            <w:pPr>
              <w:pStyle w:val="null3"/>
            </w:pPr>
            <w:r>
              <w:rPr>
                <w:rFonts w:ascii="仿宋_GB2312" w:hAnsi="仿宋_GB2312" w:cs="仿宋_GB2312" w:eastAsia="仿宋_GB2312"/>
                <w:sz w:val="21"/>
              </w:rPr>
              <w:t>3、国家及陕西省现行建筑、市政、园林绿化工程施工、质量验收规范；</w:t>
            </w:r>
          </w:p>
          <w:p>
            <w:pPr>
              <w:pStyle w:val="null3"/>
            </w:pPr>
            <w:r>
              <w:rPr>
                <w:rFonts w:ascii="仿宋_GB2312" w:hAnsi="仿宋_GB2312" w:cs="仿宋_GB2312" w:eastAsia="仿宋_GB2312"/>
                <w:sz w:val="21"/>
              </w:rPr>
              <w:t>4、《陕西省建设工程工程量清单计价规则》(2009)；</w:t>
            </w:r>
          </w:p>
          <w:p>
            <w:pPr>
              <w:pStyle w:val="null3"/>
            </w:pPr>
            <w:r>
              <w:rPr>
                <w:rFonts w:ascii="仿宋_GB2312" w:hAnsi="仿宋_GB2312" w:cs="仿宋_GB2312" w:eastAsia="仿宋_GB2312"/>
                <w:sz w:val="21"/>
              </w:rPr>
              <w:t>5、《陕西省建筑装饰工程消耗量定额》(2004)、《陕西省安装工程消耗量定额A(2004)、《陕西省建筑装饰、安装工程价目表》(2009)、《陕西省建设工程消耗量定额(2004)补充定额》(2009)、《陕西省市政、园林绿化工程参考价目表》(2009)；</w:t>
            </w:r>
          </w:p>
          <w:p>
            <w:pPr>
              <w:pStyle w:val="null3"/>
            </w:pPr>
            <w:r>
              <w:rPr>
                <w:rFonts w:ascii="仿宋_GB2312" w:hAnsi="仿宋_GB2312" w:cs="仿宋_GB2312" w:eastAsia="仿宋_GB2312"/>
                <w:sz w:val="21"/>
              </w:rPr>
              <w:t>6、人工单价调整文件:陕建发(2021)1097号《关于调整房屋建筑和市政基础设施工程工程量清单计价综合人工单价的通知》；</w:t>
            </w:r>
          </w:p>
          <w:p>
            <w:pPr>
              <w:pStyle w:val="null3"/>
            </w:pPr>
            <w:r>
              <w:rPr>
                <w:rFonts w:ascii="仿宋_GB2312" w:hAnsi="仿宋_GB2312" w:cs="仿宋_GB2312" w:eastAsia="仿宋_GB2312"/>
                <w:sz w:val="21"/>
              </w:rPr>
              <w:t>7、材料价格:执行商洛市造价管理信息2026年05月期，信息价中未包含的材料，结合市场询价综合确定；</w:t>
            </w:r>
          </w:p>
          <w:p>
            <w:pPr>
              <w:pStyle w:val="null3"/>
            </w:pPr>
            <w:r>
              <w:rPr>
                <w:rFonts w:ascii="仿宋_GB2312" w:hAnsi="仿宋_GB2312" w:cs="仿宋_GB2312" w:eastAsia="仿宋_GB2312"/>
                <w:sz w:val="21"/>
              </w:rPr>
              <w:t>8、陕西省现行规费、安全文明施工措施费、增值税相关计价配套文件。</w:t>
            </w:r>
          </w:p>
          <w:p>
            <w:pPr>
              <w:pStyle w:val="null3"/>
            </w:pPr>
            <w:r>
              <w:rPr>
                <w:rFonts w:ascii="仿宋_GB2312" w:hAnsi="仿宋_GB2312" w:cs="仿宋_GB2312" w:eastAsia="仿宋_GB2312"/>
                <w:sz w:val="21"/>
              </w:rPr>
              <w:t>（三）图纸</w:t>
            </w:r>
          </w:p>
          <w:p>
            <w:pPr>
              <w:pStyle w:val="null3"/>
            </w:pPr>
            <w:r>
              <w:rPr>
                <w:rFonts w:ascii="仿宋_GB2312" w:hAnsi="仿宋_GB2312" w:cs="仿宋_GB2312" w:eastAsia="仿宋_GB2312"/>
                <w:sz w:val="21"/>
              </w:rPr>
              <w:t>详见图纸及设计答疑。</w:t>
            </w:r>
          </w:p>
          <w:p>
            <w:pPr>
              <w:pStyle w:val="null3"/>
            </w:pPr>
            <w:r>
              <w:rPr>
                <w:rFonts w:ascii="仿宋_GB2312" w:hAnsi="仿宋_GB2312" w:cs="仿宋_GB2312" w:eastAsia="仿宋_GB2312"/>
                <w:sz w:val="21"/>
              </w:rPr>
              <w:t>三、施工要求</w:t>
            </w:r>
          </w:p>
          <w:p>
            <w:pPr>
              <w:pStyle w:val="null3"/>
            </w:pPr>
            <w:r>
              <w:rPr>
                <w:rFonts w:ascii="仿宋_GB2312" w:hAnsi="仿宋_GB2312" w:cs="仿宋_GB2312" w:eastAsia="仿宋_GB2312"/>
                <w:sz w:val="21"/>
              </w:rPr>
              <w:t>1、在施工期间，中标供应商必须注意园内人员安全，加强安全措施，并对施工人员进行安全教育，施工人员必须持证上岗。</w:t>
            </w:r>
          </w:p>
          <w:p>
            <w:pPr>
              <w:pStyle w:val="null3"/>
            </w:pPr>
            <w:r>
              <w:rPr>
                <w:rFonts w:ascii="仿宋_GB2312" w:hAnsi="仿宋_GB2312" w:cs="仿宋_GB2312" w:eastAsia="仿宋_GB2312"/>
                <w:sz w:val="21"/>
              </w:rPr>
              <w:t>2、施工现场噪音、扬尘严格控制。</w:t>
            </w:r>
          </w:p>
          <w:p>
            <w:pPr>
              <w:pStyle w:val="null3"/>
            </w:pPr>
            <w:r>
              <w:rPr>
                <w:rFonts w:ascii="仿宋_GB2312" w:hAnsi="仿宋_GB2312" w:cs="仿宋_GB2312" w:eastAsia="仿宋_GB2312"/>
                <w:sz w:val="21"/>
              </w:rPr>
              <w:t>3、施工现场要求满足安全文明施工。</w:t>
            </w:r>
          </w:p>
          <w:p>
            <w:pPr>
              <w:pStyle w:val="null3"/>
            </w:pPr>
            <w:r>
              <w:rPr>
                <w:rFonts w:ascii="仿宋_GB2312" w:hAnsi="仿宋_GB2312" w:cs="仿宋_GB2312" w:eastAsia="仿宋_GB2312"/>
                <w:sz w:val="21"/>
              </w:rPr>
              <w:t>四、商务要求</w:t>
            </w:r>
          </w:p>
          <w:p>
            <w:pPr>
              <w:pStyle w:val="null3"/>
            </w:pPr>
            <w:r>
              <w:rPr>
                <w:rFonts w:ascii="仿宋_GB2312" w:hAnsi="仿宋_GB2312" w:cs="仿宋_GB2312" w:eastAsia="仿宋_GB2312"/>
                <w:sz w:val="21"/>
              </w:rPr>
              <w:t>1、款项结算：</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合同签订后，供应商应提供正规发票，采购人于七个工作日内支付合同价款的</w:t>
            </w:r>
            <w:r>
              <w:rPr>
                <w:rFonts w:ascii="仿宋_GB2312" w:hAnsi="仿宋_GB2312" w:cs="仿宋_GB2312" w:eastAsia="仿宋_GB2312"/>
                <w:sz w:val="21"/>
              </w:rPr>
              <w:t>30%作为预付款；工程竣工验收合格并经第三方审计机构审计后，供应商开具正规发票，采购人于七个工作日内支付至审定金额的97%；剩余3%的工程款留作质量保证金，质保期为1年，质保期满后七个工作日内一次性无息支付。</w:t>
            </w:r>
          </w:p>
          <w:p>
            <w:pPr>
              <w:pStyle w:val="null3"/>
            </w:pPr>
            <w:r>
              <w:rPr>
                <w:rFonts w:ascii="仿宋_GB2312" w:hAnsi="仿宋_GB2312" w:cs="仿宋_GB2312" w:eastAsia="仿宋_GB2312"/>
                <w:sz w:val="21"/>
              </w:rPr>
              <w:t>五、其他</w:t>
            </w:r>
          </w:p>
          <w:p>
            <w:pPr>
              <w:pStyle w:val="null3"/>
            </w:pPr>
            <w:r>
              <w:rPr>
                <w:rFonts w:ascii="仿宋_GB2312" w:hAnsi="仿宋_GB2312" w:cs="仿宋_GB2312" w:eastAsia="仿宋_GB2312"/>
                <w:sz w:val="21"/>
              </w:rPr>
              <w:t>（一）质量验收标准或规范</w:t>
            </w:r>
          </w:p>
          <w:p>
            <w:pPr>
              <w:pStyle w:val="null3"/>
            </w:pPr>
            <w:r>
              <w:rPr>
                <w:rFonts w:ascii="仿宋_GB2312" w:hAnsi="仿宋_GB2312" w:cs="仿宋_GB2312" w:eastAsia="仿宋_GB2312"/>
                <w:sz w:val="21"/>
              </w:rPr>
              <w:t>1、现行相关的专业工程施工质量验收规范、标准、规定，以及正常的施工方法、施工工艺等。</w:t>
            </w:r>
          </w:p>
          <w:p>
            <w:pPr>
              <w:pStyle w:val="null3"/>
            </w:pPr>
            <w:r>
              <w:rPr>
                <w:rFonts w:ascii="仿宋_GB2312" w:hAnsi="仿宋_GB2312" w:cs="仿宋_GB2312" w:eastAsia="仿宋_GB2312"/>
                <w:sz w:val="21"/>
              </w:rPr>
              <w:t>2、与建设项目相关的法律、规范、标准等资料。</w:t>
            </w:r>
          </w:p>
          <w:p>
            <w:pPr>
              <w:pStyle w:val="null3"/>
            </w:pPr>
            <w:r>
              <w:rPr>
                <w:rFonts w:ascii="仿宋_GB2312" w:hAnsi="仿宋_GB2312" w:cs="仿宋_GB2312" w:eastAsia="仿宋_GB2312"/>
                <w:sz w:val="21"/>
              </w:rPr>
              <w:t>（二）违约责任</w:t>
            </w:r>
          </w:p>
          <w:p>
            <w:pPr>
              <w:pStyle w:val="null3"/>
            </w:pPr>
            <w:r>
              <w:rPr>
                <w:rFonts w:ascii="仿宋_GB2312" w:hAnsi="仿宋_GB2312" w:cs="仿宋_GB2312" w:eastAsia="仿宋_GB2312"/>
                <w:sz w:val="21"/>
              </w:rPr>
              <w:t>1、因采购人原因未完成工作，影响工期，工期顺延。</w:t>
            </w:r>
          </w:p>
          <w:p>
            <w:pPr>
              <w:pStyle w:val="null3"/>
            </w:pPr>
            <w:r>
              <w:rPr>
                <w:rFonts w:ascii="仿宋_GB2312" w:hAnsi="仿宋_GB2312" w:cs="仿宋_GB2312" w:eastAsia="仿宋_GB2312"/>
                <w:sz w:val="21"/>
              </w:rPr>
              <w:t>2、因供应商原因未完成工作，影响工期，工期不顺延，因此对采购人造成的各项经济损失由供应商承担。</w:t>
            </w:r>
          </w:p>
          <w:p>
            <w:pPr>
              <w:pStyle w:val="null3"/>
            </w:pPr>
            <w:r>
              <w:rPr>
                <w:rFonts w:ascii="仿宋_GB2312" w:hAnsi="仿宋_GB2312" w:cs="仿宋_GB2312" w:eastAsia="仿宋_GB2312"/>
                <w:sz w:val="21"/>
              </w:rPr>
              <w:t>（三）争议解决</w:t>
            </w:r>
          </w:p>
          <w:p>
            <w:pPr>
              <w:pStyle w:val="null3"/>
            </w:pPr>
            <w:r>
              <w:rPr>
                <w:rFonts w:ascii="仿宋_GB2312" w:hAnsi="仿宋_GB2312" w:cs="仿宋_GB2312" w:eastAsia="仿宋_GB2312"/>
                <w:sz w:val="21"/>
              </w:rPr>
              <w:t>1、执行过程中如发生纠纷，双方应尽可能协商解决，若协商不成时，可向项目所在地人民法院提起诉讼。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（一）为保障政府采购电子化交易平台项目实施，供应商需要在线提交所有通过电子化交易平台实施的政府采购项目的响应文件，同时，线下提交响应文件正本壹份、副本贰份、电子版一份（U盘一份）。 （1）提交纸质版响应文件截止时间：磋商文件规定的开标时间之前； （2）提交纸质版响应文件地点：镇安县河滨路66号王家小院三楼； （3）密封、装订要求：正、副本一起封装，电子文件单独封装（电子版文件须粘贴注明投标人名称的标签），密封袋上需注明项目名称、项目编号、供应商名称、日期等，格式自拟；投标文件必须胶装成册、印鉴签字齐全； （4）若电子投标文件与纸质投标文件不一致的，以电子投标文件为准。 （二）各供应商应根据“陕西省财政厅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提供具有独立承担民事责任能力的法人或其他组织，提供合法有效的营业执照、税务登记证、组织机构代码证（三证合一的企业提供统一社会信用代码的营业执照）（原件的复印件加盖公章）。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提供由具备财务审计资质的单位出具的2024年度或2025年度完整审计报告或提供供应商基本存款账户信息及开标日期前90日内其基本存款账户开户银行出具的资信证明。以上形式的证明资料提供任何一种即可。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1.供应商近一年内（投标截止时间前）至少三个月的纳税证明材料：根据税务部门出具的完税凭证或纳税的银行转账汇款单、对账单等判定，如依法免税或不需要纳税的，提供相应证明材料。 2.供应商近一年内（投标截止时间前）至少三个月缴纳社会保障金的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投标人满足法律、行政法规规定的其他条件的书面声明。</w:t>
            </w:r>
          </w:p>
        </w:tc>
        <w:tc>
          <w:tcPr>
            <w:tcW w:type="dxa" w:w="1661"/>
          </w:tcPr>
          <w:p>
            <w:pPr>
              <w:pStyle w:val="null3"/>
            </w:pPr>
            <w:r>
              <w:rPr>
                <w:rFonts w:ascii="仿宋_GB2312" w:hAnsi="仿宋_GB2312" w:cs="仿宋_GB2312" w:eastAsia="仿宋_GB2312"/>
              </w:rPr>
              <w:t>供应商拒绝政府采购领域商业贿赂承诺书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除单一来源采购外，为采购项目提供整体设计、规范编制或者项目管理、监理、检测等服务的供应商，不得再参加该采购项目的其他采购活动；提供《供应商企业关系关联承诺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供应商具备建筑工程施工总承包三级及以上资质，且具有有效的安全生产许可证（提供证明材料）。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拟派项目负责人具备建筑工程专业二级及以上注册建造师资质（在本单位注册），具备有效的安全生产考核合格证书（B证）；且无不良信用记录，无在建工程。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供应商及其拟派项目负责人须在“陕西省住房和城乡建设厅”官方网站可查询；如供应商为外省进陕企业，还须同时提供“陕西省住房和城乡建设厅”官网企业库外省进陕施工企业信息首页截图。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 注：工程量清单不属于磋商过程中可以实质性变动的内容。</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技术标 供应商拒绝政府采购领域商业贿赂承诺书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符合“磋商文件格式”要求。</w:t>
            </w:r>
          </w:p>
        </w:tc>
        <w:tc>
          <w:tcPr>
            <w:tcW w:type="dxa" w:w="1661"/>
          </w:tcPr>
          <w:p>
            <w:pPr>
              <w:pStyle w:val="null3"/>
            </w:pPr>
            <w:r>
              <w:rPr>
                <w:rFonts w:ascii="仿宋_GB2312" w:hAnsi="仿宋_GB2312" w:cs="仿宋_GB2312" w:eastAsia="仿宋_GB2312"/>
              </w:rPr>
              <w:t>已标价工程量清单 中小企业声明函 技术标 供应商拒绝政府采购领域商业贿赂承诺书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总体施工组织部署及项目管理机构组成</w:t>
            </w:r>
          </w:p>
        </w:tc>
        <w:tc>
          <w:tcPr>
            <w:tcW w:type="dxa" w:w="2492"/>
          </w:tcPr>
          <w:p>
            <w:pPr>
              <w:pStyle w:val="null3"/>
            </w:pPr>
            <w:r>
              <w:rPr>
                <w:rFonts w:ascii="仿宋_GB2312" w:hAnsi="仿宋_GB2312" w:cs="仿宋_GB2312" w:eastAsia="仿宋_GB2312"/>
              </w:rPr>
              <w:t>施工组织部署和项目管理机构组成科学、合理、完善，得3-5分；较为科学、合理、完善的，得1-3分。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主要工程的施工方案</w:t>
            </w:r>
          </w:p>
        </w:tc>
        <w:tc>
          <w:tcPr>
            <w:tcW w:type="dxa" w:w="2492"/>
          </w:tcPr>
          <w:p>
            <w:pPr>
              <w:pStyle w:val="null3"/>
            </w:pPr>
            <w:r>
              <w:rPr>
                <w:rFonts w:ascii="仿宋_GB2312" w:hAnsi="仿宋_GB2312" w:cs="仿宋_GB2312" w:eastAsia="仿宋_GB2312"/>
              </w:rPr>
              <w:t>施工方案、方法等完善、科学、详细的，得5-9分；较为完善、科学、详细得1-5分。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能保证工程按期完成，进度安排合理的，得5-9分，进度安排不合理的，得1-5分。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工程质量管理体系完善、保证措施详细、明确、合理得5-9分，不详细、明确、合理得1-5分。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安全生产管理体系完善，保证施合理、明确、详细的，得5-9分；不合理、明确、详细的，得1-5分。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文明施工、环境保护保证体系及保证措施</w:t>
            </w:r>
          </w:p>
        </w:tc>
        <w:tc>
          <w:tcPr>
            <w:tcW w:type="dxa" w:w="2492"/>
          </w:tcPr>
          <w:p>
            <w:pPr>
              <w:pStyle w:val="null3"/>
            </w:pPr>
            <w:r>
              <w:rPr>
                <w:rFonts w:ascii="仿宋_GB2312" w:hAnsi="仿宋_GB2312" w:cs="仿宋_GB2312" w:eastAsia="仿宋_GB2312"/>
              </w:rPr>
              <w:t>文明施工及环境保护措施制定明确、科学的，得5-9分，方案不明确、不科学的，得1-5分。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人员数量满足工作需要，专业配备合理，技术支持完善，得7-10分；人员数量基本满足工程需要，专业配备较合理，技术支持较完善，得3-6分；人员数量不能满足工程需要，技术支持不够完善，得0-2分。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近三年有同类型或相似的房屋建筑工程项目业绩(合同金额100万以上，含100万，附中标通知书及合同)，单项业绩得2分，最高的10分。证明材料不全不予赋分。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①评标基准价的确定：经对各供应商资格审查合格后，将有效投标价格最低的作为评标基准价，此项得满分；投标报价大于预算价的，为 无效报价，应作为无效标处理； ②有效供应商报价得分=(评标基准价／投标报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详见附件：技术标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