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版本号：ZCSP-华县-2026-00198、DLCG2026-08820260830002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华州区瓜坡精细化工产业园“一园一策一图”方案编制项目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ZCSP-华县-2026-00198、DLCG2026-088</w:t>
      </w:r>
      <w:r>
        <w:br/>
      </w:r>
      <w:r>
        <w:br/>
      </w:r>
      <w:r>
        <w:br/>
      </w:r>
    </w:p>
    <w:p>
      <w:pPr>
        <w:pStyle w:val="null3"/>
        <w:jc w:val="center"/>
        <w:outlineLvl w:val="2"/>
      </w:pPr>
      <w:r>
        <w:rPr>
          <w:rFonts w:ascii="仿宋_GB2312" w:hAnsi="仿宋_GB2312" w:cs="仿宋_GB2312" w:eastAsia="仿宋_GB2312"/>
          <w:sz w:val="28"/>
          <w:b/>
        </w:rPr>
        <w:t>渭南市华州区工业园区管理委员会</w:t>
      </w:r>
    </w:p>
    <w:p>
      <w:pPr>
        <w:pStyle w:val="null3"/>
        <w:jc w:val="center"/>
        <w:outlineLvl w:val="2"/>
      </w:pPr>
      <w:r>
        <w:rPr>
          <w:rFonts w:ascii="仿宋_GB2312" w:hAnsi="仿宋_GB2312" w:cs="仿宋_GB2312" w:eastAsia="仿宋_GB2312"/>
          <w:sz w:val="28"/>
          <w:b/>
        </w:rPr>
        <w:t>陕西鼎力中创项目管理有限公司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陕西鼎力中创项目管理有限公司</w:t>
      </w:r>
      <w:r>
        <w:rPr>
          <w:rFonts w:ascii="仿宋_GB2312" w:hAnsi="仿宋_GB2312" w:cs="仿宋_GB2312" w:eastAsia="仿宋_GB2312"/>
        </w:rPr>
        <w:t>（以下简称“代理机构”）受</w:t>
      </w:r>
      <w:r>
        <w:rPr>
          <w:rFonts w:ascii="仿宋_GB2312" w:hAnsi="仿宋_GB2312" w:cs="仿宋_GB2312" w:eastAsia="仿宋_GB2312"/>
        </w:rPr>
        <w:t>渭南市华州区工业园区管理委员会</w:t>
      </w:r>
      <w:r>
        <w:rPr>
          <w:rFonts w:ascii="仿宋_GB2312" w:hAnsi="仿宋_GB2312" w:cs="仿宋_GB2312" w:eastAsia="仿宋_GB2312"/>
        </w:rPr>
        <w:t>委托，拟对</w:t>
      </w:r>
      <w:r>
        <w:rPr>
          <w:rFonts w:ascii="仿宋_GB2312" w:hAnsi="仿宋_GB2312" w:cs="仿宋_GB2312" w:eastAsia="仿宋_GB2312"/>
        </w:rPr>
        <w:t>华州区瓜坡精细化工产业园“一园一策一图”方案编制项目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ZCSP-华县-2026-00198、DLCG2026-088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华州区瓜坡精细化工产业园“一园一策一图”方案编制项目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开展“一园一策一图”实施方案编制及突发水污染事件环境应急三级防控体系建设工作。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采购包1（华州区瓜坡精细化工产业园“一园一策一图”方案编制项目）：属于专门面向中小企业采购。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负责人）或授权代表身份证明：供应商应授权合法的人员参加磋商全过程，其中法定代表人（负责人）直接参加的，须提供法定代表人（负责人）身份证明，并与营业执照上信息一致。法定代表人（负责人）授权代表参加的，须提供法定代表人（负责人）授权书及授权代表身份证明。</w:t>
      </w:r>
    </w:p>
    <w:p>
      <w:pPr>
        <w:pStyle w:val="null3"/>
      </w:pPr>
      <w:r>
        <w:rPr>
          <w:rFonts w:ascii="仿宋_GB2312" w:hAnsi="仿宋_GB2312" w:cs="仿宋_GB2312" w:eastAsia="仿宋_GB2312"/>
        </w:rPr>
        <w:t>2、信用信息：供应商未列入“信用中国”网站（www.creditchina.gov.cn）失信被执行人、重大税收违法失信主体、政府采购严重违法失信行为记录名单和中国政府采购网（www.ccgp.gov.cn）政府采购严重违法失信行为记录名单。</w:t>
      </w:r>
    </w:p>
    <w:p>
      <w:pPr>
        <w:pStyle w:val="null3"/>
      </w:pPr>
      <w:r>
        <w:rPr>
          <w:rFonts w:ascii="仿宋_GB2312" w:hAnsi="仿宋_GB2312" w:cs="仿宋_GB2312" w:eastAsia="仿宋_GB2312"/>
        </w:rPr>
        <w:t>3、无直接控股、管理关系承诺：单位负责人为同一人或者存在直接控股、管理关系的不同供应商不得参加同一合同项下的政府采购活动。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渭南市华州区工业园区管理委员会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渭南市华州区瓜坡镇陕化职工培训中心北配楼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0913-4712511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陕西鼎力中创项目管理有限公司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渭南市临渭区乐天大街碧桂园翡翠公馆北门商铺2层208号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郑琳娜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0913-2185335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0913-4720669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开户名称：陕西鼎力中创项目管理有限公司</w:t>
            </w:r>
          </w:p>
          <w:p>
            <w:pPr>
              <w:pStyle w:val="null3"/>
            </w:pPr>
            <w:r>
              <w:rPr>
                <w:rFonts w:ascii="仿宋_GB2312" w:hAnsi="仿宋_GB2312" w:cs="仿宋_GB2312" w:eastAsia="仿宋_GB2312"/>
              </w:rPr>
              <w:t>开户银行：工行渭南仓程路支行</w:t>
            </w:r>
          </w:p>
          <w:p>
            <w:pPr>
              <w:pStyle w:val="null3"/>
            </w:pPr>
            <w:r>
              <w:rPr>
                <w:rFonts w:ascii="仿宋_GB2312" w:hAnsi="仿宋_GB2312" w:cs="仿宋_GB2312" w:eastAsia="仿宋_GB2312"/>
              </w:rPr>
              <w:t>银行账号：2605 0259 1910 0033 019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标准，成交供应商向采购代理机构一次性付清采购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渭南市华州区工业园区管理委员会</w:t>
      </w:r>
      <w:r>
        <w:rPr>
          <w:rFonts w:ascii="仿宋_GB2312" w:hAnsi="仿宋_GB2312" w:cs="仿宋_GB2312" w:eastAsia="仿宋_GB2312"/>
        </w:rPr>
        <w:t>和</w:t>
      </w:r>
      <w:r>
        <w:rPr>
          <w:rFonts w:ascii="仿宋_GB2312" w:hAnsi="仿宋_GB2312" w:cs="仿宋_GB2312" w:eastAsia="仿宋_GB2312"/>
        </w:rPr>
        <w:t>陕西鼎力中创项目管理有限公司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渭南市华州区工业园区管理委员会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陕西鼎力中创项目管理有限公司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渭南市华州区工业园区管理委员会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陕西鼎力中创项目管理有限公司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供应商应保证在本项目中使用的任何技术、产品和服务，不会产生因第三方提出侵犯其专利权、商标权或其它知识产权而引起的法律和经济纠纷，如存在前述情形，由供应商承担所有相关责任。</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按采购文件、响应文件等综合指标进行验收。各项成果指标均应符合验收标准及要求。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陕西鼎力中创项目管理有限公司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联系人：李杰</w:t>
      </w:r>
    </w:p>
    <w:p>
      <w:pPr>
        <w:pStyle w:val="null3"/>
      </w:pPr>
      <w:r>
        <w:rPr>
          <w:rFonts w:ascii="仿宋_GB2312" w:hAnsi="仿宋_GB2312" w:cs="仿宋_GB2312" w:eastAsia="仿宋_GB2312"/>
        </w:rPr>
        <w:t>联系电话：0913-2185335</w:t>
      </w:r>
    </w:p>
    <w:p>
      <w:pPr>
        <w:pStyle w:val="null3"/>
      </w:pPr>
      <w:r>
        <w:rPr>
          <w:rFonts w:ascii="仿宋_GB2312" w:hAnsi="仿宋_GB2312" w:cs="仿宋_GB2312" w:eastAsia="仿宋_GB2312"/>
        </w:rPr>
        <w:t>地址：渭南市临渭区乐天大街碧桂园翡翠公馆北门11栋商铺2层208号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开展“一园一策一图”实施方案编制及突发水污染事件环境应急三级防控体系建设工作。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华州区瓜坡精细化工产业园“一园一策一图”方案编制项目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标的名称：华州区瓜坡精细化工产业园“一园一策一图”方案编制项目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left"/>
            </w:pPr>
            <w:r>
              <w:rPr>
                <w:rFonts w:ascii="仿宋_GB2312" w:hAnsi="仿宋_GB2312" w:cs="仿宋_GB2312" w:eastAsia="仿宋_GB2312"/>
                <w:sz w:val="24"/>
                <w:shd w:fill="FFFFFF" w:val="clear"/>
              </w:rPr>
              <w:t>（一）工作目标</w:t>
            </w:r>
          </w:p>
          <w:p>
            <w:pPr>
              <w:pStyle w:val="null3"/>
              <w:ind w:firstLine="560"/>
              <w:jc w:val="left"/>
            </w:pPr>
            <w:r>
              <w:rPr>
                <w:rFonts w:ascii="仿宋_GB2312" w:hAnsi="仿宋_GB2312" w:cs="仿宋_GB2312" w:eastAsia="仿宋_GB2312"/>
                <w:sz w:val="24"/>
                <w:shd w:fill="FFFFFF" w:val="clear"/>
              </w:rPr>
              <w:t>指导园区</w:t>
            </w:r>
            <w:r>
              <w:rPr>
                <w:rFonts w:ascii="仿宋_GB2312" w:hAnsi="仿宋_GB2312" w:cs="仿宋_GB2312" w:eastAsia="仿宋_GB2312"/>
                <w:sz w:val="24"/>
                <w:shd w:fill="FFFFFF" w:val="clear"/>
              </w:rPr>
              <w:t>制定一套科学合理、切实可行的“一园一策一图”方案；</w:t>
            </w:r>
            <w:r>
              <w:rPr>
                <w:rFonts w:ascii="仿宋_GB2312" w:hAnsi="仿宋_GB2312" w:cs="仿宋_GB2312" w:eastAsia="仿宋_GB2312"/>
                <w:sz w:val="24"/>
                <w:shd w:fill="FFFFFF" w:val="clear"/>
              </w:rPr>
              <w:t>指导</w:t>
            </w:r>
            <w:r>
              <w:rPr>
                <w:rFonts w:ascii="仿宋_GB2312" w:hAnsi="仿宋_GB2312" w:cs="仿宋_GB2312" w:eastAsia="仿宋_GB2312"/>
                <w:sz w:val="24"/>
                <w:shd w:fill="FFFFFF" w:val="clear"/>
              </w:rPr>
              <w:t>园区完善三级防控设施建设，确保防控设施的有效性和可靠性；</w:t>
            </w:r>
            <w:r>
              <w:rPr>
                <w:rFonts w:ascii="仿宋_GB2312" w:hAnsi="仿宋_GB2312" w:cs="仿宋_GB2312" w:eastAsia="仿宋_GB2312"/>
                <w:sz w:val="24"/>
                <w:shd w:fill="FFFFFF" w:val="clear"/>
              </w:rPr>
              <w:t>指导</w:t>
            </w:r>
            <w:r>
              <w:rPr>
                <w:rFonts w:ascii="仿宋_GB2312" w:hAnsi="仿宋_GB2312" w:cs="仿宋_GB2312" w:eastAsia="仿宋_GB2312"/>
                <w:sz w:val="24"/>
                <w:shd w:fill="FFFFFF" w:val="clear"/>
              </w:rPr>
              <w:t>园区建立健全园区环境应急管理体系，提高应急指挥协调能力、监测预警能力和应急处置能力</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通过应急演练和培训，提高园区企业员工的环境应急意识和应急技能</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实现园区突发水污染事件的</w:t>
            </w:r>
            <w:r>
              <w:rPr>
                <w:rFonts w:ascii="仿宋_GB2312" w:hAnsi="仿宋_GB2312" w:cs="仿宋_GB2312" w:eastAsia="仿宋_GB2312"/>
                <w:sz w:val="24"/>
                <w:shd w:fill="FFFFFF" w:val="clear"/>
              </w:rPr>
              <w:t>科学应对</w:t>
            </w:r>
            <w:r>
              <w:rPr>
                <w:rFonts w:ascii="仿宋_GB2312" w:hAnsi="仿宋_GB2312" w:cs="仿宋_GB2312" w:eastAsia="仿宋_GB2312"/>
                <w:sz w:val="24"/>
                <w:shd w:fill="FFFFFF" w:val="clear"/>
              </w:rPr>
              <w:t>，环境风险得到有效控制。</w:t>
            </w:r>
          </w:p>
          <w:p>
            <w:pPr>
              <w:pStyle w:val="null3"/>
              <w:ind w:firstLine="560"/>
              <w:jc w:val="left"/>
            </w:pPr>
            <w:r>
              <w:rPr>
                <w:rFonts w:ascii="仿宋_GB2312" w:hAnsi="仿宋_GB2312" w:cs="仿宋_GB2312" w:eastAsia="仿宋_GB2312"/>
                <w:sz w:val="24"/>
                <w:shd w:fill="FFFFFF" w:val="clear"/>
              </w:rPr>
              <w:t>（二）服务内容：</w:t>
            </w:r>
          </w:p>
          <w:p>
            <w:pPr>
              <w:pStyle w:val="null3"/>
              <w:ind w:firstLine="560"/>
              <w:jc w:val="left"/>
            </w:pPr>
            <w:r>
              <w:rPr>
                <w:rFonts w:ascii="仿宋_GB2312" w:hAnsi="仿宋_GB2312" w:cs="仿宋_GB2312" w:eastAsia="仿宋_GB2312"/>
                <w:sz w:val="24"/>
                <w:shd w:fill="FFFFFF" w:val="clear"/>
              </w:rPr>
              <w:t>1.资料摸排与现场踏勘：收集园区、企业环评、应急预案、水系水文、危化品运输、应急池闸阀等资料，实地核查风险源及各级防控设施，完善基础台账。</w:t>
            </w:r>
          </w:p>
          <w:p>
            <w:pPr>
              <w:pStyle w:val="null3"/>
              <w:ind w:firstLine="560"/>
              <w:jc w:val="left"/>
            </w:pPr>
            <w:r>
              <w:rPr>
                <w:rFonts w:ascii="仿宋_GB2312" w:hAnsi="仿宋_GB2312" w:cs="仿宋_GB2312" w:eastAsia="仿宋_GB2312"/>
                <w:sz w:val="24"/>
                <w:shd w:fill="FFFFFF" w:val="clear"/>
              </w:rPr>
              <w:t>2.编制全套成果资料：建立园区风险源、水系、应急设施四大清单；编制三级防控运转方案、园区水污染应急指挥作战图，形成完整“一园一策一图”体系。</w:t>
            </w:r>
          </w:p>
          <w:p>
            <w:pPr>
              <w:pStyle w:val="null3"/>
              <w:ind w:firstLine="560"/>
              <w:jc w:val="left"/>
            </w:pPr>
            <w:r>
              <w:rPr>
                <w:rFonts w:ascii="仿宋_GB2312" w:hAnsi="仿宋_GB2312" w:cs="仿宋_GB2312" w:eastAsia="仿宋_GB2312"/>
                <w:sz w:val="24"/>
                <w:shd w:fill="FFFFFF" w:val="clear"/>
              </w:rPr>
              <w:t>3.问题整改与方案评审：梳理园区现有防控短板，制定整改提升措施；邀请行业专家对全套成果开展技术评审，按意见修改完善。</w:t>
            </w:r>
          </w:p>
          <w:p>
            <w:pPr>
              <w:pStyle w:val="null3"/>
              <w:ind w:firstLine="560"/>
              <w:jc w:val="left"/>
            </w:pPr>
            <w:r>
              <w:rPr>
                <w:rFonts w:ascii="仿宋_GB2312" w:hAnsi="仿宋_GB2312" w:cs="仿宋_GB2312" w:eastAsia="仿宋_GB2312"/>
                <w:sz w:val="24"/>
                <w:shd w:fill="FFFFFF" w:val="clear"/>
              </w:rPr>
              <w:t>4.配套应急管理提升：制定应急演练方案，组织实战/桌面推演，根据演练问题优化防控方案，完成资料上报生态环境部门备案。</w:t>
            </w:r>
          </w:p>
          <w:p>
            <w:pPr>
              <w:pStyle w:val="null3"/>
              <w:ind w:firstLine="560"/>
              <w:jc w:val="left"/>
            </w:pPr>
            <w:r>
              <w:rPr>
                <w:rFonts w:ascii="仿宋_GB2312" w:hAnsi="仿宋_GB2312" w:cs="仿宋_GB2312" w:eastAsia="仿宋_GB2312"/>
                <w:sz w:val="24"/>
                <w:shd w:fill="FFFFFF" w:val="clear"/>
              </w:rPr>
              <w:t>（三）服务要求</w:t>
            </w:r>
          </w:p>
          <w:p>
            <w:pPr>
              <w:pStyle w:val="null3"/>
              <w:ind w:firstLine="560"/>
              <w:jc w:val="left"/>
            </w:pPr>
            <w:r>
              <w:rPr>
                <w:rFonts w:ascii="仿宋_GB2312" w:hAnsi="仿宋_GB2312" w:cs="仿宋_GB2312" w:eastAsia="仿宋_GB2312"/>
                <w:sz w:val="24"/>
                <w:shd w:fill="FFFFFF" w:val="clear"/>
              </w:rPr>
              <w:t>1.成立项目工作组，包括安全、环保等专业人员，并根据工作需要聘请生态环境部、省生态环境厅专家参与工作。</w:t>
            </w:r>
          </w:p>
          <w:p>
            <w:pPr>
              <w:pStyle w:val="null3"/>
              <w:ind w:firstLine="560"/>
              <w:jc w:val="left"/>
            </w:pPr>
            <w:r>
              <w:rPr>
                <w:rFonts w:ascii="仿宋_GB2312" w:hAnsi="仿宋_GB2312" w:cs="仿宋_GB2312" w:eastAsia="仿宋_GB2312"/>
                <w:sz w:val="24"/>
                <w:shd w:fill="FFFFFF" w:val="clear"/>
              </w:rPr>
              <w:t>2.根据工作要求收集园区相关资料，制定现场调研踏勘工作方案。根据调研方案，现场核对踏勘园区基本情况、园区内河(湖)及外界水系、园区重点环境风险源、园区环境应急空间与设施等，并对收集调研的资料按要求进行汇总整理。</w:t>
            </w:r>
          </w:p>
          <w:p>
            <w:pPr>
              <w:pStyle w:val="null3"/>
              <w:ind w:firstLine="560"/>
              <w:jc w:val="left"/>
            </w:pPr>
            <w:r>
              <w:rPr>
                <w:rFonts w:ascii="仿宋_GB2312" w:hAnsi="仿宋_GB2312" w:cs="仿宋_GB2312" w:eastAsia="仿宋_GB2312"/>
                <w:sz w:val="24"/>
                <w:shd w:fill="FFFFFF" w:val="clear"/>
              </w:rPr>
              <w:t>3.根据前期调研工作分析研究，对园区的短板弱项提出改进建议措施，并与相关部门沟通，形成园区突发水污染事件环境应急三级防控体系提升整改方案，分责任部门指导实施。</w:t>
            </w:r>
          </w:p>
          <w:p>
            <w:pPr>
              <w:pStyle w:val="null3"/>
              <w:ind w:firstLine="560"/>
              <w:jc w:val="left"/>
            </w:pPr>
            <w:r>
              <w:rPr>
                <w:rFonts w:ascii="仿宋_GB2312" w:hAnsi="仿宋_GB2312" w:cs="仿宋_GB2312" w:eastAsia="仿宋_GB2312"/>
                <w:sz w:val="24"/>
                <w:shd w:fill="FFFFFF" w:val="clear"/>
              </w:rPr>
              <w:t>4.在以上工作的基础上，完成园区突发水污染事件三级防控体系运转方案等编制，完成园区突发水污染事件环境应急指挥图绘制，完成园区突发环境事件应急预案编制及评审备案。</w:t>
            </w:r>
          </w:p>
          <w:p>
            <w:pPr>
              <w:pStyle w:val="null3"/>
              <w:ind w:firstLine="560"/>
              <w:jc w:val="left"/>
            </w:pPr>
            <w:r>
              <w:rPr>
                <w:rFonts w:ascii="仿宋_GB2312" w:hAnsi="仿宋_GB2312" w:cs="仿宋_GB2312" w:eastAsia="仿宋_GB2312"/>
                <w:sz w:val="24"/>
                <w:shd w:fill="FFFFFF" w:val="clear"/>
              </w:rPr>
              <w:t>5.</w:t>
            </w:r>
            <w:r>
              <w:rPr>
                <w:rFonts w:ascii="仿宋_GB2312" w:hAnsi="仿宋_GB2312" w:cs="仿宋_GB2312" w:eastAsia="仿宋_GB2312"/>
                <w:sz w:val="24"/>
                <w:shd w:fill="FFFFFF" w:val="clear"/>
              </w:rPr>
              <w:t>结合园区环境风险特征设计演练情景，制定演练方案，明确演练形式、内容、流程及组织保障等。按照演练方案组织实施演练，采用文字、照片和影像等手段记录演练过程</w:t>
            </w:r>
            <w:r>
              <w:rPr>
                <w:rFonts w:ascii="仿宋_GB2312" w:hAnsi="仿宋_GB2312" w:cs="仿宋_GB2312" w:eastAsia="仿宋_GB2312"/>
                <w:sz w:val="24"/>
                <w:shd w:fill="FFFFFF" w:val="clear"/>
              </w:rPr>
              <w:t>。评估演练情况，分析存在的问题并及时改进，完善提升三级防控体系和“一园一策一图”。</w:t>
            </w:r>
          </w:p>
          <w:p>
            <w:pPr>
              <w:pStyle w:val="null3"/>
              <w:ind w:firstLine="560"/>
              <w:jc w:val="left"/>
            </w:pPr>
            <w:r>
              <w:rPr>
                <w:rFonts w:ascii="仿宋_GB2312" w:hAnsi="仿宋_GB2312" w:cs="仿宋_GB2312" w:eastAsia="仿宋_GB2312"/>
                <w:sz w:val="24"/>
                <w:shd w:fill="FFFFFF" w:val="clear"/>
              </w:rPr>
              <w:t>6.成果交付</w:t>
            </w:r>
          </w:p>
          <w:p>
            <w:pPr>
              <w:pStyle w:val="null3"/>
              <w:ind w:firstLine="560"/>
              <w:jc w:val="both"/>
            </w:pPr>
            <w:r>
              <w:rPr>
                <w:rFonts w:ascii="仿宋_GB2312" w:hAnsi="仿宋_GB2312" w:cs="仿宋_GB2312" w:eastAsia="仿宋_GB2312"/>
                <w:sz w:val="24"/>
                <w:shd w:fill="FFFFFF" w:val="clear"/>
              </w:rPr>
              <w:t>6.1</w:t>
            </w:r>
            <w:r>
              <w:rPr>
                <w:rFonts w:ascii="仿宋_GB2312" w:hAnsi="仿宋_GB2312" w:cs="仿宋_GB2312" w:eastAsia="仿宋_GB2312"/>
                <w:sz w:val="24"/>
                <w:shd w:fill="FFFFFF" w:val="clear"/>
              </w:rPr>
              <w:t>纸质版：全套成果5套；应急指挥图按应急使用要求出图装订；</w:t>
            </w:r>
          </w:p>
          <w:p>
            <w:pPr>
              <w:pStyle w:val="null3"/>
              <w:ind w:firstLine="560"/>
              <w:jc w:val="both"/>
            </w:pPr>
            <w:r>
              <w:rPr>
                <w:rFonts w:ascii="仿宋_GB2312" w:hAnsi="仿宋_GB2312" w:cs="仿宋_GB2312" w:eastAsia="仿宋_GB2312"/>
                <w:sz w:val="24"/>
                <w:shd w:fill="FFFFFF" w:val="clear"/>
              </w:rPr>
              <w:t>6.</w:t>
            </w:r>
            <w:r>
              <w:rPr>
                <w:rFonts w:ascii="仿宋_GB2312" w:hAnsi="仿宋_GB2312" w:cs="仿宋_GB2312" w:eastAsia="仿宋_GB2312"/>
                <w:sz w:val="24"/>
                <w:shd w:fill="FFFFFF" w:val="clear"/>
              </w:rPr>
              <w:t>2电子版：PDF版、可编辑源文件U盘2套；包含各类清单Excel源文件、指挥图源文件、预案、整改方案、演练方案、演练评估报告、台账等全部电子资料；</w:t>
            </w:r>
          </w:p>
          <w:p>
            <w:pPr>
              <w:pStyle w:val="null3"/>
              <w:ind w:firstLine="560"/>
              <w:jc w:val="both"/>
            </w:pPr>
            <w:r>
              <w:rPr>
                <w:rFonts w:ascii="仿宋_GB2312" w:hAnsi="仿宋_GB2312" w:cs="仿宋_GB2312" w:eastAsia="仿宋_GB2312"/>
                <w:sz w:val="24"/>
                <w:shd w:fill="FFFFFF" w:val="clear"/>
              </w:rPr>
              <w:t>6.</w:t>
            </w:r>
            <w:r>
              <w:rPr>
                <w:rFonts w:ascii="仿宋_GB2312" w:hAnsi="仿宋_GB2312" w:cs="仿宋_GB2312" w:eastAsia="仿宋_GB2312"/>
                <w:sz w:val="24"/>
                <w:shd w:fill="FFFFFF" w:val="clear"/>
              </w:rPr>
              <w:t>3全部成果须满足国家、省、市技术指南及督办文件要求，可用于技术评审、主管部门备案、日常管理、应急实战、上级督查考核。</w:t>
            </w:r>
          </w:p>
          <w:p>
            <w:pPr>
              <w:pStyle w:val="null3"/>
              <w:ind w:firstLine="600"/>
              <w:jc w:val="both"/>
            </w:pPr>
            <w:r>
              <w:rPr>
                <w:rFonts w:ascii="仿宋_GB2312" w:hAnsi="仿宋_GB2312" w:cs="仿宋_GB2312" w:eastAsia="仿宋_GB2312"/>
                <w:sz w:val="24"/>
              </w:rPr>
              <w:t>（七）其他要求</w:t>
            </w:r>
          </w:p>
          <w:p>
            <w:pPr>
              <w:pStyle w:val="null3"/>
              <w:ind w:firstLine="600"/>
              <w:jc w:val="both"/>
            </w:pPr>
            <w:r>
              <w:rPr>
                <w:rFonts w:ascii="仿宋_GB2312" w:hAnsi="仿宋_GB2312" w:cs="仿宋_GB2312" w:eastAsia="仿宋_GB2312"/>
                <w:sz w:val="24"/>
              </w:rPr>
              <w:t>1.成交后，供应商派驻一名项目经理和一名技术负责人，对作业过程中的作业进度、服务质量、作业人员管理进行总协调，确保实施措施的落实，按时参加采购人组织的相关会议和活动，服从采购人的工作制度和工作规范。</w:t>
            </w:r>
          </w:p>
          <w:p>
            <w:pPr>
              <w:pStyle w:val="null3"/>
              <w:ind w:firstLine="600"/>
              <w:jc w:val="both"/>
            </w:pPr>
            <w:r>
              <w:rPr>
                <w:rFonts w:ascii="仿宋_GB2312" w:hAnsi="仿宋_GB2312" w:cs="仿宋_GB2312" w:eastAsia="仿宋_GB2312"/>
                <w:sz w:val="24"/>
              </w:rPr>
              <w:t>2.成交供应商应组建工作组，配备安全、环保专业技术人员；根据项目工作需要聘请专家参与项目技术研判、成果评审、问题指导等工作，专家相关全部费用包含在合同总价内。供应商向采购人提供项目计划和安全责任协议等，其内容包括管理机构的设置、各主要岗位的技术和管理员名单、资质、联系方式、项目实施进度安排、技术措施等状况。</w:t>
            </w:r>
          </w:p>
          <w:p>
            <w:pPr>
              <w:pStyle w:val="null3"/>
              <w:ind w:firstLine="600"/>
              <w:jc w:val="both"/>
            </w:pPr>
            <w:r>
              <w:rPr>
                <w:rFonts w:ascii="仿宋_GB2312" w:hAnsi="仿宋_GB2312" w:cs="仿宋_GB2312" w:eastAsia="仿宋_GB2312"/>
                <w:sz w:val="24"/>
              </w:rPr>
              <w:t>3.成交供应商向采购人提交作业过程性资料和工作总结报告，按相关要求执行。</w:t>
            </w:r>
          </w:p>
          <w:p>
            <w:pPr>
              <w:pStyle w:val="null3"/>
              <w:ind w:firstLine="600"/>
              <w:jc w:val="both"/>
            </w:pPr>
            <w:r>
              <w:rPr>
                <w:rFonts w:ascii="仿宋_GB2312" w:hAnsi="仿宋_GB2312" w:cs="仿宋_GB2312" w:eastAsia="仿宋_GB2312"/>
                <w:sz w:val="24"/>
              </w:rPr>
              <w:t>4.</w:t>
            </w:r>
            <w:r>
              <w:rPr>
                <w:rFonts w:ascii="仿宋_GB2312" w:hAnsi="仿宋_GB2312" w:cs="仿宋_GB2312" w:eastAsia="仿宋_GB2312"/>
                <w:sz w:val="24"/>
              </w:rPr>
              <w:t>有各类突发事件的应急预案和措施，有明确具体的承诺。</w:t>
            </w:r>
          </w:p>
          <w:p>
            <w:pPr>
              <w:pStyle w:val="null3"/>
              <w:ind w:firstLine="600"/>
              <w:jc w:val="both"/>
            </w:pPr>
            <w:r>
              <w:rPr>
                <w:rFonts w:ascii="仿宋_GB2312" w:hAnsi="仿宋_GB2312" w:cs="仿宋_GB2312" w:eastAsia="仿宋_GB2312"/>
                <w:sz w:val="24"/>
              </w:rPr>
              <w:t>（八）需执行的国家相关标准、行业标准、地方标准或者其他标准、规范标准</w:t>
            </w:r>
          </w:p>
          <w:p>
            <w:pPr>
              <w:pStyle w:val="null3"/>
              <w:ind w:firstLine="560"/>
              <w:jc w:val="left"/>
            </w:pPr>
            <w:r>
              <w:rPr>
                <w:rFonts w:ascii="仿宋_GB2312" w:hAnsi="仿宋_GB2312" w:cs="仿宋_GB2312" w:eastAsia="仿宋_GB2312"/>
                <w:sz w:val="24"/>
                <w:shd w:fill="FFFFFF" w:val="clear"/>
              </w:rPr>
              <w:t>1.《化工园区突发水污染事件环境应急三级防控体系建设暨“一园一策一图”实施技术指南（试行）》；</w:t>
            </w:r>
          </w:p>
          <w:p>
            <w:pPr>
              <w:pStyle w:val="null3"/>
              <w:ind w:firstLine="560"/>
              <w:jc w:val="left"/>
            </w:pPr>
            <w:r>
              <w:rPr>
                <w:rFonts w:ascii="仿宋_GB2312" w:hAnsi="仿宋_GB2312" w:cs="仿宋_GB2312" w:eastAsia="仿宋_GB2312"/>
                <w:sz w:val="24"/>
                <w:shd w:fill="FFFFFF" w:val="clear"/>
              </w:rPr>
              <w:t>2.《流域突发水污染事件环境应急“南阳实践”实施技术指南》；</w:t>
            </w:r>
          </w:p>
          <w:p>
            <w:pPr>
              <w:pStyle w:val="null3"/>
              <w:ind w:firstLine="560"/>
              <w:jc w:val="left"/>
            </w:pPr>
            <w:r>
              <w:rPr>
                <w:rFonts w:ascii="仿宋_GB2312" w:hAnsi="仿宋_GB2312" w:cs="仿宋_GB2312" w:eastAsia="仿宋_GB2312"/>
                <w:sz w:val="24"/>
                <w:shd w:fill="FFFFFF" w:val="clear"/>
              </w:rPr>
              <w:t>3.HJ 169‑2018《建设项目环境风险评价技术导则》；《企业突发环境事件风险评估指南（试行）》（环办〔2014〕34 号），风险分级执行 HJ 941‑2018《企业突发环境事件风险分级方法》；</w:t>
            </w:r>
          </w:p>
          <w:p>
            <w:pPr>
              <w:pStyle w:val="null3"/>
              <w:ind w:firstLine="560"/>
              <w:jc w:val="left"/>
            </w:pPr>
            <w:r>
              <w:rPr>
                <w:rFonts w:ascii="仿宋_GB2312" w:hAnsi="仿宋_GB2312" w:cs="仿宋_GB2312" w:eastAsia="仿宋_GB2312"/>
                <w:sz w:val="24"/>
                <w:shd w:fill="FFFFFF" w:val="clear"/>
              </w:rPr>
              <w:t>4.GB50014</w:t>
            </w:r>
            <w:r>
              <w:rPr>
                <w:rFonts w:ascii="仿宋_GB2312" w:hAnsi="仿宋_GB2312" w:cs="仿宋_GB2312" w:eastAsia="仿宋_GB2312"/>
                <w:sz w:val="24"/>
                <w:shd w:fill="FFFFFF" w:val="clear"/>
              </w:rPr>
              <w:t>-2021</w:t>
            </w:r>
            <w:r>
              <w:rPr>
                <w:rFonts w:ascii="仿宋_GB2312" w:hAnsi="仿宋_GB2312" w:cs="仿宋_GB2312" w:eastAsia="仿宋_GB2312"/>
                <w:sz w:val="24"/>
                <w:shd w:fill="FFFFFF" w:val="clear"/>
              </w:rPr>
              <w:t>《室外排水设计标准》、</w:t>
            </w:r>
            <w:r>
              <w:rPr>
                <w:rFonts w:ascii="仿宋_GB2312" w:hAnsi="仿宋_GB2312" w:cs="仿宋_GB2312" w:eastAsia="仿宋_GB2312"/>
                <w:sz w:val="24"/>
                <w:shd w:fill="FFFFFF" w:val="clear"/>
              </w:rPr>
              <w:t>GB50160</w:t>
            </w:r>
            <w:r>
              <w:rPr>
                <w:rFonts w:ascii="仿宋_GB2312" w:hAnsi="仿宋_GB2312" w:cs="仿宋_GB2312" w:eastAsia="仿宋_GB2312"/>
                <w:sz w:val="24"/>
                <w:shd w:fill="FFFFFF" w:val="clear"/>
              </w:rPr>
              <w:t>-2018</w:t>
            </w:r>
            <w:r>
              <w:rPr>
                <w:rFonts w:ascii="仿宋_GB2312" w:hAnsi="仿宋_GB2312" w:cs="仿宋_GB2312" w:eastAsia="仿宋_GB2312"/>
                <w:sz w:val="24"/>
                <w:shd w:fill="FFFFFF" w:val="clear"/>
              </w:rPr>
              <w:t>《石油化工企业设计防火标准》、GB/T50483</w:t>
            </w:r>
            <w:r>
              <w:rPr>
                <w:rFonts w:ascii="仿宋_GB2312" w:hAnsi="仿宋_GB2312" w:cs="仿宋_GB2312" w:eastAsia="仿宋_GB2312"/>
                <w:sz w:val="24"/>
                <w:shd w:fill="FFFFFF" w:val="clear"/>
              </w:rPr>
              <w:t>-2019</w:t>
            </w:r>
            <w:r>
              <w:rPr>
                <w:rFonts w:ascii="仿宋_GB2312" w:hAnsi="仿宋_GB2312" w:cs="仿宋_GB2312" w:eastAsia="仿宋_GB2312"/>
                <w:sz w:val="24"/>
                <w:shd w:fill="FFFFFF" w:val="clear"/>
              </w:rPr>
              <w:t>《化工建设项目环境保护工程设计标准</w:t>
            </w:r>
            <w:r>
              <w:rPr>
                <w:rFonts w:ascii="仿宋_GB2312" w:hAnsi="仿宋_GB2312" w:cs="仿宋_GB2312" w:eastAsia="仿宋_GB2312"/>
                <w:sz w:val="24"/>
                <w:shd w:fill="FFFFFF" w:val="clear"/>
              </w:rPr>
              <w:t>》</w:t>
            </w:r>
            <w:r>
              <w:rPr>
                <w:rFonts w:ascii="仿宋_GB2312" w:hAnsi="仿宋_GB2312" w:cs="仿宋_GB2312" w:eastAsia="仿宋_GB2312"/>
                <w:sz w:val="24"/>
                <w:shd w:fill="FFFFFF" w:val="clear"/>
              </w:rPr>
              <w:t>；</w:t>
            </w:r>
          </w:p>
          <w:p>
            <w:pPr>
              <w:pStyle w:val="null3"/>
              <w:ind w:firstLine="560"/>
              <w:jc w:val="left"/>
            </w:pPr>
            <w:r>
              <w:rPr>
                <w:rFonts w:ascii="仿宋_GB2312" w:hAnsi="仿宋_GB2312" w:cs="仿宋_GB2312" w:eastAsia="仿宋_GB2312"/>
                <w:sz w:val="24"/>
                <w:shd w:fill="FFFFFF" w:val="clear"/>
              </w:rPr>
              <w:t>5.T/CPCIF0049-2020《化工园区事故应急设施（池）建设标准》；</w:t>
            </w:r>
          </w:p>
          <w:p>
            <w:pPr>
              <w:pStyle w:val="null3"/>
              <w:ind w:firstLine="560"/>
              <w:jc w:val="left"/>
            </w:pPr>
            <w:r>
              <w:rPr>
                <w:rFonts w:ascii="仿宋_GB2312" w:hAnsi="仿宋_GB2312" w:cs="仿宋_GB2312" w:eastAsia="仿宋_GB2312"/>
                <w:sz w:val="24"/>
                <w:shd w:fill="FFFFFF" w:val="clear"/>
              </w:rPr>
              <w:t>6.《突发环境事件应急管理办法》、《企业事业单位突发环境事件应急预案评审工作指南（试行）》、《环境应急资源调查指南（试行）》；</w:t>
            </w:r>
          </w:p>
          <w:p>
            <w:pPr>
              <w:pStyle w:val="null3"/>
              <w:ind w:firstLine="560"/>
              <w:jc w:val="left"/>
            </w:pPr>
            <w:r>
              <w:rPr>
                <w:rFonts w:ascii="仿宋_GB2312" w:hAnsi="仿宋_GB2312" w:cs="仿宋_GB2312" w:eastAsia="仿宋_GB2312"/>
                <w:sz w:val="24"/>
                <w:shd w:fill="FFFFFF" w:val="clear"/>
              </w:rPr>
              <w:t>7.国家、省、市</w:t>
            </w:r>
            <w:r>
              <w:rPr>
                <w:rFonts w:ascii="仿宋_GB2312" w:hAnsi="仿宋_GB2312" w:cs="仿宋_GB2312" w:eastAsia="仿宋_GB2312"/>
                <w:sz w:val="24"/>
                <w:shd w:fill="FFFFFF" w:val="clear"/>
              </w:rPr>
              <w:t>及地方</w:t>
            </w:r>
            <w:r>
              <w:rPr>
                <w:rFonts w:ascii="仿宋_GB2312" w:hAnsi="仿宋_GB2312" w:cs="仿宋_GB2312" w:eastAsia="仿宋_GB2312"/>
                <w:sz w:val="24"/>
                <w:shd w:fill="FFFFFF" w:val="clear"/>
              </w:rPr>
              <w:t>发布的园区突发水污染三级防控、“一园一策一图”相关督办文件、技术文件；</w:t>
            </w:r>
          </w:p>
          <w:p>
            <w:pPr>
              <w:pStyle w:val="null3"/>
              <w:ind w:firstLine="560"/>
              <w:jc w:val="left"/>
            </w:pPr>
            <w:r>
              <w:rPr>
                <w:rFonts w:ascii="仿宋_GB2312" w:hAnsi="仿宋_GB2312" w:cs="仿宋_GB2312" w:eastAsia="仿宋_GB2312"/>
                <w:sz w:val="24"/>
                <w:shd w:fill="FFFFFF" w:val="clear"/>
              </w:rPr>
              <w:t>以上标准如有更新，执行最新有效版本。成交供应商须保证全部成果符合上述标准规范要求，同时与园区实际现状相匹配，满足评审、备案、上级督查考核实战使用。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根据项目需求配置相应设施设备。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1.在服务范围内按工作内容和要求制定详细的方案，方案科学、合理、可靠。 2.人员配备合理。有针对本项目的专项服务小组，项目负责人、工作人员分工明确（应有具体成员名单，包括姓名、工作职责等） 3.有各类突发事件的应急预案和措施，有明确具体的承诺。 4.供应商所拟派的工作人员，若在服务期间发生任何伤害，采购人概不负责，由供应商自行处理。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渭南市华州区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按采购文件、响应文件等综合指标进行验收。各项成果指标均应符合验收标准及要求。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进度款，项目内容全部完成验收合格后，达到付款条件起10个工作日内，支付合同总金额的60.0%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1.成交单位在成交结果公告发布后3个工作日内提供叁套纸质磋商响应文件（经编标工具生成的文件直接打印并加盖公章），递交的纸质版文件内容确保与线上电子文件保持一致，不允许修改和补充。 2.供应商应根据《政府采购促进中小企业发展管理办法》、《关于印发中小企业划型标准规定的通知》(工信部联企业〔2011〕300号)要求和采购文件中明确的采购标的所属行业进行企业划型。 3.出具磋商保证金交纳凭证或担保机构出具的保函（未按磋商文件要求提供响应无效）。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1.1供应商应具备独立承担民事责任能力的法人、其他组织或自然人，提供合法有效的统一社会信用代码的营业执照副本或相关证明（自然人提供身份证复印件）； 1.2提供具有财务审计资质单位出具的2025年度的财务报告或响应文件提交截止时间前六个月内其基本账户银行出具的资信证明； 1.3供应商提供响应文件提交截止时间前一年内任意一个月的社会保障资金缴存证明或社保机构开具的社会保险参保缴费情况证明； 1.4供应商提供响应文件提交截止时间前一年内任意一个月的依法缴纳税收的相关证明，依法免税需提供相关证明材料； 1.5提供供应商参加政府采购活动前三年内经营活动中没有重大违法记录的书面声明； 1.6提供具有履行合同所必需的设备和专业技术能力的声明。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法定代表人（负责人）或授权代表身份证明</w:t>
            </w:r>
          </w:p>
        </w:tc>
        <w:tc>
          <w:tcPr>
            <w:tcW w:type="dxa" w:w="3322"/>
          </w:tcPr>
          <w:p>
            <w:pPr>
              <w:pStyle w:val="null3"/>
            </w:pPr>
            <w:r>
              <w:rPr>
                <w:rFonts w:ascii="仿宋_GB2312" w:hAnsi="仿宋_GB2312" w:cs="仿宋_GB2312" w:eastAsia="仿宋_GB2312"/>
              </w:rPr>
              <w:t>供应商应授权合法的人员参加磋商全过程，其中法定代表人（负责人）直接参加的，须提供法定代表人（负责人）身份证明，并与营业执照上信息一致。法定代表人（负责人）授权代表参加的，须提供法定代表人（负责人）授权书及授权代表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供应商未列入“信用中国”网站（www.creditchina.gov.cn）失信被执行人、重大税收违法失信主体、政府采购严重违法失信行为记录名单和中国政府采购网（www.ccgp.gov.cn）政府采购严重违法失信行为记录名单。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无直接控股、管理关系承诺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磋商响应文件签署、盖章</w:t>
            </w:r>
          </w:p>
        </w:tc>
        <w:tc>
          <w:tcPr>
            <w:tcW w:type="dxa" w:w="3322"/>
          </w:tcPr>
          <w:p>
            <w:pPr>
              <w:pStyle w:val="null3"/>
            </w:pPr>
            <w:r>
              <w:rPr>
                <w:rFonts w:ascii="仿宋_GB2312" w:hAnsi="仿宋_GB2312" w:cs="仿宋_GB2312" w:eastAsia="仿宋_GB2312"/>
              </w:rPr>
              <w:t>磋商响应文件签署、盖章满足磋商文件的要求。</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服务内容及服务要求应答表 标的清单 报价表 商务应答表.docx 响应函 服务方案.docx 监狱企业的证明文件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投标（响应）有效期</w:t>
            </w:r>
          </w:p>
        </w:tc>
        <w:tc>
          <w:tcPr>
            <w:tcW w:type="dxa" w:w="3322"/>
          </w:tcPr>
          <w:p>
            <w:pPr>
              <w:pStyle w:val="null3"/>
            </w:pPr>
            <w:r>
              <w:rPr>
                <w:rFonts w:ascii="仿宋_GB2312" w:hAnsi="仿宋_GB2312" w:cs="仿宋_GB2312" w:eastAsia="仿宋_GB2312"/>
              </w:rPr>
              <w:t>投标（响应）有效期（90日历天）满足磋商文件的要求。</w:t>
            </w:r>
          </w:p>
        </w:tc>
        <w:tc>
          <w:tcPr>
            <w:tcW w:type="dxa" w:w="1661"/>
          </w:tcPr>
          <w:p>
            <w:pPr>
              <w:pStyle w:val="null3"/>
            </w:pPr>
            <w:r>
              <w:rPr>
                <w:rFonts w:ascii="仿宋_GB2312" w:hAnsi="仿宋_GB2312" w:cs="仿宋_GB2312" w:eastAsia="仿宋_GB2312"/>
              </w:rPr>
              <w:t>商务应答表.docx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供应商磋商报价未出现选择性报价，未超出采购最高限价。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w:t>
            </w:r>
          </w:p>
        </w:tc>
        <w:tc>
          <w:tcPr>
            <w:tcW w:type="dxa" w:w="3322"/>
          </w:tcPr>
          <w:p>
            <w:pPr>
              <w:pStyle w:val="null3"/>
            </w:pPr>
            <w:r>
              <w:rPr>
                <w:rFonts w:ascii="仿宋_GB2312" w:hAnsi="仿宋_GB2312" w:cs="仿宋_GB2312" w:eastAsia="仿宋_GB2312"/>
              </w:rPr>
              <w:t>合同履行期满足或优于采购要求。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响应文件中对合同草案条款未附加采购人难以接受的条件。</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质量标准达到国家现行行业验收规范“合格”标准及磋商文件要求。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磋商响应内容</w:t>
            </w:r>
          </w:p>
        </w:tc>
        <w:tc>
          <w:tcPr>
            <w:tcW w:type="dxa" w:w="3322"/>
          </w:tcPr>
          <w:p>
            <w:pPr>
              <w:pStyle w:val="null3"/>
            </w:pPr>
            <w:r>
              <w:rPr>
                <w:rFonts w:ascii="仿宋_GB2312" w:hAnsi="仿宋_GB2312" w:cs="仿宋_GB2312" w:eastAsia="仿宋_GB2312"/>
              </w:rPr>
              <w:t>供应商提供的货物(服务)无实质性遗漏。</w:t>
            </w:r>
          </w:p>
        </w:tc>
        <w:tc>
          <w:tcPr>
            <w:tcW w:type="dxa" w:w="1661"/>
          </w:tcPr>
          <w:p>
            <w:pPr>
              <w:pStyle w:val="null3"/>
            </w:pPr>
            <w:r>
              <w:rPr>
                <w:rFonts w:ascii="仿宋_GB2312" w:hAnsi="仿宋_GB2312" w:cs="仿宋_GB2312" w:eastAsia="仿宋_GB2312"/>
              </w:rPr>
              <w:t>服务内容及服务要求应答表 商务应答表.docx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对本项目的理解与重难点分析</w:t>
            </w:r>
          </w:p>
        </w:tc>
        <w:tc>
          <w:tcPr>
            <w:tcW w:type="dxa" w:w="2492"/>
          </w:tcPr>
          <w:p>
            <w:pPr>
              <w:pStyle w:val="null3"/>
            </w:pPr>
            <w:r>
              <w:rPr>
                <w:rFonts w:ascii="仿宋_GB2312" w:hAnsi="仿宋_GB2312" w:cs="仿宋_GB2312" w:eastAsia="仿宋_GB2312"/>
              </w:rPr>
              <w:t>一、评审内容：对本项目的理解与重难点分析，包括但不限于：①现状分析；②重难点分析；③对应解决方案等。 二、评审标准：以上3项，以序号①、②、③为项数，内容无缺项且无缺陷的得9分，其中每有一项内容存在缺项扣3分，每项内容中每有一处存在缺陷的扣0.5分，扣完为止，未提供不得分。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针对本项目制定服务方案，包括但不限于：①服务目标、内容及标准；②服务方法及策略；③工作计划和方案；④重点控排检查技术要点；⑤关键技术问题的对策措施；⑥突发情况的应急措施；⑦实施进度保障措施；⑧服务优势等内容 二、评审标准：以上8项，以序号①、②、③、④、⑤、⑥、⑦、⑧为项数，内容无缺项且无缺陷的得24分，其中每有一项内容存在缺项扣3分，每项内容中每有一处存在缺陷的扣0.5分，扣完为止，未提供不得分。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成果质量保障方案</w:t>
            </w:r>
          </w:p>
        </w:tc>
        <w:tc>
          <w:tcPr>
            <w:tcW w:type="dxa" w:w="2492"/>
          </w:tcPr>
          <w:p>
            <w:pPr>
              <w:pStyle w:val="null3"/>
            </w:pPr>
            <w:r>
              <w:rPr>
                <w:rFonts w:ascii="仿宋_GB2312" w:hAnsi="仿宋_GB2312" w:cs="仿宋_GB2312" w:eastAsia="仿宋_GB2312"/>
              </w:rPr>
              <w:t>一、评审内容：供应商针对本项目制定成果质量保障方案，包括但不限于：①质量保障措施；②质量检查措施。 二、评审标准：以上2项，以序号①、②为项数，内容无缺项且无缺陷的得6分，其中每有一项内容存在缺项扣3分，每项内容中每有一处存在缺陷的扣0.5分，扣完为止，未提供不得分。 三、赋分说明：“缺陷”是指套用其他项目方案内容；存在不适用项目实际情况的情形；未能体现出本项目的特点或与本项目实际需求不完全相符；引用科学原理错误以及无法实现的情形；引用的法律法规、标准（方法）或其他规范性文件错误；语言错误或存在歧义，前后内容不一，逻辑错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1、项目负责人：①具备环境相关专业中级及以上职称得5分；②项目负责人每提供一个2023年8月1日至今担任过类似项目负责人的，得2分，满分6分。 注：项目负责人业绩须提供同类型业绩相关证明材料，加盖单位公章。 2、其他技术人员：每提供1名环境或化工相关专业中级及以上职称的得2分，初级职称的得1分，最高得5分。 所有人员需提供职称证、劳动合同或近一年内任意一个月社保缴纳证明，不提供不得分。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提供以下服务承诺：①承诺成果备案完成后，可提供3个月免费技术答疑，针对园区水环境风险、三级防控、应急处置技术支持；②承诺对园区内危化品、水文、企业风险源涉密敏感资料严格保密；项目全部工作结束后，主动删除内部留存全部原始踏勘、企业调研资料，并承担泄密相应赔偿责任。 二、评审标准：以上2项，需提供加盖供应商公章的书面承诺文件，每提供1项有效书面承诺得5分，最高得10分。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8月1日起至响应文件递交截止之日类似项目业绩（不限于环境规划编制、环境类应急预案，事故废水防控类项目编制等），每提供一项有效业绩得3分，最高得15分。注：提供合同复印件或中标（成交）通知书复印件加盖公章。如提供中标（成交）通知书，以中标（成交）通知书发放时间为准；如提供合同，以合同签订日期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满足竞争性磋商文件要求且磋商价格最低的磋商报价为评标基准价，其价格分为满分。其他供应商的价格分统一按照下列公式计算：磋商报价得分=（评标基准价/有效报价）×价格权重（20%）×100。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