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版本号：RH采字【20260412】号20260615003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搅拌摩擦增材制造设备及五轴联动高速精密数控加工中心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RH采字【20260412】号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搅拌摩擦增材制造设备及五轴联动高速精密数控加工中心</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RH采字【20260412】号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搅拌摩擦增材制造设备及五轴联动高速精密数控加工中心</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采购包1：西安理工大学拟购置“搅拌摩擦增材制造设备”1套/台，预算金额130万元。 采购包2：西安理工大学拟购置“五轴联动高速精密数控加工中心”1套/台，预算金额125万元。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采购包1（搅拌摩擦增材制造设备）：属于专门面向中小企业采购。</w:t>
      </w:r>
    </w:p>
    <w:p>
      <w:pPr>
        <w:pStyle w:val="null3"/>
      </w:pPr>
      <w:r>
        <w:rPr>
          <w:rFonts w:ascii="仿宋_GB2312" w:hAnsi="仿宋_GB2312" w:cs="仿宋_GB2312" w:eastAsia="仿宋_GB2312"/>
        </w:rPr>
        <w:t>采购包2（五轴联动高速精密数控加工中心）：属于专门面向中小企业采购。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采购包2：1,250,000.00元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开户银行：工行西安城南科技支行（注明“项目编号（采购包）+保证金”)</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80～400万项目招标代理服务费调整比例按照报价依据的60%计费收取。（以采购包为单位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采购包1：西安理工大学拟购置“搅拌摩擦增材制造设备”1套/台，预算金额130万元。 采购包2：西安理工大学拟购置“五轴联动高速精密数控加工中心”1套/台，预算金额125万元。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搅拌摩擦增材制造设备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五轴联动高速精密数控加工中心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标的名称：搅拌摩擦增材制造设备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1"/>
              </w:rPr>
              <w:t>外形尺寸</w:t>
            </w:r>
            <w:r>
              <w:rPr>
                <w:rFonts w:ascii="仿宋_GB2312" w:hAnsi="仿宋_GB2312" w:cs="仿宋_GB2312" w:eastAsia="仿宋_GB2312"/>
                <w:sz w:val="21"/>
              </w:rPr>
              <w:t>:≥3000 mm（长），≥2500 mm（宽），≥3500 mm（高）；</w:t>
            </w:r>
          </w:p>
          <w:p>
            <w:pPr>
              <w:pStyle w:val="null3"/>
              <w:jc w:val="both"/>
            </w:pPr>
            <w:r>
              <w:rPr>
                <w:rFonts w:ascii="仿宋_GB2312" w:hAnsi="仿宋_GB2312" w:cs="仿宋_GB2312" w:eastAsia="仿宋_GB2312"/>
                <w:sz w:val="20"/>
              </w:rPr>
              <w:t>2、工作台尺寸（长×宽）：1000～1200mm×500～700mm；</w:t>
            </w:r>
          </w:p>
          <w:p>
            <w:pPr>
              <w:pStyle w:val="null3"/>
              <w:jc w:val="both"/>
            </w:pPr>
            <w:r>
              <w:rPr>
                <w:rFonts w:ascii="仿宋_GB2312" w:hAnsi="仿宋_GB2312" w:cs="仿宋_GB2312" w:eastAsia="仿宋_GB2312"/>
                <w:sz w:val="20"/>
              </w:rPr>
              <w:t>3、Z向空间(主轴端面至工作台距离)：120mm～620mm；</w:t>
            </w:r>
          </w:p>
          <w:p>
            <w:pPr>
              <w:pStyle w:val="null3"/>
              <w:jc w:val="both"/>
            </w:pPr>
            <w:r>
              <w:rPr>
                <w:rFonts w:ascii="仿宋_GB2312" w:hAnsi="仿宋_GB2312" w:cs="仿宋_GB2312" w:eastAsia="仿宋_GB2312"/>
                <w:sz w:val="20"/>
              </w:rPr>
              <w:t>4、主轴转速：1500～3500 rpm；</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5、主轴扭矩：500～600 N/m；</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6、主轴顶锻力：≥55 kN；</w:t>
            </w:r>
          </w:p>
          <w:p>
            <w:pPr>
              <w:pStyle w:val="null3"/>
              <w:jc w:val="both"/>
            </w:pPr>
            <w:r>
              <w:rPr>
                <w:rFonts w:ascii="仿宋_GB2312" w:hAnsi="仿宋_GB2312" w:cs="仿宋_GB2312" w:eastAsia="仿宋_GB2312"/>
                <w:sz w:val="20"/>
              </w:rPr>
              <w:t>7、设备各轴行程：X方向≥500 mm；Y方向≥1000 mm；Z方向≥500 mm；</w:t>
            </w:r>
          </w:p>
          <w:p>
            <w:pPr>
              <w:pStyle w:val="null3"/>
              <w:jc w:val="both"/>
            </w:pPr>
            <w:r>
              <w:rPr>
                <w:rFonts w:ascii="仿宋_GB2312" w:hAnsi="仿宋_GB2312" w:cs="仿宋_GB2312" w:eastAsia="仿宋_GB2312"/>
                <w:sz w:val="20"/>
              </w:rPr>
              <w:t>8、各轴空载速度；</w:t>
            </w:r>
          </w:p>
          <w:p>
            <w:pPr>
              <w:pStyle w:val="null3"/>
              <w:jc w:val="both"/>
            </w:pPr>
            <w:r>
              <w:rPr>
                <w:rFonts w:ascii="仿宋_GB2312" w:hAnsi="仿宋_GB2312" w:cs="仿宋_GB2312" w:eastAsia="仿宋_GB2312"/>
                <w:sz w:val="20"/>
              </w:rPr>
              <w:t>8.1 X轴进给速度：≥8 m/min；</w:t>
            </w:r>
          </w:p>
          <w:p>
            <w:pPr>
              <w:pStyle w:val="null3"/>
              <w:jc w:val="both"/>
            </w:pPr>
            <w:r>
              <w:rPr>
                <w:rFonts w:ascii="仿宋_GB2312" w:hAnsi="仿宋_GB2312" w:cs="仿宋_GB2312" w:eastAsia="仿宋_GB2312"/>
                <w:sz w:val="20"/>
              </w:rPr>
              <w:t>8.2 Y轴进给速度：≥8 m/min；</w:t>
            </w:r>
          </w:p>
          <w:p>
            <w:pPr>
              <w:pStyle w:val="null3"/>
              <w:jc w:val="both"/>
            </w:pPr>
            <w:r>
              <w:rPr>
                <w:rFonts w:ascii="仿宋_GB2312" w:hAnsi="仿宋_GB2312" w:cs="仿宋_GB2312" w:eastAsia="仿宋_GB2312"/>
                <w:sz w:val="20"/>
              </w:rPr>
              <w:t>8.3 Z轴进给速度：≥5 m/min；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9、各轴定位精度：0.01～0.03mm/300mm；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10、各轴重复定位精度：0.01～0.03mm/300mm；</w:t>
            </w:r>
          </w:p>
          <w:p>
            <w:pPr>
              <w:pStyle w:val="null3"/>
              <w:jc w:val="both"/>
            </w:pPr>
            <w:r>
              <w:rPr>
                <w:rFonts w:ascii="仿宋_GB2312" w:hAnsi="仿宋_GB2312" w:cs="仿宋_GB2312" w:eastAsia="仿宋_GB2312"/>
                <w:sz w:val="20"/>
              </w:rPr>
              <w:t>11、主轴、增材焊接头冷却方式：水冷，冷却系统制冷量≥3 kW；</w:t>
            </w:r>
          </w:p>
          <w:p>
            <w:pPr>
              <w:pStyle w:val="null3"/>
              <w:jc w:val="both"/>
            </w:pPr>
            <w:r>
              <w:rPr>
                <w:rFonts w:ascii="仿宋_GB2312" w:hAnsi="仿宋_GB2312" w:cs="仿宋_GB2312" w:eastAsia="仿宋_GB2312"/>
                <w:sz w:val="20"/>
              </w:rPr>
              <w:t>12、控制模式：恒压力、恒位移、恒扭矩；</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13、送料速度：≥0.5 m/min；</w:t>
            </w:r>
          </w:p>
          <w:p>
            <w:pPr>
              <w:pStyle w:val="null3"/>
              <w:jc w:val="both"/>
            </w:pPr>
            <w:r>
              <w:rPr>
                <w:rFonts w:ascii="仿宋_GB2312" w:hAnsi="仿宋_GB2312" w:cs="仿宋_GB2312" w:eastAsia="仿宋_GB2312"/>
                <w:sz w:val="20"/>
              </w:rPr>
              <w:t>14、送棒尺寸（方棒）（10～20）mm*（10～20）mm*（300～500）mm；</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15、增材单层高度：(1～5) mm；</w:t>
            </w:r>
          </w:p>
          <w:p>
            <w:pPr>
              <w:pStyle w:val="null3"/>
              <w:jc w:val="both"/>
            </w:pPr>
            <w:r>
              <w:rPr>
                <w:rFonts w:ascii="仿宋_GB2312" w:hAnsi="仿宋_GB2312" w:cs="仿宋_GB2312" w:eastAsia="仿宋_GB2312"/>
                <w:sz w:val="20"/>
              </w:rPr>
              <w:t>16、最大沉积效率≥10 kg/h（铝合金）；</w:t>
            </w:r>
          </w:p>
          <w:p>
            <w:pPr>
              <w:pStyle w:val="null3"/>
            </w:pPr>
            <w:r>
              <w:rPr>
                <w:rFonts w:ascii="仿宋_GB2312" w:hAnsi="仿宋_GB2312" w:cs="仿宋_GB2312" w:eastAsia="仿宋_GB2312"/>
                <w:sz w:val="20"/>
              </w:rPr>
              <w:t>17、搅拌摩擦送棒沉积设备配置参数可视化功能，实时显示并记录压力、下压量、Z轴坐标、电机参数等。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标的名称：五轴联动高速精密数控加工中心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0"/>
                <w:b/>
              </w:rPr>
              <w:t>一、五轴五联动机床：</w:t>
            </w:r>
          </w:p>
          <w:p>
            <w:pPr>
              <w:pStyle w:val="null3"/>
              <w:spacing w:before="105" w:after="105"/>
              <w:jc w:val="both"/>
            </w:pPr>
            <w:r>
              <w:rPr>
                <w:rFonts w:ascii="仿宋_GB2312" w:hAnsi="仿宋_GB2312" w:cs="仿宋_GB2312" w:eastAsia="仿宋_GB2312"/>
                <w:sz w:val="20"/>
              </w:rPr>
              <w:t>★1、直线轴X/Y/Z轴行程：≥500/250/300mm；</w:t>
            </w:r>
          </w:p>
          <w:p>
            <w:pPr>
              <w:pStyle w:val="null3"/>
              <w:spacing w:before="105" w:after="105"/>
              <w:jc w:val="both"/>
            </w:pPr>
            <w:r>
              <w:rPr>
                <w:rFonts w:ascii="仿宋_GB2312" w:hAnsi="仿宋_GB2312" w:cs="仿宋_GB2312" w:eastAsia="仿宋_GB2312"/>
                <w:sz w:val="20"/>
              </w:rPr>
              <w:t>2、摆动轴A（B）轴行程：-120°～90°；旋转轴C轴行程：360°；</w:t>
            </w:r>
          </w:p>
          <w:p>
            <w:pPr>
              <w:pStyle w:val="null3"/>
              <w:spacing w:before="105" w:after="105"/>
              <w:jc w:val="both"/>
            </w:pPr>
            <w:r>
              <w:rPr>
                <w:rFonts w:ascii="仿宋_GB2312" w:hAnsi="仿宋_GB2312" w:cs="仿宋_GB2312" w:eastAsia="仿宋_GB2312"/>
                <w:sz w:val="20"/>
              </w:rPr>
              <w:t>3、工作台尺寸：≥φ250mm；</w:t>
            </w:r>
          </w:p>
          <w:p>
            <w:pPr>
              <w:pStyle w:val="null3"/>
              <w:spacing w:before="105" w:after="105"/>
              <w:jc w:val="both"/>
            </w:pPr>
            <w:r>
              <w:rPr>
                <w:rFonts w:ascii="仿宋_GB2312" w:hAnsi="仿宋_GB2312" w:cs="仿宋_GB2312" w:eastAsia="仿宋_GB2312"/>
                <w:sz w:val="20"/>
              </w:rPr>
              <w:t>4、工作台承重：≥50kg；</w:t>
            </w:r>
          </w:p>
          <w:p>
            <w:pPr>
              <w:pStyle w:val="null3"/>
              <w:spacing w:before="105" w:after="105"/>
              <w:jc w:val="both"/>
            </w:pPr>
            <w:r>
              <w:rPr>
                <w:rFonts w:ascii="仿宋_GB2312" w:hAnsi="仿宋_GB2312" w:cs="仿宋_GB2312" w:eastAsia="仿宋_GB2312"/>
                <w:sz w:val="20"/>
              </w:rPr>
              <w:t>5、快速移动/旋转速度：X/Y/Z轴≥15m/min，A（B）轴≥60rpm，C轴≥100rpm；</w:t>
            </w:r>
          </w:p>
          <w:p>
            <w:pPr>
              <w:pStyle w:val="null3"/>
              <w:spacing w:before="105" w:after="105"/>
              <w:jc w:val="both"/>
            </w:pPr>
            <w:r>
              <w:rPr>
                <w:rFonts w:ascii="仿宋_GB2312" w:hAnsi="仿宋_GB2312" w:cs="仿宋_GB2312" w:eastAsia="仿宋_GB2312"/>
                <w:sz w:val="20"/>
              </w:rPr>
              <w:t>6、切削进给速度：X/Y/Z轴≥10m/min，A（B）轴≥50rpm，C轴≥80rpm；</w:t>
            </w:r>
          </w:p>
          <w:p>
            <w:pPr>
              <w:pStyle w:val="null3"/>
              <w:spacing w:before="105" w:after="105"/>
              <w:jc w:val="both"/>
            </w:pPr>
            <w:r>
              <w:rPr>
                <w:rFonts w:ascii="仿宋_GB2312" w:hAnsi="仿宋_GB2312" w:cs="仿宋_GB2312" w:eastAsia="仿宋_GB2312"/>
                <w:sz w:val="20"/>
              </w:rPr>
              <w:t>★7、机床定位精度：X、Y、Z≤0.003mm；A（B）、C轴≤6″；</w:t>
            </w:r>
          </w:p>
          <w:p>
            <w:pPr>
              <w:pStyle w:val="null3"/>
              <w:spacing w:before="105" w:after="105"/>
              <w:jc w:val="both"/>
            </w:pPr>
            <w:r>
              <w:rPr>
                <w:rFonts w:ascii="仿宋_GB2312" w:hAnsi="仿宋_GB2312" w:cs="仿宋_GB2312" w:eastAsia="仿宋_GB2312"/>
                <w:sz w:val="20"/>
              </w:rPr>
              <w:t>★8、机床重复定位精度：X、Y、Z≤0.002mm；A（B）、C轴≤4″；</w:t>
            </w:r>
          </w:p>
          <w:p>
            <w:pPr>
              <w:pStyle w:val="null3"/>
              <w:spacing w:before="105" w:after="105"/>
              <w:jc w:val="both"/>
            </w:pPr>
            <w:r>
              <w:rPr>
                <w:rFonts w:ascii="仿宋_GB2312" w:hAnsi="仿宋_GB2312" w:cs="仿宋_GB2312" w:eastAsia="仿宋_GB2312"/>
                <w:sz w:val="20"/>
              </w:rPr>
              <w:t>★9、主轴转速≥32000rpm；</w:t>
            </w:r>
          </w:p>
          <w:p>
            <w:pPr>
              <w:pStyle w:val="null3"/>
              <w:spacing w:before="105" w:after="105"/>
              <w:jc w:val="both"/>
            </w:pPr>
            <w:r>
              <w:rPr>
                <w:rFonts w:ascii="仿宋_GB2312" w:hAnsi="仿宋_GB2312" w:cs="仿宋_GB2312" w:eastAsia="仿宋_GB2312"/>
                <w:sz w:val="20"/>
              </w:rPr>
              <w:t>★10、主轴输出功率（S6-60%）≥5kW，输出扭矩（S6-60%）≥2.4Nm；</w:t>
            </w:r>
          </w:p>
          <w:p>
            <w:pPr>
              <w:pStyle w:val="null3"/>
              <w:spacing w:before="105" w:after="105"/>
              <w:jc w:val="both"/>
            </w:pPr>
            <w:r>
              <w:rPr>
                <w:rFonts w:ascii="仿宋_GB2312" w:hAnsi="仿宋_GB2312" w:cs="仿宋_GB2312" w:eastAsia="仿宋_GB2312"/>
                <w:sz w:val="20"/>
              </w:rPr>
              <w:t>11、主轴具备冷却系统或装置，主轴冷却机额定制冷量≥1.8KW，制冷系统工作压力≥4MPa，输出温度范围 5℃～40℃，温度精度±0.1℃。冷媒充注量≥560g；冷却液循环流量≥2.0L/min；</w:t>
            </w:r>
          </w:p>
          <w:p>
            <w:pPr>
              <w:pStyle w:val="null3"/>
              <w:spacing w:before="105" w:after="105"/>
              <w:jc w:val="both"/>
            </w:pPr>
            <w:r>
              <w:rPr>
                <w:rFonts w:ascii="仿宋_GB2312" w:hAnsi="仿宋_GB2312" w:cs="仿宋_GB2312" w:eastAsia="仿宋_GB2312"/>
                <w:sz w:val="20"/>
              </w:rPr>
              <w:t>12、直线轴配光栅尺，旋转轴(摆动轴)配圆光栅或角度编码器；</w:t>
            </w:r>
          </w:p>
          <w:p>
            <w:pPr>
              <w:pStyle w:val="null3"/>
              <w:spacing w:before="105" w:after="105"/>
              <w:jc w:val="both"/>
            </w:pPr>
            <w:r>
              <w:rPr>
                <w:rFonts w:ascii="仿宋_GB2312" w:hAnsi="仿宋_GB2312" w:cs="仿宋_GB2312" w:eastAsia="仿宋_GB2312"/>
                <w:sz w:val="20"/>
              </w:rPr>
              <w:t>13、具备在机测量与补偿功能，单点测量精度≤1.5μm，单点重复精度≤2.5μm；</w:t>
            </w:r>
          </w:p>
          <w:p>
            <w:pPr>
              <w:pStyle w:val="null3"/>
              <w:spacing w:before="105" w:after="105"/>
              <w:jc w:val="both"/>
            </w:pPr>
            <w:r>
              <w:rPr>
                <w:rFonts w:ascii="仿宋_GB2312" w:hAnsi="仿宋_GB2312" w:cs="仿宋_GB2312" w:eastAsia="仿宋_GB2312"/>
                <w:sz w:val="20"/>
              </w:rPr>
              <w:t>14、配置接触式对刀仪，重复测量精度≤0.5μm；</w:t>
            </w:r>
          </w:p>
          <w:p>
            <w:pPr>
              <w:pStyle w:val="null3"/>
              <w:spacing w:before="105" w:after="105"/>
              <w:jc w:val="both"/>
            </w:pPr>
            <w:r>
              <w:rPr>
                <w:rFonts w:ascii="仿宋_GB2312" w:hAnsi="仿宋_GB2312" w:cs="仿宋_GB2312" w:eastAsia="仿宋_GB2312"/>
                <w:sz w:val="20"/>
              </w:rPr>
              <w:t>★15、配置链式刀库，刀库容量：≥35把，刀库可容纳的最大刀具直径：≥50mm；</w:t>
            </w:r>
          </w:p>
          <w:p>
            <w:pPr>
              <w:pStyle w:val="null3"/>
              <w:spacing w:before="105" w:after="105"/>
              <w:jc w:val="both"/>
            </w:pPr>
            <w:r>
              <w:rPr>
                <w:rFonts w:ascii="仿宋_GB2312" w:hAnsi="仿宋_GB2312" w:cs="仿宋_GB2312" w:eastAsia="仿宋_GB2312"/>
                <w:sz w:val="20"/>
              </w:rPr>
              <w:t>16、配备高压清洁枪；</w:t>
            </w:r>
          </w:p>
          <w:p>
            <w:pPr>
              <w:pStyle w:val="null3"/>
              <w:spacing w:before="105" w:after="105"/>
              <w:jc w:val="both"/>
            </w:pPr>
            <w:r>
              <w:rPr>
                <w:rFonts w:ascii="仿宋_GB2312" w:hAnsi="仿宋_GB2312" w:cs="仿宋_GB2312" w:eastAsia="仿宋_GB2312"/>
                <w:sz w:val="20"/>
              </w:rPr>
              <w:t>17、配置自动润滑系统；</w:t>
            </w:r>
          </w:p>
          <w:p>
            <w:pPr>
              <w:pStyle w:val="null3"/>
              <w:spacing w:before="105" w:after="105"/>
              <w:jc w:val="both"/>
            </w:pPr>
            <w:r>
              <w:rPr>
                <w:rFonts w:ascii="仿宋_GB2312" w:hAnsi="仿宋_GB2312" w:cs="仿宋_GB2312" w:eastAsia="仿宋_GB2312"/>
                <w:sz w:val="20"/>
              </w:rPr>
              <w:t>18、配备多功能移动式电子手轮，具备手轮试切功能；</w:t>
            </w:r>
          </w:p>
          <w:p>
            <w:pPr>
              <w:pStyle w:val="null3"/>
              <w:spacing w:before="105" w:after="105"/>
              <w:jc w:val="both"/>
            </w:pPr>
            <w:r>
              <w:rPr>
                <w:rFonts w:ascii="仿宋_GB2312" w:hAnsi="仿宋_GB2312" w:cs="仿宋_GB2312" w:eastAsia="仿宋_GB2312"/>
                <w:sz w:val="20"/>
              </w:rPr>
              <w:t>19、配置全封闭机床防护罩。</w:t>
            </w:r>
          </w:p>
          <w:p>
            <w:pPr>
              <w:pStyle w:val="null3"/>
              <w:spacing w:before="105" w:after="105"/>
              <w:jc w:val="both"/>
            </w:pPr>
            <w:r>
              <w:rPr>
                <w:rFonts w:ascii="仿宋_GB2312" w:hAnsi="仿宋_GB2312" w:cs="仿宋_GB2312" w:eastAsia="仿宋_GB2312"/>
                <w:sz w:val="20"/>
                <w:b/>
              </w:rPr>
              <w:t>二、全闭环控制系统：</w:t>
            </w:r>
          </w:p>
          <w:p>
            <w:pPr>
              <w:pStyle w:val="null3"/>
              <w:spacing w:before="105" w:after="105"/>
              <w:jc w:val="both"/>
            </w:pPr>
            <w:r>
              <w:rPr>
                <w:rFonts w:ascii="仿宋_GB2312" w:hAnsi="仿宋_GB2312" w:cs="仿宋_GB2312" w:eastAsia="仿宋_GB2312"/>
                <w:sz w:val="20"/>
              </w:rPr>
              <w:t>1、具备故障自动诊断功能；</w:t>
            </w:r>
          </w:p>
          <w:p>
            <w:pPr>
              <w:pStyle w:val="null3"/>
              <w:spacing w:before="105" w:after="105"/>
              <w:jc w:val="both"/>
            </w:pPr>
            <w:r>
              <w:rPr>
                <w:rFonts w:ascii="仿宋_GB2312" w:hAnsi="仿宋_GB2312" w:cs="仿宋_GB2312" w:eastAsia="仿宋_GB2312"/>
                <w:sz w:val="20"/>
              </w:rPr>
              <w:t>2、具备 RTCP五轴回转中心补偿功能、刀具圆角半径补偿功能、轴心位置补偿功能、工件位置检测及补偿功能；</w:t>
            </w:r>
          </w:p>
          <w:p>
            <w:pPr>
              <w:pStyle w:val="null3"/>
              <w:spacing w:before="105" w:after="105"/>
              <w:jc w:val="both"/>
            </w:pPr>
            <w:r>
              <w:rPr>
                <w:rFonts w:ascii="仿宋_GB2312" w:hAnsi="仿宋_GB2312" w:cs="仿宋_GB2312" w:eastAsia="仿宋_GB2312"/>
                <w:sz w:val="20"/>
              </w:rPr>
              <w:t>3、控制系统分辨率≤0.0001mm（或0.0001°）；</w:t>
            </w:r>
          </w:p>
          <w:p>
            <w:pPr>
              <w:pStyle w:val="null3"/>
              <w:spacing w:before="105" w:after="105"/>
              <w:jc w:val="both"/>
            </w:pPr>
            <w:r>
              <w:rPr>
                <w:rFonts w:ascii="仿宋_GB2312" w:hAnsi="仿宋_GB2312" w:cs="仿宋_GB2312" w:eastAsia="仿宋_GB2312"/>
                <w:sz w:val="20"/>
              </w:rPr>
              <w:t>4、具备加工路径轨迹显示功能，配备彩色图形显示器（显示器尺寸：≥10寸）；</w:t>
            </w:r>
          </w:p>
          <w:p>
            <w:pPr>
              <w:pStyle w:val="null3"/>
              <w:spacing w:before="105" w:after="105"/>
              <w:jc w:val="both"/>
            </w:pPr>
            <w:r>
              <w:rPr>
                <w:rFonts w:ascii="仿宋_GB2312" w:hAnsi="仿宋_GB2312" w:cs="仿宋_GB2312" w:eastAsia="仿宋_GB2312"/>
                <w:sz w:val="20"/>
              </w:rPr>
              <w:t>5、具备在线测量和测量误差云图显示功能；</w:t>
            </w:r>
          </w:p>
          <w:p>
            <w:pPr>
              <w:pStyle w:val="null3"/>
              <w:spacing w:before="105" w:after="105"/>
              <w:jc w:val="both"/>
            </w:pPr>
            <w:r>
              <w:rPr>
                <w:rFonts w:ascii="仿宋_GB2312" w:hAnsi="仿宋_GB2312" w:cs="仿宋_GB2312" w:eastAsia="仿宋_GB2312"/>
                <w:sz w:val="20"/>
              </w:rPr>
              <w:t>6、具备线性、圆弧、螺旋等插补方式；</w:t>
            </w:r>
          </w:p>
          <w:p>
            <w:pPr>
              <w:pStyle w:val="null3"/>
              <w:spacing w:before="105" w:after="105"/>
              <w:jc w:val="both"/>
            </w:pPr>
            <w:r>
              <w:rPr>
                <w:rFonts w:ascii="仿宋_GB2312" w:hAnsi="仿宋_GB2312" w:cs="仿宋_GB2312" w:eastAsia="仿宋_GB2312"/>
                <w:sz w:val="20"/>
              </w:rPr>
              <w:t>7、具备钻孔、刚性攻丝、铰孔等基本加工方式的固定加工循环；</w:t>
            </w:r>
          </w:p>
          <w:p>
            <w:pPr>
              <w:pStyle w:val="null3"/>
              <w:spacing w:before="105" w:after="105"/>
              <w:jc w:val="both"/>
            </w:pPr>
            <w:r>
              <w:rPr>
                <w:rFonts w:ascii="仿宋_GB2312" w:hAnsi="仿宋_GB2312" w:cs="仿宋_GB2312" w:eastAsia="仿宋_GB2312"/>
                <w:sz w:val="20"/>
              </w:rPr>
              <w:t>8、具备基本数学函数计算功能和逻辑运算功能；</w:t>
            </w:r>
          </w:p>
          <w:p>
            <w:pPr>
              <w:pStyle w:val="null3"/>
              <w:spacing w:before="105" w:after="105"/>
              <w:jc w:val="both"/>
            </w:pPr>
            <w:r>
              <w:rPr>
                <w:rFonts w:ascii="仿宋_GB2312" w:hAnsi="仿宋_GB2312" w:cs="仿宋_GB2312" w:eastAsia="仿宋_GB2312"/>
                <w:sz w:val="20"/>
              </w:rPr>
              <w:t>9、数控系统内存≥2G，硬盘储存容量≥32G（固态硬盘）；</w:t>
            </w:r>
          </w:p>
          <w:p>
            <w:pPr>
              <w:pStyle w:val="null3"/>
              <w:spacing w:before="105" w:after="105"/>
              <w:jc w:val="both"/>
            </w:pPr>
            <w:r>
              <w:rPr>
                <w:rFonts w:ascii="仿宋_GB2312" w:hAnsi="仿宋_GB2312" w:cs="仿宋_GB2312" w:eastAsia="仿宋_GB2312"/>
                <w:sz w:val="20"/>
              </w:rPr>
              <w:t>10、数控系统内置“预制加工”模块，能够执行铣矩形面、铣矩形轮廓、铣圆角矩形轮廓等多项功能；</w:t>
            </w:r>
          </w:p>
          <w:p>
            <w:pPr>
              <w:pStyle w:val="null3"/>
              <w:spacing w:before="105" w:after="105"/>
              <w:jc w:val="both"/>
            </w:pPr>
            <w:r>
              <w:rPr>
                <w:rFonts w:ascii="仿宋_GB2312" w:hAnsi="仿宋_GB2312" w:cs="仿宋_GB2312" w:eastAsia="仿宋_GB2312"/>
                <w:sz w:val="20"/>
              </w:rPr>
              <w:t>11、数控系统内置“设备准备”模块，能够执行暖机、全行程润滑、主轴预热等加工前准备工作；</w:t>
            </w:r>
          </w:p>
          <w:p>
            <w:pPr>
              <w:pStyle w:val="null3"/>
              <w:spacing w:before="105" w:after="105"/>
              <w:jc w:val="both"/>
            </w:pPr>
            <w:r>
              <w:rPr>
                <w:rFonts w:ascii="仿宋_GB2312" w:hAnsi="仿宋_GB2312" w:cs="仿宋_GB2312" w:eastAsia="仿宋_GB2312"/>
                <w:sz w:val="20"/>
              </w:rPr>
              <w:t>12、配备 RS-232 接口或RS-485接口或 USB 接口；</w:t>
            </w:r>
          </w:p>
          <w:p>
            <w:pPr>
              <w:pStyle w:val="null3"/>
            </w:pPr>
            <w:r>
              <w:rPr>
                <w:rFonts w:ascii="仿宋_GB2312" w:hAnsi="仿宋_GB2312" w:cs="仿宋_GB2312" w:eastAsia="仿宋_GB2312"/>
                <w:sz w:val="20"/>
              </w:rPr>
              <w:t>13、配置以太网接口。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进度款，【合同签订后5个工作日内，甲方向乙方预付合同总价的40%。（以此为准）】，达到付款条件起30个工作日内，支付合同总金额的40.0%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进度款，【设备运抵甲方指定地点并经甲方初步验收合格后7个工作日内，甲方向乙方支付合同总价的30%。（以此为准）】，达到付款条件起30个工作日内，支付合同总金额的30.0%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试运行期满，经甲方最终验收合格并签署《验收合格报告》后，乙方开具全额合法有效的增值税专用发票，甲方在7个工作日内向乙方支付合同总价的30%。（以此为准）】，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进度款，【合同签订后5个工作日内，甲方向乙方预付合同总价的40%。（以此为准）】，达到付款条件起30个工作日内，支付合同总金额的40.0%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进度款，【设备运抵甲方指定地点并经甲方初步验收合格后7个工作日内，甲方向乙方支付合同总价的30%。（以此为准）】，达到付款条件起30个工作日内，支付合同总金额的30.0%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试运行期满，经甲方最终验收合格并签署《验收合格报告》后，乙方开具全额合法有效的增值税专用发票，甲方在7个工作日内向乙方支付合同总价的30%。（以此为准）】，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关键参数与投标文件承诺值对比（允许±3%偏差）。 ④最终验收 签署《验收报告》，产品保修期自验收合格之日起算，由中标人提供产品保修文件。 （4）技术资料： 提供必要的技术资料，包含不限于设备操作、使用说明书（手册）；设备维修说明书（手册）；设备零部件清单及设备装箱单；设备安装基础图；设备总图和部件装配图（包括主轴装配图）；设备电气、气动、液压原理图或系统联接图。设备数控系统的编程使用说明书（手册）；设备数控系统维修说明书（手册）；设备数控系统参数说明书（手册）；设备数控系统接口文本及传输软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关键参数与投标文件承诺值对比（允许±3%偏差）。 ④最终验收 签署《验收报告》，产品保修期自验收合格之日起算，由中标人提供产品保修文件。 （4）技术资料： 提供必要的技术资料，包含不限于设备操作、使用说明书（手册）；设备维修说明书（手册）；设备零部件清单及设备装箱单；设备安装基础图；设备总图和部件装配图（包括主轴装配图）；设备电气、气动、液压原理图或系统联接图。设备数控系统的编程使用说明书（手册）；设备数控系统维修说明书（手册）；设备数控系统参数说明书（手册）；设备数控系统接口文本及传输软件； 设备数控系统PLC编程手册及PLC梯形图、报警信息文本等文件资料。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 1、按甲方要求开展产品软硬件操作培训。 2、质保期内乙方每年提供1次清洁保养服务。 3、质保2年 产品保修期（三包期）：自验收合格之日起2年。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产品质保： 1、按甲方要求开展产品软硬件操作培训。 2、质保期内乙方每年提供1次清洁保养服务。 3、质保2年 产品保修期（三包期）：自验收合格之日起2年。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【一】其他说明： 采购包1：运输供应、安装调试等服务包含在总价中。 采购包2：运输供应、安装调试养等服务包含在总价中。 【二】采购标的的安装调试及配套工程、质量保证、售后服务等要求： 采购包1： （1）安装调试要求 安装标准：执行GB50231-2009《机械设备安装工程施工及验收通用规范》； 调试周期：连续72小时无故障运行测试； 人员培训：提供相关操作人员培训资料。 （2）配套工程 基础施工：包含安装设备所需作业车及各种工具（需提前2日做好准备）。 （3）质量保证 设备安装调试终验收合格后，质量保证期，终验收合格之日起, 控制部分（含数控系统、变频系统、驱动系统、测量系统、电机等）为24个月,设备主机为12个月。在质量保证期内免费提供零备件（包含一切易损易耗件在内）及其服务，并应及时有效。 （4）售后服务 制造商应在中国大陆长期设有售后服务维修机构，长期驻有立式加工中心专业服务工程师，能够对用户的服务需求在24小时内予以响应，小故障5日内排除，大故障20日内排除，并有在用户单位有良好的服务质量、信誉和声誉。 采购包2： （1）安装调试要求 安装标准：执行GB50231-2009《机械设备安装工程施工及验收通用规范》； 调试周期：连续72小时无故障运行测试； 人员培训：提供相关操作人员培训资料。 （2）配套工程 基础施工：包含安装设备所需作业车及各种工具（需提前2日做好准备）。 （3）质量保证 设备安装调试终验收合格后，质量保证期，终验收合格之日起, 控制部分（含数控系统、变频系统、驱动系统、测量系统、电机等）为24个月,设备主机为12个月。在质量保证期内免费提供零备件（包含一切易损易耗件在内）及其服务，并应及时有效。 （4）售后服务 制造商应在中国大陆长期设有售后服务维修机构，长期驻有立式加工中心专业服务工程师，能够对用户的服务需求在24小时内予以响应，小故障5日内排除，大故障20日内排除，并有在用户单位有良好的服务质量、信誉和声誉。 【三】投标人可参与多个采购包投标，符合条件的投标人可兼投但不可兼中，每包由一个投标人中标。评标委员会按照采购包1、采购包2的顺序依次开展评审工作。投标人若在前一个采购包评审中得分第一，其后各采购包只参与打分，不参与推荐成交候选供应商。 【四】纸质投标文件要求： （1）中标单位应在中标结果公告发布后5个工作日内提供纸质投标文件三份（正本壹份、副本贰份，分别胶装），投标文件需包含目录、无少页、缺页、连续页码（或单独使用打码器打码）。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中带“★”的指标（5项）并提供佐证材料（加盖投标人公章的国家认可的第三方检测机构出具的检测报告、技术白皮书、官网截图任意一种，不提供或缺漏项视为负偏离），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商务应答表 利益关系承诺书.docx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中带“★”的指标（6项）并提供佐证材料（加盖投标人公章的国家认可的第三方检测机构出具的检测报告、技术白皮书、官网截图任意一种，不提供或缺漏项视为负偏离），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商务应答表 利益关系承诺书.docx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所投产品技术参数清楚、明确并能逐条响应招标文件第三章3.3技术要求中所有参数要求，得35分。其中：未标★项（共14项）满分35分，每项负偏离扣2.5分，扣完为止。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②对接及运输方案：每完全满足一个评审标准得0.5分，满分1.5分；未提供不得分。 ③安装调试方案：每完全满足一个评审标准得0.5分，满分1.5分；未提供不得分。 ④人员、物力调配安排：每完全满足一个评审标准得0.5分，满分1.5分；未提供不得分。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投标人需针对本项目提供质量保证方案。内容包含：①产品性能②使用寿命及效果③全流程质量管控措施④质量保证措施。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①产品性能：每完全满足一个评审标准得0.5分，满分1.5分；未提供不得分。 ②使用寿命及效果：每完全满足一个评审标准得0.5分，满分1.5分；未提供不得分。 ③全流程质量管控措施：每完全满足一个评审标准得0.5分，满分1.5分；未提供不得分。 ④质量保证措施：每完全满足一个评审标准得0.5分，满分1.5分；未提供不得分。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①售后服务范围：每完全满足一个评审标准得0.5分，满分1.5分；未提供不得分。 ②响应时间及方式：每完全满足一个评审标准得0.5分，满分1.5分；未提供不得分。 ③故障处理及补救措施：每完全满足一个评审标准得0.5分，满分1.5分；未提供不得分。 ④定期回访及维护：每完全满足一个评审标准得0.5分，满分1.5分；未提供不得分。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承诺质保期在满足招标文件（2年）要求的基础上，每增加一年得1分，满2分。无承诺不得分。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提供投标人2023年5月1日以来类似项目业绩（以合同签订日期为准），每份合格业绩合同计1分，满分5分。 注：需提供完整业绩合同及对应货款发票（任意一张）复印件，并加盖投标人公章。前述两种证明材料同时提供方可得分，否则不得分。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所投产品技术参数清楚、明确并能逐条响应招标文件第三章3.3技术要求中所有参数要求，得32.5分。其中：未标★项（共26项）满分32.5分，每项负偏离扣1.25分，扣完为止。</w:t>
            </w:r>
          </w:p>
        </w:tc>
        <w:tc>
          <w:tcPr>
            <w:tcW w:type="dxa" w:w="831"/>
          </w:tcPr>
          <w:p>
            <w:pPr>
              <w:pStyle w:val="null3"/>
              <w:jc w:val="right"/>
            </w:pPr>
            <w:r>
              <w:rPr>
                <w:rFonts w:ascii="仿宋_GB2312" w:hAnsi="仿宋_GB2312" w:cs="仿宋_GB2312" w:eastAsia="仿宋_GB2312"/>
              </w:rPr>
              <w:t>32.5000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②对接及运输方案：每完全满足一个评审标准得0.5分，满分1.5分；未提供不得分。 ③安装调试方案：每完全满足一个评审标准得0.5分，满分1.5分；未提供不得分。 ④人员、物力调配安排：每完全满足一个评审标准得0.5分，满分1.5分；未提供不得分。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投标人需针对本项目提供质量保证方案。内容包含：①产品性能②使用寿命及效果③全流程质量管控措施④质量保证措施。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①产品性能：每完全满足一个评审标准得0.5分，满分1.5分；未提供不得分。 ②使用寿命及效果：每完全满足一个评审标准得0.5分，满分1.5分；未提供不得分。 ③全流程质量管控措施：每完全满足一个评审标准得0.5分，满分1.5分；未提供不得分。 ④质量保证措施：每完全满足一个评审标准得0.5分，满分1.5分；未提供不得分。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①售后服务范围：每完全满足一个评审标准得0.5分，满分1.5分；未提供不得分。 ②响应时间及方式：每完全满足一个评审标准得0.5分，满分1.5分；未提供不得分。 ③故障处理及补救措施：每完全满足一个评审标准得0.5分，满分1.5分；未提供不得分。 ④定期回访及维护：每完全满足一个评审标准得0.5分，满分1.5分；未提供不得分。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承诺质保期在满足招标文件（2年）要求的基础上，每增加一年得1.5分，满3分。无承诺不得分。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投标人针对本项目的特点和需求等内容提供增值服务承诺（例如：硬件、软件更新、配件更换服务等增值服务）。经评标委员会评审，每提供一项有实质性提升的承诺得0.5分，满分1.5分。无承诺不得分。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提供投标人2023年5月1日以来类似项目业绩（以合同签订日期为准），每份合格业绩合同计1分，满分5分。 注：需提供完整业绩合同及对应货款发票（任意一张）复印件，并加盖投标人公章。前述两种证明材料同时提供方可得分，否则不得分。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