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版本号：KY2026-3-22320260714001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长安校区西区基础教学楼B段教室改造项目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KY2026-3-223</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长安校区西区基础教学楼B段教室改造项目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KY2026-3-223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长安校区西区基础教学楼B段教室改造项目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本项目为长安校区西区基础教学楼B段教室改造项目，1项，具体详见磋商文件第三章。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采购包1（长安校区西区基础教学楼B段教室改造）：属于专门面向中小企业采购。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7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非法定代表人参加磋商的，须提供法定代表人委托授权书及被授权人身份证及被授权人磋商前六个月内任意一个月（不含磋商当月）在本公司缴纳的社保证明，法定代表人参加磋商时,只需提供法定代表人身份证。</w:t>
      </w:r>
    </w:p>
    <w:p>
      <w:pPr>
        <w:pStyle w:val="null3"/>
      </w:pPr>
      <w:r>
        <w:rPr>
          <w:rFonts w:ascii="仿宋_GB2312" w:hAnsi="仿宋_GB2312" w:cs="仿宋_GB2312" w:eastAsia="仿宋_GB2312"/>
        </w:rPr>
        <w:t>8、专业资质：供应商须具备建筑工程施工总承包三级以上（含三级）资质或建筑装修装饰工程专业承包二级以上（含二级）资质，并具备有效的安全生产许可证</w:t>
      </w:r>
    </w:p>
    <w:p>
      <w:pPr>
        <w:pStyle w:val="null3"/>
      </w:pPr>
      <w:r>
        <w:rPr>
          <w:rFonts w:ascii="仿宋_GB2312" w:hAnsi="仿宋_GB2312" w:cs="仿宋_GB2312" w:eastAsia="仿宋_GB2312"/>
        </w:rPr>
        <w:t>9、项目经理：拟派项目经理具备建筑工程专业二级以上（含二级）注册建造师资格及合法有效的安全生产考核合格证（建安B证），在本单位注册且无其他在建工程（提供无在建工程的承诺函）</w:t>
      </w:r>
    </w:p>
    <w:p>
      <w:pPr>
        <w:pStyle w:val="null3"/>
      </w:pPr>
      <w:r>
        <w:rPr>
          <w:rFonts w:ascii="仿宋_GB2312" w:hAnsi="仿宋_GB2312" w:cs="仿宋_GB2312" w:eastAsia="仿宋_GB2312"/>
        </w:rPr>
        <w:t>10、供应商及项目经理：供应商及项目经理须在“陕西省住房和城乡建设厅”可查询且无不良记录</w:t>
      </w:r>
    </w:p>
    <w:p>
      <w:pPr>
        <w:pStyle w:val="null3"/>
      </w:pPr>
      <w:r>
        <w:rPr>
          <w:rFonts w:ascii="仿宋_GB2312" w:hAnsi="仿宋_GB2312" w:cs="仿宋_GB2312" w:eastAsia="仿宋_GB2312"/>
        </w:rPr>
        <w:t>11、中小企业声明函：提供中小企业声明函。（本项目为专门面向中、小、微型企业采购项目）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贾彤菲、李瑞洁、戈迪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采购包1：838,091.80元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说明：1.在合同签订前必须缴纳，履约保证金缴纳形式：成交供应商应当以支票、汇票、本票、保函等非现金形式缴纳； 2.收款账户： 户名：西安邮电大学 账号：61001723700050000897 行名：中国建设银行西安汇轩路支行； 3.履约保证金的退付：在项目验收合格后退还至成交供应商账户。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金额在50万元以内的按照国家计委关于印发《招标代理服务收费管理暂行办法的通知》(计价格[2002]1980号)的收费标准收取;2、成交金额50万及以上的采购项目按国家计委关于印发《采购代理服务收费管理暂行办法的通知》(计价格[2002]1980号)规定的标准下浮20%收取；3、本项目代理服务费按工程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踏勘时间：2026-07-22 09:30:00</w:t>
            </w:r>
          </w:p>
          <w:p>
            <w:pPr>
              <w:pStyle w:val="null3"/>
              <w:ind w:firstLine="975"/>
            </w:pPr>
            <w:r>
              <w:rPr>
                <w:rFonts w:ascii="仿宋_GB2312" w:hAnsi="仿宋_GB2312" w:cs="仿宋_GB2312" w:eastAsia="仿宋_GB2312"/>
              </w:rPr>
              <w:t>踏勘地点：西安邮电大学长安校区西区北门，踏勘须携带：已获取磋商文件的回执函。</w:t>
            </w:r>
          </w:p>
          <w:p>
            <w:pPr>
              <w:pStyle w:val="null3"/>
              <w:ind w:firstLine="975"/>
            </w:pPr>
            <w:r>
              <w:rPr>
                <w:rFonts w:ascii="仿宋_GB2312" w:hAnsi="仿宋_GB2312" w:cs="仿宋_GB2312" w:eastAsia="仿宋_GB2312"/>
              </w:rPr>
              <w:t>联系人：贾彤菲</w:t>
            </w:r>
          </w:p>
          <w:p>
            <w:pPr>
              <w:pStyle w:val="null3"/>
              <w:ind w:firstLine="975"/>
            </w:pPr>
            <w:r>
              <w:rPr>
                <w:rFonts w:ascii="仿宋_GB2312" w:hAnsi="仿宋_GB2312" w:cs="仿宋_GB2312" w:eastAsia="仿宋_GB2312"/>
              </w:rPr>
              <w:t>联系电话号码：029-81206622-833</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西安邮电大学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根据磋商文件及响应文件约定执行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联系人：贾彤菲、李瑞洁、戈迪</w:t>
      </w:r>
    </w:p>
    <w:p>
      <w:pPr>
        <w:pStyle w:val="null3"/>
      </w:pPr>
      <w:r>
        <w:rPr>
          <w:rFonts w:ascii="仿宋_GB2312" w:hAnsi="仿宋_GB2312" w:cs="仿宋_GB2312" w:eastAsia="仿宋_GB2312"/>
        </w:rPr>
        <w:t>联系电话：029-81206622-833</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838,091.80</w:t>
      </w:r>
    </w:p>
    <w:p>
      <w:pPr>
        <w:pStyle w:val="null3"/>
      </w:pPr>
      <w:r>
        <w:rPr>
          <w:rFonts w:ascii="仿宋_GB2312" w:hAnsi="仿宋_GB2312" w:cs="仿宋_GB2312" w:eastAsia="仿宋_GB2312"/>
        </w:rPr>
        <w:t>采购包最高限价（元）: 838,091.80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长安校区西区基础教学楼B段教室改造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838,091.80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标的名称：长安校区西区基础教学楼B段教室改造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1、项目名称：西安邮电大学长安校区西区基础教学楼B段教室改造项目</w:t>
            </w:r>
            <w:r>
              <w:br/>
            </w:r>
            <w:r>
              <w:rPr>
                <w:rFonts w:ascii="仿宋_GB2312" w:hAnsi="仿宋_GB2312" w:cs="仿宋_GB2312" w:eastAsia="仿宋_GB2312"/>
              </w:rPr>
              <w:t xml:space="preserve"> 2、工期：2026年8月20日之前完工。</w:t>
            </w:r>
            <w:r>
              <w:br/>
            </w:r>
            <w:r>
              <w:rPr>
                <w:rFonts w:ascii="仿宋_GB2312" w:hAnsi="仿宋_GB2312" w:cs="仿宋_GB2312" w:eastAsia="仿宋_GB2312"/>
              </w:rPr>
              <w:t xml:space="preserve"> 3、施工地点：西安邮电大学指定地点。</w:t>
            </w:r>
            <w:r>
              <w:br/>
            </w:r>
            <w:r>
              <w:rPr>
                <w:rFonts w:ascii="仿宋_GB2312" w:hAnsi="仿宋_GB2312" w:cs="仿宋_GB2312" w:eastAsia="仿宋_GB2312"/>
              </w:rPr>
              <w:t xml:space="preserve"> 4、质保期：项目质保2年。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二、清单编制依据</w:t>
            </w:r>
            <w:r>
              <w:br/>
            </w:r>
            <w:r>
              <w:rPr>
                <w:rFonts w:ascii="仿宋_GB2312" w:hAnsi="仿宋_GB2312" w:cs="仿宋_GB2312" w:eastAsia="仿宋_GB2312"/>
              </w:rPr>
              <w:t xml:space="preserve"> 1、送审预算清单；</w:t>
            </w:r>
            <w:r>
              <w:br/>
            </w:r>
            <w:r>
              <w:rPr>
                <w:rFonts w:ascii="仿宋_GB2312" w:hAnsi="仿宋_GB2312" w:cs="仿宋_GB2312" w:eastAsia="仿宋_GB2312"/>
              </w:rPr>
              <w:t xml:space="preserve"> 2、答疑沟通回复；</w:t>
            </w:r>
            <w:r>
              <w:br/>
            </w:r>
            <w:r>
              <w:rPr>
                <w:rFonts w:ascii="仿宋_GB2312" w:hAnsi="仿宋_GB2312" w:cs="仿宋_GB2312" w:eastAsia="仿宋_GB2312"/>
              </w:rPr>
              <w:t xml:space="preserve"> 3、《陕西省建筑工程工程量清单计价规则（2025）》、《陕西省建筑工程工程量清单计价费率》及其他相关的计价依据；</w:t>
            </w:r>
            <w:r>
              <w:br/>
            </w:r>
            <w:r>
              <w:rPr>
                <w:rFonts w:ascii="仿宋_GB2312" w:hAnsi="仿宋_GB2312" w:cs="仿宋_GB2312" w:eastAsia="仿宋_GB2312"/>
              </w:rPr>
              <w:t xml:space="preserve"> 4、与本工程项目有关的标准、施工规范和验收规范；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三、相关说明</w:t>
            </w:r>
            <w:r>
              <w:br/>
            </w:r>
            <w:r>
              <w:rPr>
                <w:rFonts w:ascii="仿宋_GB2312" w:hAnsi="仿宋_GB2312" w:cs="仿宋_GB2312" w:eastAsia="仿宋_GB2312"/>
              </w:rPr>
              <w:t xml:space="preserve"> 1、采用广联达GCCP7.0【版本号：7.5000.23.3】；</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四、工程量清单：详见工程量清单附件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施工要求的质量标准：达到现行“合格”标准，符合国家、行业、地方规定以及磋商文件规定的质量和安全标准要求。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付款方式： 工程完成后，供应商报采购人及监理进行初验，初验合格后，供应商向采购人申请正式验收，采购人收到申请后组织相关专业人员对项目进行验收，验收合格后甲方支付到合同金额50%的工程款。（2）供应商向采购人报送结算资料，经采购人审计结算且供应商确认结算金额后，甲方付款至结算审定金额的97%，待质保期满且无质量问题后付款至结算审定金额的100%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1、本项目落实的政府采购政策：（1）《政府采购促进中小企业发展管理办法》的通知--财库〔2020〕46号；（2）财政部司法部关于政府采购支持监狱企业发展有关问题的通知--财库[2014]68号；（3）《财政部 发展改革委 生态环境部 市场监管总局关于调整优化节能产品 环境标志产品政府采购执行机制的通知》（财库〔2019〕9号）；（4）《关于促进残疾人就业政府采购政策的通知》（财库[2017]141号）；（5）《陕西省财政厅关于加快推进我省中小企业政府采购信用融资工作的通知》（陕财办采〔2020〕15 号）；（6）《陕西省中小企业政府采购信用融资办法》陕财办采〔2018〕23号；（7）《关于运用政府采购政策支持乡村产业振兴的通知》（财库〔2021〕19 号）；（8）《关于进一步加大政府采购支持中小企业力度的通知》（财库〔2022〕19号）；（9）《陕西省财政厅关于进一步落实政府采购支持中小企业相关政策的通知》（陕财办采〔2023〕3号）；（10）《关于推动解决政府采购异常低价问题的通知》；（11）《国务院办公厅关于在政府采购中实施本国产品标准及相关政策的通知》；（12）若享受以上政策优惠的企业，提供相应声明函或品目范围内产品有效认证证书。如有最新颁布的政府采购政策，按最新的文件执行。 2、保证金的退还：自成交通知书发出之日起5个工作日内退还未成交供应商的磋商保证金,自采购合同签订之日起5个工作日内退还成交供应商的投标保证金。 3、磋商文件中所有的商务要求均为实质性要求，供应商必须响应并满足。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非法定代表人参加磋商的，须提供法定代表人委托授权书及被授权人身份证及被授权人磋商前六个月内任意一个月（不含磋商当月）在本公司缴纳的社保证明，法定代表人参加磋商时,只需提供法定代表人身份证。</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专业资质</w:t>
            </w:r>
          </w:p>
        </w:tc>
        <w:tc>
          <w:tcPr>
            <w:tcW w:type="dxa" w:w="3322"/>
          </w:tcPr>
          <w:p>
            <w:pPr>
              <w:pStyle w:val="null3"/>
            </w:pPr>
            <w:r>
              <w:rPr>
                <w:rFonts w:ascii="仿宋_GB2312" w:hAnsi="仿宋_GB2312" w:cs="仿宋_GB2312" w:eastAsia="仿宋_GB2312"/>
              </w:rPr>
              <w:t>供应商须具备建筑工程施工总承包三级以上（含三级）资质或建筑装修装饰工程专业承包二级以上（含二级）资质，并具备有效的安全生产许可证</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拟派项目经理具备建筑工程专业二级以上（含二级）注册建造师资格及合法有效的安全生产考核合格证（建安B证），在本单位注册且无其他在建工程（提供无在建工程的承诺函）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供应商及项目经理</w:t>
            </w:r>
          </w:p>
        </w:tc>
        <w:tc>
          <w:tcPr>
            <w:tcW w:type="dxa" w:w="3322"/>
          </w:tcPr>
          <w:p>
            <w:pPr>
              <w:pStyle w:val="null3"/>
            </w:pPr>
            <w:r>
              <w:rPr>
                <w:rFonts w:ascii="仿宋_GB2312" w:hAnsi="仿宋_GB2312" w:cs="仿宋_GB2312" w:eastAsia="仿宋_GB2312"/>
              </w:rPr>
              <w:t>供应商及项目经理须在“陕西省住房和城乡建设厅”可查询且无不良记录</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磋商小组认为供应商报价明显低于其他实质性响应的供应商报价，有可能影响产品质量或者不能诚信履约的，磋商小组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投标人（法定名称）电子印章，在磋商小组要求的时间内通过项目电子化交易系统进行提交，否则提交的相关证明材料无效。供应商不能证明其投标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已标价工程量清单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响应文件的项目工期、质保期、付款方式等商务内容符合磋商文件要求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技术服务合同条款及其他商务要求应答表 响应函 其他说明.docx 监狱企业的证明文件 供应商资格条件证明文件.docx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有具体的施工方案,施工方案科学合理、详细、完整，可操作性强，能有效指导施工，能满足采购人需要，包括但不限于：①基础教学楼B段教室及公共区域粉刷施工方案；②LED护眼棚灯安装施工方案；③包门窗套施工方案；④ 黑板墙护墙板安装施工方案；⑤垃圾清运及现场管理方案；每有一项缺项扣4分，每有一项内容中有1处缺陷，指项目需求不匹配或不能满足项目实施要求及其他不利于项目实施的扣0.5分，扣完为止，此项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1详细评审--施工方案.docx</w:t>
            </w:r>
          </w:p>
        </w:tc>
      </w:tr>
      <w:tr>
        <w:tc>
          <w:tcPr>
            <w:tcW w:type="dxa" w:w="831"/>
            <w:vMerge/>
          </w:tcPr>
          <w:p/>
        </w:tc>
        <w:tc>
          <w:tcPr>
            <w:tcW w:type="dxa" w:w="1661"/>
          </w:tcPr>
          <w:p>
            <w:pPr>
              <w:pStyle w:val="null3"/>
            </w:pPr>
            <w:r>
              <w:rPr>
                <w:rFonts w:ascii="仿宋_GB2312" w:hAnsi="仿宋_GB2312" w:cs="仿宋_GB2312" w:eastAsia="仿宋_GB2312"/>
              </w:rPr>
              <w:t>施工进度及工期保障措施</w:t>
            </w:r>
          </w:p>
        </w:tc>
        <w:tc>
          <w:tcPr>
            <w:tcW w:type="dxa" w:w="2492"/>
          </w:tcPr>
          <w:p>
            <w:pPr>
              <w:pStyle w:val="null3"/>
            </w:pPr>
            <w:r>
              <w:rPr>
                <w:rFonts w:ascii="仿宋_GB2312" w:hAnsi="仿宋_GB2312" w:cs="仿宋_GB2312" w:eastAsia="仿宋_GB2312"/>
              </w:rPr>
              <w:t>供应商针对本项目有具体的施工进度及工期保障措施，包括：①提供施工进度表或施工网络图；②关键节点、重点难点分析及工序衔接；③确保进度、保证工期的的技术组织措施；每有一项缺项扣2分，每有一项内容中有1处缺陷，指项目需求不匹配或不能满足项目实施要求及其他不利于项目实施的扣0.5分，扣完为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2详细评审--施工进度及工期保障措施.docx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供应商针对本项目制定切实可行的施工质量保证措施，包括：①总体质量控制目标；②分阶段施工的重点难点目标，且对质量控制目标进行合理分解、规划，确保本项目质量标准符合该项目质量要求；③成品保护措施；每有一项缺项扣3分，每有一项内容中有1处缺陷，指项目需求不匹配或不能满足项目实施要求及其他不利于项目实施的扣0.5分，扣完为止，此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3详细评审--施工质量保证措施.docx</w:t>
            </w:r>
          </w:p>
        </w:tc>
      </w:tr>
      <w:tr>
        <w:tc>
          <w:tcPr>
            <w:tcW w:type="dxa" w:w="831"/>
            <w:vMerge/>
          </w:tcPr>
          <w:p/>
        </w:tc>
        <w:tc>
          <w:tcPr>
            <w:tcW w:type="dxa" w:w="1661"/>
          </w:tcPr>
          <w:p>
            <w:pPr>
              <w:pStyle w:val="null3"/>
            </w:pPr>
            <w:r>
              <w:rPr>
                <w:rFonts w:ascii="仿宋_GB2312" w:hAnsi="仿宋_GB2312" w:cs="仿宋_GB2312" w:eastAsia="仿宋_GB2312"/>
              </w:rPr>
              <w:t>安全、文明施工技术组织措施</w:t>
            </w:r>
          </w:p>
        </w:tc>
        <w:tc>
          <w:tcPr>
            <w:tcW w:type="dxa" w:w="2492"/>
          </w:tcPr>
          <w:p>
            <w:pPr>
              <w:pStyle w:val="null3"/>
            </w:pPr>
            <w:r>
              <w:rPr>
                <w:rFonts w:ascii="仿宋_GB2312" w:hAnsi="仿宋_GB2312" w:cs="仿宋_GB2312" w:eastAsia="仿宋_GB2312"/>
              </w:rPr>
              <w:t>供应商针对本项目有安全、文明施工的技术组织措施，包括：①结合工程环境、特点分析安全隐患；②提供有针对性的安全施工管理制度、文明施工、环保施工、防尘降噪等保证防护措施方案；③针对学校特点减少对校内正常活动的安全文明施工举措；每有一项缺项扣2分，每有一项内容中有1处缺陷，指项目需求不匹配或不能满足项目实施要求及其他不利于项目实施的扣0.5分，扣完为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4详细评审--安全、文明施工技术组织措施.docx</w:t>
            </w:r>
          </w:p>
        </w:tc>
      </w:tr>
      <w:tr>
        <w:tc>
          <w:tcPr>
            <w:tcW w:type="dxa" w:w="831"/>
            <w:vMerge/>
          </w:tcPr>
          <w:p/>
        </w:tc>
        <w:tc>
          <w:tcPr>
            <w:tcW w:type="dxa" w:w="1661"/>
          </w:tcPr>
          <w:p>
            <w:pPr>
              <w:pStyle w:val="null3"/>
            </w:pPr>
            <w:r>
              <w:rPr>
                <w:rFonts w:ascii="仿宋_GB2312" w:hAnsi="仿宋_GB2312" w:cs="仿宋_GB2312" w:eastAsia="仿宋_GB2312"/>
              </w:rPr>
              <w:t>劳动力、施工设备配备和材料投入</w:t>
            </w:r>
          </w:p>
        </w:tc>
        <w:tc>
          <w:tcPr>
            <w:tcW w:type="dxa" w:w="2492"/>
          </w:tcPr>
          <w:p>
            <w:pPr>
              <w:pStyle w:val="null3"/>
            </w:pPr>
            <w:r>
              <w:rPr>
                <w:rFonts w:ascii="仿宋_GB2312" w:hAnsi="仿宋_GB2312" w:cs="仿宋_GB2312" w:eastAsia="仿宋_GB2312"/>
              </w:rPr>
              <w:t>供应商针对本项目拟投入：①劳动力安排合理，能有效保证工程工期；②设备配备完善、材料投入符合采购要求；每有一项缺项扣3分，每有一项内容中有1处缺陷，指项目需求不匹配或不能满足项目实施要求及其他不利于项目实施的扣0.5分，扣完为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5详细评审--劳动力、施工设备配备和材料投入.docx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拟派项目组其它管理人员，除拟派项目经理及拟派项目技术负责人以外，至少应包括：施工员1人、资料员1人、材料员1人、安全员1人、质量员1人。 满足以上全部要求的得5分，任意一项不满足要求的得0分。 评审依据：拟派人员须为供应商本单位人员，提供以上人员开标前半年内任意一个月社保（或劳动合同或银行卡工资流水）、身份证和相应专业职称证书或注册证书，其中安全员必须提供安全员C证，评审时以供应商提供加盖公章的证书复印件为准，未提供以上资料的相应人员不予认定和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6详细评审--项目组人员.docx</w:t>
            </w:r>
          </w:p>
        </w:tc>
      </w:tr>
      <w:tr>
        <w:tc>
          <w:tcPr>
            <w:tcW w:type="dxa" w:w="831"/>
            <w:vMerge/>
          </w:tcPr>
          <w:p/>
        </w:tc>
        <w:tc>
          <w:tcPr>
            <w:tcW w:type="dxa" w:w="1661"/>
          </w:tcPr>
          <w:p>
            <w:pPr>
              <w:pStyle w:val="null3"/>
            </w:pPr>
            <w:r>
              <w:rPr>
                <w:rFonts w:ascii="仿宋_GB2312" w:hAnsi="仿宋_GB2312" w:cs="仿宋_GB2312" w:eastAsia="仿宋_GB2312"/>
              </w:rPr>
              <w:t>响应材料</w:t>
            </w:r>
          </w:p>
        </w:tc>
        <w:tc>
          <w:tcPr>
            <w:tcW w:type="dxa" w:w="2492"/>
          </w:tcPr>
          <w:p>
            <w:pPr>
              <w:pStyle w:val="null3"/>
            </w:pPr>
            <w:r>
              <w:rPr>
                <w:rFonts w:ascii="仿宋_GB2312" w:hAnsi="仿宋_GB2312" w:cs="仿宋_GB2312" w:eastAsia="仿宋_GB2312"/>
              </w:rPr>
              <w:t>供应商针对本项目的材料清单（清单内容包括但不限于材料名称、品牌、规格、材质等），提供清单内容完整丰富，使用材料能保障工程质量的计3分；清单内容基本完整，使用材料基本能保障工程质量的计2分；清单内容有欠缺，使用材料不能完全保障工程质量的计1分； 2.如响应材料为节能环保或环境标志产品，提供相关证明材料，每提供1份计1分，满分2分。 （注：节能环保、环境标志产品以经国家确定的认证机构出具的、处于有效期内的节能产品、环境标志产品认证证书为准）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7详细评审--响应材料.docx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供应商质量保修承诺完整，包括：①有售后保障工作服务方案及工作计划；②有保修团队人员配备并具备相关资格证书；③有巡查或复查计划及售后质量保障措施；④对工程维修服务响应时限有明确的承诺；每有一项缺项扣2分，每有一项内容中有1处缺陷，指项目需求不匹配或不能满足项目实施要求及其他不利于项目实施的扣0.5分，扣完为止，此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8详细评审--保修承诺.docx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提供供应商的2023年1月1日至今（以签订日期为准）同类项目业绩完整合同（须提供该项目发票或竣工验收资料），每份计1分，满分5分。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磋商报价采用低价优先法计算，即满足磋商文件要求且最后磋商报价最低的报价为评审基准价，其价格分为满分。其他供应商的价格分统一按照下列公式计算： 磋商报价得分=（评审基准价/磋商报价）×30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详见附件：1详细评审--施工方案.docx</w:t>
      </w:r>
    </w:p>
    <w:p>
      <w:pPr>
        <w:pStyle w:val="null3"/>
        <w:ind w:firstLine="960"/>
      </w:pPr>
      <w:r>
        <w:rPr>
          <w:rFonts w:ascii="仿宋_GB2312" w:hAnsi="仿宋_GB2312" w:cs="仿宋_GB2312" w:eastAsia="仿宋_GB2312"/>
        </w:rPr>
        <w:t>详见附件：2详细评审--施工进度及工期保障措施.docx</w:t>
      </w:r>
    </w:p>
    <w:p>
      <w:pPr>
        <w:pStyle w:val="null3"/>
        <w:ind w:firstLine="960"/>
      </w:pPr>
      <w:r>
        <w:rPr>
          <w:rFonts w:ascii="仿宋_GB2312" w:hAnsi="仿宋_GB2312" w:cs="仿宋_GB2312" w:eastAsia="仿宋_GB2312"/>
        </w:rPr>
        <w:t>详见附件：3详细评审--施工质量保证措施.docx</w:t>
      </w:r>
    </w:p>
    <w:p>
      <w:pPr>
        <w:pStyle w:val="null3"/>
        <w:ind w:firstLine="960"/>
      </w:pPr>
      <w:r>
        <w:rPr>
          <w:rFonts w:ascii="仿宋_GB2312" w:hAnsi="仿宋_GB2312" w:cs="仿宋_GB2312" w:eastAsia="仿宋_GB2312"/>
        </w:rPr>
        <w:t>详见附件：4详细评审--安全、文明施工技术组织措施.docx</w:t>
      </w:r>
    </w:p>
    <w:p>
      <w:pPr>
        <w:pStyle w:val="null3"/>
        <w:ind w:firstLine="960"/>
      </w:pPr>
      <w:r>
        <w:rPr>
          <w:rFonts w:ascii="仿宋_GB2312" w:hAnsi="仿宋_GB2312" w:cs="仿宋_GB2312" w:eastAsia="仿宋_GB2312"/>
        </w:rPr>
        <w:t>详见附件：5详细评审--劳动力、施工设备配备和材料投入.docx</w:t>
      </w:r>
    </w:p>
    <w:p>
      <w:pPr>
        <w:pStyle w:val="null3"/>
        <w:ind w:firstLine="960"/>
      </w:pPr>
      <w:r>
        <w:rPr>
          <w:rFonts w:ascii="仿宋_GB2312" w:hAnsi="仿宋_GB2312" w:cs="仿宋_GB2312" w:eastAsia="仿宋_GB2312"/>
        </w:rPr>
        <w:t>详见附件：6详细评审--项目组人员.docx</w:t>
      </w:r>
    </w:p>
    <w:p>
      <w:pPr>
        <w:pStyle w:val="null3"/>
        <w:ind w:firstLine="960"/>
      </w:pPr>
      <w:r>
        <w:rPr>
          <w:rFonts w:ascii="仿宋_GB2312" w:hAnsi="仿宋_GB2312" w:cs="仿宋_GB2312" w:eastAsia="仿宋_GB2312"/>
        </w:rPr>
        <w:t>详见附件：7详细评审--响应材料.docx</w:t>
      </w:r>
    </w:p>
    <w:p>
      <w:pPr>
        <w:pStyle w:val="null3"/>
        <w:ind w:firstLine="960"/>
      </w:pPr>
      <w:r>
        <w:rPr>
          <w:rFonts w:ascii="仿宋_GB2312" w:hAnsi="仿宋_GB2312" w:cs="仿宋_GB2312" w:eastAsia="仿宋_GB2312"/>
        </w:rPr>
        <w:t>详见附件：8详细评审--保修承诺.docx</w:t>
      </w:r>
    </w:p>
    <w:p>
      <w:pPr>
        <w:pStyle w:val="null3"/>
        <w:ind w:firstLine="960"/>
      </w:pPr>
      <w:r>
        <w:rPr>
          <w:rFonts w:ascii="仿宋_GB2312" w:hAnsi="仿宋_GB2312" w:cs="仿宋_GB2312" w:eastAsia="仿宋_GB2312"/>
        </w:rPr>
        <w:t>详见附件：9详细评审--业绩.docx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详见附件：技术服务合同条款及其他商务要求应答表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