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版本号：DQA-2026048-ZB20260605001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2026年法医硅藻实验室耗材采购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DQA-2026048-ZB</w:t>
      </w:r>
      <w:r>
        <w:br/>
      </w:r>
      <w:r>
        <w:br/>
      </w:r>
      <w:r>
        <w:br/>
      </w:r>
    </w:p>
    <w:p>
      <w:pPr>
        <w:pStyle w:val="null3"/>
        <w:jc w:val="center"/>
        <w:outlineLvl w:val="2"/>
      </w:pPr>
      <w:r>
        <w:rPr>
          <w:rFonts w:ascii="仿宋_GB2312" w:hAnsi="仿宋_GB2312" w:cs="仿宋_GB2312" w:eastAsia="仿宋_GB2312"/>
          <w:sz w:val="28"/>
          <w:b/>
        </w:rPr>
        <w:t>省公安厅机关</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省公安厅机关</w:t>
      </w:r>
      <w:r>
        <w:rPr>
          <w:rFonts w:ascii="仿宋_GB2312" w:hAnsi="仿宋_GB2312" w:cs="仿宋_GB2312" w:eastAsia="仿宋_GB2312"/>
        </w:rPr>
        <w:t>委托，拟对</w:t>
      </w:r>
      <w:r>
        <w:rPr>
          <w:rFonts w:ascii="仿宋_GB2312" w:hAnsi="仿宋_GB2312" w:cs="仿宋_GB2312" w:eastAsia="仿宋_GB2312"/>
        </w:rPr>
        <w:t>2026年法医硅藻实验室耗材采购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DQA-2026048-ZB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2026年法医硅藻实验室耗材采购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刑侦总队2026年法医硅藻实验室耗材采购，详见采购需求。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1、主体资格证明文件：提供有效存续的企业营业执照（副本）/事业单位法人证书/专业服务机构执业许可证/民办非企业单位登记证书等主体资格证明文件，自然人投标提供其身份证明文件。</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总公司给分支机构出具的授权书。招标文件中凡是需要法定代表人盖章之处，非法人单位的负责人均参照执行。</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省公安厅机关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省公安厅机关经办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029-86166900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采购包1：89,988.00元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银行账号：52880188000160793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代理服务费收费标准：定额收取6000元整</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省公安厅机关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省公安厅机关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省公安厅机关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刑侦总队2026年法医硅藻实验室耗材采购，详见采购需求。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89,988.00</w:t>
      </w:r>
    </w:p>
    <w:p>
      <w:pPr>
        <w:pStyle w:val="null3"/>
      </w:pPr>
      <w:r>
        <w:rPr>
          <w:rFonts w:ascii="仿宋_GB2312" w:hAnsi="仿宋_GB2312" w:cs="仿宋_GB2312" w:eastAsia="仿宋_GB2312"/>
        </w:rPr>
        <w:t>采购包最高限价（元）: 89,988.00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89,988.00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color w:val="000000"/>
              </w:rPr>
              <w:t>一、采购清单</w:t>
            </w:r>
            <w:r>
              <w:rPr>
                <w:rFonts w:ascii="仿宋_GB2312" w:hAnsi="仿宋_GB2312" w:cs="仿宋_GB2312" w:eastAsia="仿宋_GB2312"/>
                <w:sz w:val="21"/>
                <w:b/>
                <w:color w:val="000000"/>
              </w:rPr>
              <w:t xml:space="preserve"> </w:t>
            </w:r>
          </w:p>
          <w:tbl>
            <w:tblPr>
              <w:tblBorders>
                <w:top w:val="none" w:color="000000" w:sz="4"/>
                <w:left w:val="none" w:color="000000" w:sz="4"/>
                <w:bottom w:val="none" w:color="000000" w:sz="4"/>
                <w:right w:val="none" w:color="000000" w:sz="4"/>
                <w:insideH w:val="none"/>
                <w:insideV w:val="none"/>
              </w:tblBorders>
            </w:tblPr>
            <w:tblGrid>
              <w:gridCol w:w="164"/>
              <w:gridCol w:w="953"/>
              <w:gridCol w:w="1025"/>
              <w:gridCol w:w="207"/>
              <w:gridCol w:w="204"/>
            </w:tblGrid>
            <w:tr>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产品名称</w:t>
                  </w:r>
                </w:p>
              </w:tc>
              <w:tc>
                <w:tcPr>
                  <w:tcW w:type="dxa" w:w="1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规格型号</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一次性抽滤杯</w:t>
                  </w:r>
                  <w:r>
                    <w:rPr>
                      <w:rFonts w:ascii="仿宋_GB2312" w:hAnsi="仿宋_GB2312" w:cs="仿宋_GB2312" w:eastAsia="仿宋_GB2312"/>
                      <w:sz w:val="22"/>
                      <w:color w:val="000000"/>
                    </w:rPr>
                    <w:t>(有机膜)</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500ml，150个/箱</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一次性抽滤杯</w:t>
                  </w:r>
                  <w:r>
                    <w:rPr>
                      <w:rFonts w:ascii="仿宋_GB2312" w:hAnsi="仿宋_GB2312" w:cs="仿宋_GB2312" w:eastAsia="仿宋_GB2312"/>
                      <w:sz w:val="22"/>
                      <w:color w:val="000000"/>
                    </w:rPr>
                    <w:t>(</w:t>
                  </w:r>
                  <w:r>
                    <w:rPr>
                      <w:rFonts w:ascii="仿宋_GB2312" w:hAnsi="仿宋_GB2312" w:cs="仿宋_GB2312" w:eastAsia="仿宋_GB2312"/>
                      <w:sz w:val="22"/>
                      <w:color w:val="000000"/>
                    </w:rPr>
                    <w:t>水系膜</w:t>
                  </w:r>
                  <w:r>
                    <w:rPr>
                      <w:rFonts w:ascii="仿宋_GB2312" w:hAnsi="仿宋_GB2312" w:cs="仿宋_GB2312" w:eastAsia="仿宋_GB2312"/>
                      <w:sz w:val="22"/>
                      <w:color w:val="000000"/>
                    </w:rPr>
                    <w:t>)</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500ml，150个/箱</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检材存放盒</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1000ml，50只/箱</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电镜样品台</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16202，12.7mm，10个/包</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特种防护眼镜</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X800</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医用橡胶外科手套</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50双/盒</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一次性手术刀</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独立包装</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实验计时器</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50ml离心管</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50支/包</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海绵刷</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360度旋转</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比色管</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100ml</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包埋盒</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250个/盒</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检材切片刀</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R35，50把/盒</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石蜡</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500ml/瓶</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离子溅射</w:t>
                  </w:r>
                  <w:r>
                    <w:rPr>
                      <w:rFonts w:ascii="仿宋_GB2312" w:hAnsi="仿宋_GB2312" w:cs="仿宋_GB2312" w:eastAsia="仿宋_GB2312"/>
                      <w:sz w:val="22"/>
                      <w:color w:val="000000"/>
                    </w:rPr>
                    <w:t>仪靶材</w:t>
                  </w:r>
                  <w:r>
                    <w:rPr>
                      <w:rFonts w:ascii="仿宋_GB2312" w:hAnsi="仿宋_GB2312" w:cs="仿宋_GB2312" w:eastAsia="仿宋_GB2312"/>
                      <w:sz w:val="22"/>
                      <w:color w:val="000000"/>
                    </w:rPr>
                    <w:t>(</w:t>
                  </w:r>
                  <w:r>
                    <w:rPr>
                      <w:rFonts w:ascii="仿宋_GB2312" w:hAnsi="仿宋_GB2312" w:cs="仿宋_GB2312" w:eastAsia="仿宋_GB2312"/>
                      <w:sz w:val="21"/>
                      <w:color w:val="000000"/>
                    </w:rPr>
                    <w:t>核心产品</w:t>
                  </w:r>
                  <w:r>
                    <w:rPr>
                      <w:rFonts w:ascii="仿宋_GB2312" w:hAnsi="仿宋_GB2312" w:cs="仿宋_GB2312" w:eastAsia="仿宋_GB2312"/>
                      <w:sz w:val="21"/>
                      <w:color w:val="000000"/>
                    </w:rPr>
                    <w:t>)</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φ57*0.1mm金靶</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实验废料袋</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50个/包</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5ml塑料吸管</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100支/包</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防毒面具</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3600防毒套装</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无尘实验室清洁布</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9英寸全超细*100片</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微波消解专用消解罐</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zh-50</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超纯水仪净化耗材</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条码打印纸</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50*40*950张*3卷</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野外现场防护服</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分体服半面具套装（多功能）</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现勘防护靴</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尸检病毒检测四联试纸</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25人份/盒，HIV-HCV-TP-HBsAg</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人份</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器械消毒液</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500ml/20瓶/箱</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2ul移液器</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0.2-2ul</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10ul移液器</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1-10ul</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100ul移液器</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10-100ul</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200ul移液器</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20-200ul</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10uL盒装灭菌短吸头</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96支/10盒/5组/箱</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200uL盒装灭菌黄吸头</w:t>
                  </w:r>
                </w:p>
              </w:tc>
              <w:tc>
                <w:tcPr>
                  <w:tcW w:type="dxa" w:w="1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96支/10盒/5组/箱</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bl>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进度款，合同签订后，供应商应向采购人出具书面付款通知（注明开户行及账户信息）以及符合国家财税规定的增值税发票，达到付款条件起10个工作日内，支付合同总金额的80.0%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进度款，项目交付完成并验收合格后，供应商应向采购人出具书面付款通知（注明开户行及账户信息）以及符合国家财税规定的增值税发票，达到付款条件起10个工作日内，支付合同总金额的20.0%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1、符合采购人与中标供应商签订的合同。 2、符合招标文件的技术要求、商务要求。 3、符合国家有关技术规范和标准。 4、所有运输、验收的手续及费用由供应商自行办理和承担，采购人提供相关辅助。</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自到货之日起算不少于6个月。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1）投标人需要在线提交所有通过电子化交易平台实施的政府采购项目的投标文件，同时，线下提交纸质投标文件正本壹份、副本壹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高新区丈八一路1号汇鑫中心D座2206室（陕西德勤招标有限公司）。 3、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deqinjxm@126.com（邮件命名：项目编号）；投标人应在投标文件中附保函扫描件。保函必须由具有开具投标保函资格的单位开具；若中标人违约，开具保函单位承担连带责任；（2）投标保证金的提交金额、时间不满足招标文件要求的，投标无效；（3）未按指定账户提交的，我公司将退回，投标人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提供有效存续的企业营业执照（副本）/事业单位法人证书/专业服务机构执业许可证/民办非企业单位登记证书等主体资格证明文件，自然人投标提供其身份证明文件。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总公司给分支机构出具的授权书。招标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1.评审中出现下列情形之一的，评标委员会应当启动异常低价投标审查程序： 1.1投标报价低于全部通过符合性审查供应商投标报价平均值50%的，即投标报价&lt;全部通过符合性审查供应商投标报价平均值×50%； 1.2投标报价低于通过符合性审查的次低报价供应商投标报价50%的，即投标报价&lt;通过符合性审查的次低报价供应商投标报价×50%； 1.3投标报价低于采购项目最高限价45%的，即投标报价&lt;采购项目最高限价×45%； 1.4评标委员会基于专业判断，认为供应商报价过低，有可能影响产品质量或者不能诚信履约的其他情形。 2.相关法律法规对供应商报价有规定的，从其规定。 3.评标委员会启动异常低价投标审查后，属于（1）中第（1.1）项至第（1.4）项情形的，应当要求相关供应商在30分钟内对投标价格作出解释，提供项目具体成本测算等与报价合理性相关的书面说明及必要的证明材料，包括但不限于原材料成本、人工成本、制造费用等。其中，属于第（1.3）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中国境内生产的组件成本核算基本规则 控股管理关系 法定代表人授权书 投标人应提交的相关资格证明材料 近三年无重大违法、违纪书面声明 产品技术参数表 投标函 残疾人福利性单位声明函 标的清单 关于符合本国产品标准的声明函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完全理解接受招标文件商务条款，并签署商务应答表。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中国境内生产的组件成本核算基本规则 控股管理关系 法定代表人授权书 投标人应提交的相关资格证明材料 近三年无重大违法、违纪书面声明 产品技术参数表 投标函 残疾人福利性单位声明函 标的清单 关于符合本国产品标准的声明函 非联合体不分包投标声明 投标文件封面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所投产品技术参数、性能的满足程度赋分：所投选型科学合理、技术先进，技术参数清晰明确，符合使用要求，数量准确无缺漏项，技术指标和性能优于或完全满足招标文件要求计35分；产品的技术指标基本满足招标文件但有细微负偏差计26分；产品的技术指标基本满足招标文件要求，配置基本完善，技术响应有较多负偏差计17分；产品的选型不合理、功能配置不完善、响应技术指标有缺漏项等计8分；未响应或严重偏离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提供所投产品合法来源渠道证明文件（包括但不限于销售协议、代理协议、原厂授权等）根据佐证材料的可行性及有效程度赋分： 提供证明材料详细具体，科学合理、安全可行，完全满足项目要求的得3分； 提供证明材料不完整详尽但采购需求基本可行得2分； 提供证明材料描述有缺漏且不完整详尽的得1分；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供应商提供针对配送产品质量的保障措施、配送服务质量的保障措施、配送方案等的保障措施进行赋分： 提供方案及各项措施完善、合理可行，完全满足项目需求的的计2分； 提供方案及措施较为完善，基本满足采购需求计1分； 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供应商有完善的管理体系，针对本项目的实施组织机构、人员安排有具体方案，分工合理、责任明确，能确保项目顺利实施： 方案科学、合理、安全可行，完全满足项目要求的得5分； 方案有一定的可行性，基本能满足项目要求的得3分； 方案有较多欠缺的得1分； 未提供方案不计分。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交货方案及产品的运送进度</w:t>
            </w:r>
          </w:p>
        </w:tc>
        <w:tc>
          <w:tcPr>
            <w:tcW w:type="dxa" w:w="2492"/>
          </w:tcPr>
          <w:p>
            <w:pPr>
              <w:pStyle w:val="null3"/>
            </w:pPr>
            <w:r>
              <w:rPr>
                <w:rFonts w:ascii="仿宋_GB2312" w:hAnsi="仿宋_GB2312" w:cs="仿宋_GB2312" w:eastAsia="仿宋_GB2312"/>
              </w:rPr>
              <w:t>根据供应商提供的交货方案及产品的运送进度进行评审： 科学合理、安全可行，完全满足项目要求的得2分； 具有一定的可行性，基本能满足项目要求的得1分；未提供方案不计分。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根据供应商的售后服务方案（包括但不限于：服务标准、质保期满后的承诺等）进行评审： 售后服务有具体、详细、可行的方案及措施，表述明确，能够完全满足采购需求的得5分； 售后服务方案及措施基本可行，基本能够满足采购需求的得3分； 售后服务方案及措施欠缺较多，不能完全满足采购需求的得1分； 未提供方案不计分。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根据供应商提供在质保期内包含但不限于针对试剂耗材临时增加、试剂配送质量及数量不达标等应急方案进行评分： 应急方案详细可行、针对性强，能够确保采购人使用得3分； 应急方案相对完整，具有一定的针对性，基本能够保证采购人使用得2分； 应急方案简单粗略，表述不具体，无法完全保障采购人使用得1分；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投标文件中提供该供应商自2022年1月1日起至今的类似项目业绩证明材料，每提供一份业绩合同得3分，满分为15分，不得重复累计。 注：以合同签订时间为准，供应商应在投标文件中提供业绩合同复印件或扫描件且加盖单位公章。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