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版本号：SR2026-ZB-050620260506001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春泽巷西侧储备地考古勘探清表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SR2026-ZB-0506</w:t>
      </w:r>
      <w:r>
        <w:br/>
      </w:r>
      <w:r>
        <w:br/>
      </w:r>
      <w:r>
        <w:br/>
      </w:r>
    </w:p>
    <w:p>
      <w:pPr>
        <w:pStyle w:val="null3"/>
        <w:jc w:val="center"/>
        <w:outlineLvl w:val="2"/>
      </w:pPr>
      <w:r>
        <w:rPr>
          <w:rFonts w:ascii="仿宋_GB2312" w:hAnsi="仿宋_GB2312" w:cs="仿宋_GB2312" w:eastAsia="仿宋_GB2312"/>
          <w:sz w:val="28"/>
          <w:b/>
        </w:rPr>
        <w:t>西安市未央区谭家街道办事处</w:t>
      </w:r>
    </w:p>
    <w:p>
      <w:pPr>
        <w:pStyle w:val="null3"/>
        <w:jc w:val="center"/>
        <w:outlineLvl w:val="2"/>
      </w:pPr>
      <w:r>
        <w:rPr>
          <w:rFonts w:ascii="仿宋_GB2312" w:hAnsi="仿宋_GB2312" w:cs="仿宋_GB2312" w:eastAsia="仿宋_GB2312"/>
          <w:sz w:val="28"/>
          <w:b/>
        </w:rPr>
        <w:t>赛荣项目管理有限公司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赛荣项目管理有限公司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西安市未央区谭家街道办事处</w:t>
      </w:r>
      <w:r>
        <w:rPr>
          <w:rFonts w:ascii="仿宋_GB2312" w:hAnsi="仿宋_GB2312" w:cs="仿宋_GB2312" w:eastAsia="仿宋_GB2312"/>
        </w:rPr>
        <w:t>委托，拟对</w:t>
      </w:r>
      <w:r>
        <w:rPr>
          <w:rFonts w:ascii="仿宋_GB2312" w:hAnsi="仿宋_GB2312" w:cs="仿宋_GB2312" w:eastAsia="仿宋_GB2312"/>
        </w:rPr>
        <w:t>春泽巷西侧储备地考古勘探清表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SR2026-ZB-0506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春泽巷西侧储备地考古勘探清表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春泽巷西侧储备地考古勘探清表实施范围内建筑物拆除、杂填土挖除、垃圾清运、场地平整等。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采购包1（春泽巷西侧储备地考古勘探清表）：属于专门面向中小企业采购。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1、营业执照等主体资格证明文件：供应商须具有独立承担民事责任能力的法人、其他组织或自然人，并出具合法有效的营业执照或事业单位法人证书等国家规定的相关证明，自然人参与的提供其身份证明；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信用记录：供应商不得为列入信用中国(www.creditchina.gov.cn)的重大税收违法失信主体名单或中国执行信息公开网（http：//zxgk.court.gov.cn/shixin/）的失信被执行人名单记录或中国政府采购网(www.ccgp.gov.cn)的政府采购严重违法失信行为记录名单；（以采购代理机构开标当天查询结果为准）</w:t>
      </w:r>
    </w:p>
    <w:p>
      <w:pPr>
        <w:pStyle w:val="null3"/>
      </w:pPr>
      <w:r>
        <w:rPr>
          <w:rFonts w:ascii="仿宋_GB2312" w:hAnsi="仿宋_GB2312" w:cs="仿宋_GB2312" w:eastAsia="仿宋_GB2312"/>
        </w:rPr>
        <w:t>3、法定代表人身份证明或法定代表人授权代表参加磋商：供应商应授权合法的人员参加磋商全过程，其中法定代表人直接参加磋商的，须出具法定代表人身份证明、法人身份证原件及复印件；法定代表人授权代表参加磋商的，须出具法定代表人授权书、授权代表身份证原件及复印件，同时须提供授权代表开标前三个月中任意一个月的本单位社保缴费证明；</w:t>
      </w:r>
    </w:p>
    <w:p>
      <w:pPr>
        <w:pStyle w:val="null3"/>
      </w:pPr>
      <w:r>
        <w:rPr>
          <w:rFonts w:ascii="仿宋_GB2312" w:hAnsi="仿宋_GB2312" w:cs="仿宋_GB2312" w:eastAsia="仿宋_GB2312"/>
        </w:rPr>
        <w:t>4、资质要求：供应商须具备建设部门颁发有效的建筑工程施工总承包三级（含三级）以上资质，同时具备建设行政主管部门颁发有效的安全生产许可证。</w:t>
      </w:r>
    </w:p>
    <w:p>
      <w:pPr>
        <w:pStyle w:val="null3"/>
      </w:pPr>
      <w:r>
        <w:rPr>
          <w:rFonts w:ascii="仿宋_GB2312" w:hAnsi="仿宋_GB2312" w:cs="仿宋_GB2312" w:eastAsia="仿宋_GB2312"/>
        </w:rPr>
        <w:t>5、拟派项目经理资质要求：供应商拟派项目经理具备合法有效的建筑工程专业二级（含二级）以上注册建造师执业资格和安全生产考核合格证书（安全B证），在本单位注册且无在建工程（提供承诺书）；</w:t>
      </w:r>
    </w:p>
    <w:p>
      <w:pPr>
        <w:pStyle w:val="null3"/>
      </w:pPr>
      <w:r>
        <w:rPr>
          <w:rFonts w:ascii="仿宋_GB2312" w:hAnsi="仿宋_GB2312" w:cs="仿宋_GB2312" w:eastAsia="仿宋_GB2312"/>
        </w:rPr>
        <w:t>6、供应商及项目经理基本信息在“陕西省住房和城乡建设厅”和“全国建筑市场监管公共服务平台”可查询：供应商及项目经理基本信息在“陕西省住房和城乡建设厅”和“全国建筑市场监管公共服务平台”上均有备案且可查询（提供截图）</w:t>
      </w:r>
    </w:p>
    <w:p>
      <w:pPr>
        <w:pStyle w:val="null3"/>
      </w:pPr>
      <w:r>
        <w:rPr>
          <w:rFonts w:ascii="仿宋_GB2312" w:hAnsi="仿宋_GB2312" w:cs="仿宋_GB2312" w:eastAsia="仿宋_GB2312"/>
        </w:rPr>
        <w:t>7、关联关系承诺书：与采购人存在利害关系可能影响采购公正性的单位，不得参加磋商；单位负责人为同一人或存在控股、管理关系的不同单位，不得参加同一标段磋商；否则，相关投标均无效；</w:t>
      </w:r>
    </w:p>
    <w:p>
      <w:pPr>
        <w:pStyle w:val="null3"/>
      </w:pPr>
      <w:r>
        <w:rPr>
          <w:rFonts w:ascii="仿宋_GB2312" w:hAnsi="仿宋_GB2312" w:cs="仿宋_GB2312" w:eastAsia="仿宋_GB2312"/>
        </w:rPr>
        <w:t>8、联合体磋商：本项目不接受联合体磋商。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西安市未央区谭家街道办事处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未央区渭滨街158号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13891944404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赛荣项目管理有限公司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陕西省西安市未央区太华北路899号安徽大厦9层902室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薛昌宁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029-89292503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采购包1：2,804,547.56元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布《招标代理服务收费管理暂行办法》（计价格[2002]1980号）和国家发展和改革委员会办公厅颁发的《关于招标代理服务收费有关问题的通知》（发改办价格[2003]857号）文件规定执行</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西安市未央区谭家街道办事处</w:t>
      </w:r>
      <w:r>
        <w:rPr>
          <w:rFonts w:ascii="仿宋_GB2312" w:hAnsi="仿宋_GB2312" w:cs="仿宋_GB2312" w:eastAsia="仿宋_GB2312"/>
        </w:rPr>
        <w:t>和</w:t>
      </w:r>
      <w:r>
        <w:rPr>
          <w:rFonts w:ascii="仿宋_GB2312" w:hAnsi="仿宋_GB2312" w:cs="仿宋_GB2312" w:eastAsia="仿宋_GB2312"/>
        </w:rPr>
        <w:t>赛荣项目管理有限公司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西安市未央区谭家街道办事处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赛荣项目管理有限公司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西安市未央区谭家街道办事处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赛荣项目管理有限公司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一、根据采购人、采购文件要求及合同约定执行，达到现行施工质量验收规范“合格”标准。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赛荣项目管理有限公司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赛荣项目管理有限公司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赛荣项目管理有限公司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联系人：薛昌宁</w:t>
      </w:r>
    </w:p>
    <w:p>
      <w:pPr>
        <w:pStyle w:val="null3"/>
      </w:pPr>
      <w:r>
        <w:rPr>
          <w:rFonts w:ascii="仿宋_GB2312" w:hAnsi="仿宋_GB2312" w:cs="仿宋_GB2312" w:eastAsia="仿宋_GB2312"/>
        </w:rPr>
        <w:t>联系电话：029-89292503</w:t>
      </w:r>
    </w:p>
    <w:p>
      <w:pPr>
        <w:pStyle w:val="null3"/>
      </w:pPr>
      <w:r>
        <w:rPr>
          <w:rFonts w:ascii="仿宋_GB2312" w:hAnsi="仿宋_GB2312" w:cs="仿宋_GB2312" w:eastAsia="仿宋_GB2312"/>
        </w:rPr>
        <w:t>地址：陕西省西安市未央区太华北路899号安徽大厦9层902室赛荣项目管理有限公司</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2,804,547.56</w:t>
      </w:r>
    </w:p>
    <w:p>
      <w:pPr>
        <w:pStyle w:val="null3"/>
      </w:pPr>
      <w:r>
        <w:rPr>
          <w:rFonts w:ascii="仿宋_GB2312" w:hAnsi="仿宋_GB2312" w:cs="仿宋_GB2312" w:eastAsia="仿宋_GB2312"/>
        </w:rPr>
        <w:t>采购包最高限价（元）: 2,804,547.56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春泽巷西侧储备地考古勘探清表</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2,804,547.56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标的名称：春泽巷西侧储备地考古勘探清表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工程名称</w:t>
            </w:r>
            <w:r>
              <w:rPr>
                <w:rFonts w:ascii="仿宋_GB2312" w:hAnsi="仿宋_GB2312" w:cs="仿宋_GB2312" w:eastAsia="仿宋_GB2312"/>
              </w:rPr>
              <w:t>:</w:t>
            </w:r>
            <w:r>
              <w:rPr>
                <w:rFonts w:ascii="仿宋_GB2312" w:hAnsi="仿宋_GB2312" w:cs="仿宋_GB2312" w:eastAsia="仿宋_GB2312"/>
              </w:rPr>
              <w:t>春泽巷西侧储备地考古勘探清表</w:t>
            </w:r>
            <w:r>
              <w:rPr>
                <w:rFonts w:ascii="仿宋_GB2312" w:hAnsi="仿宋_GB2312" w:cs="仿宋_GB2312" w:eastAsia="仿宋_GB2312"/>
              </w:rPr>
              <w:t>费用</w:t>
            </w:r>
          </w:p>
          <w:p>
            <w:pPr>
              <w:pStyle w:val="null3"/>
            </w:pPr>
            <w:r>
              <w:rPr>
                <w:rFonts w:ascii="仿宋_GB2312" w:hAnsi="仿宋_GB2312" w:cs="仿宋_GB2312" w:eastAsia="仿宋_GB2312"/>
              </w:rPr>
              <w:t>工程地址</w:t>
            </w:r>
            <w:r>
              <w:rPr>
                <w:rFonts w:ascii="仿宋_GB2312" w:hAnsi="仿宋_GB2312" w:cs="仿宋_GB2312" w:eastAsia="仿宋_GB2312"/>
              </w:rPr>
              <w:t>:未央区凤城八路以北、张家堡村以东、鱼藻路以西、春泽巷以西。</w:t>
            </w:r>
          </w:p>
          <w:p>
            <w:pPr>
              <w:pStyle w:val="null3"/>
            </w:pPr>
            <w:r>
              <w:rPr>
                <w:rFonts w:ascii="仿宋_GB2312" w:hAnsi="仿宋_GB2312" w:cs="仿宋_GB2312" w:eastAsia="仿宋_GB2312"/>
              </w:rPr>
              <w:t>主要内容</w:t>
            </w:r>
            <w:r>
              <w:rPr>
                <w:rFonts w:ascii="仿宋_GB2312" w:hAnsi="仿宋_GB2312" w:cs="仿宋_GB2312" w:eastAsia="仿宋_GB2312"/>
              </w:rPr>
              <w:t>:实施范围内建筑物拆除、杂填土挖除、垃圾清运、场地平整等。</w:t>
            </w:r>
          </w:p>
          <w:p>
            <w:pPr>
              <w:pStyle w:val="null3"/>
            </w:pPr>
            <w:r>
              <w:rPr>
                <w:rFonts w:ascii="仿宋_GB2312" w:hAnsi="仿宋_GB2312" w:cs="仿宋_GB2312" w:eastAsia="仿宋_GB2312"/>
              </w:rPr>
              <w:t>二、</w:t>
            </w:r>
            <w:r>
              <w:rPr>
                <w:rFonts w:ascii="仿宋_GB2312" w:hAnsi="仿宋_GB2312" w:cs="仿宋_GB2312" w:eastAsia="仿宋_GB2312"/>
              </w:rPr>
              <w:t>工期</w:t>
            </w:r>
            <w:r>
              <w:rPr>
                <w:rFonts w:ascii="仿宋_GB2312" w:hAnsi="仿宋_GB2312" w:cs="仿宋_GB2312" w:eastAsia="仿宋_GB2312"/>
              </w:rPr>
              <w:t>：</w:t>
            </w:r>
            <w:r>
              <w:rPr>
                <w:rFonts w:ascii="仿宋_GB2312" w:hAnsi="仿宋_GB2312" w:cs="仿宋_GB2312" w:eastAsia="仿宋_GB2312"/>
              </w:rPr>
              <w:t>自进场之日起</w:t>
            </w:r>
            <w:r>
              <w:rPr>
                <w:rFonts w:ascii="仿宋_GB2312" w:hAnsi="仿宋_GB2312" w:cs="仿宋_GB2312" w:eastAsia="仿宋_GB2312"/>
              </w:rPr>
              <w:t>60个日历日竣工。</w:t>
            </w:r>
          </w:p>
          <w:p>
            <w:pPr>
              <w:pStyle w:val="null3"/>
            </w:pPr>
            <w:r>
              <w:rPr>
                <w:rFonts w:ascii="仿宋_GB2312" w:hAnsi="仿宋_GB2312" w:cs="仿宋_GB2312" w:eastAsia="仿宋_GB2312"/>
              </w:rPr>
              <w:t>三、</w:t>
            </w:r>
            <w:r>
              <w:rPr>
                <w:rFonts w:ascii="仿宋_GB2312" w:hAnsi="仿宋_GB2312" w:cs="仿宋_GB2312" w:eastAsia="仿宋_GB2312"/>
              </w:rPr>
              <w:t>质量保修期</w:t>
            </w:r>
            <w:r>
              <w:rPr>
                <w:rFonts w:ascii="仿宋_GB2312" w:hAnsi="仿宋_GB2312" w:cs="仿宋_GB2312" w:eastAsia="仿宋_GB2312"/>
              </w:rPr>
              <w:t>/缺项责任期：质量保修期：</w:t>
            </w:r>
            <w:r>
              <w:rPr>
                <w:rFonts w:ascii="仿宋_GB2312" w:hAnsi="仿宋_GB2312" w:cs="仿宋_GB2312" w:eastAsia="仿宋_GB2312"/>
              </w:rPr>
              <w:t>自项目验收合格之日起</w:t>
            </w:r>
            <w:r>
              <w:rPr>
                <w:rFonts w:ascii="仿宋_GB2312" w:hAnsi="仿宋_GB2312" w:cs="仿宋_GB2312" w:eastAsia="仿宋_GB2312"/>
              </w:rPr>
              <w:t>2年</w:t>
            </w:r>
            <w:r>
              <w:rPr>
                <w:rFonts w:ascii="仿宋_GB2312" w:hAnsi="仿宋_GB2312" w:cs="仿宋_GB2312" w:eastAsia="仿宋_GB2312"/>
              </w:rPr>
              <w:t>；</w:t>
            </w:r>
            <w:r>
              <w:rPr>
                <w:rFonts w:ascii="仿宋_GB2312" w:hAnsi="仿宋_GB2312" w:cs="仿宋_GB2312" w:eastAsia="仿宋_GB2312"/>
              </w:rPr>
              <w:t>缺陷责任期：</w:t>
            </w:r>
            <w:r>
              <w:rPr>
                <w:rFonts w:ascii="仿宋_GB2312" w:hAnsi="仿宋_GB2312" w:cs="仿宋_GB2312" w:eastAsia="仿宋_GB2312"/>
              </w:rPr>
              <w:t>2年。</w:t>
            </w:r>
          </w:p>
          <w:p>
            <w:pPr>
              <w:pStyle w:val="null3"/>
            </w:pPr>
            <w:r>
              <w:rPr>
                <w:rFonts w:ascii="仿宋_GB2312" w:hAnsi="仿宋_GB2312" w:cs="仿宋_GB2312" w:eastAsia="仿宋_GB2312"/>
              </w:rPr>
              <w:t>四、</w:t>
            </w:r>
            <w:r>
              <w:rPr>
                <w:rFonts w:ascii="仿宋_GB2312" w:hAnsi="仿宋_GB2312" w:cs="仿宋_GB2312" w:eastAsia="仿宋_GB2312"/>
              </w:rPr>
              <w:t>编制依据</w:t>
            </w:r>
          </w:p>
          <w:p>
            <w:pPr>
              <w:pStyle w:val="null3"/>
            </w:pPr>
            <w:r>
              <w:rPr>
                <w:rFonts w:ascii="仿宋_GB2312" w:hAnsi="仿宋_GB2312" w:cs="仿宋_GB2312" w:eastAsia="仿宋_GB2312"/>
              </w:rPr>
              <w:t>1、</w:t>
            </w:r>
            <w:r>
              <w:rPr>
                <w:rFonts w:ascii="仿宋_GB2312" w:hAnsi="仿宋_GB2312" w:cs="仿宋_GB2312" w:eastAsia="仿宋_GB2312"/>
              </w:rPr>
              <w:t>陕西省建设工程工程量清单计价计算标准（</w:t>
            </w:r>
            <w:r>
              <w:rPr>
                <w:rFonts w:ascii="仿宋_GB2312" w:hAnsi="仿宋_GB2312" w:cs="仿宋_GB2312" w:eastAsia="仿宋_GB2312"/>
              </w:rPr>
              <w:t>2025）。</w:t>
            </w:r>
          </w:p>
          <w:p>
            <w:pPr>
              <w:pStyle w:val="null3"/>
            </w:pPr>
            <w:r>
              <w:rPr>
                <w:rFonts w:ascii="仿宋_GB2312" w:hAnsi="仿宋_GB2312" w:cs="仿宋_GB2312" w:eastAsia="仿宋_GB2312"/>
              </w:rPr>
              <w:t>2、</w:t>
            </w:r>
            <w:r>
              <w:rPr>
                <w:rFonts w:ascii="仿宋_GB2312" w:hAnsi="仿宋_GB2312" w:cs="仿宋_GB2312" w:eastAsia="仿宋_GB2312"/>
              </w:rPr>
              <w:t>陕建管发</w:t>
            </w:r>
            <w:r>
              <w:rPr>
                <w:rFonts w:ascii="仿宋_GB2312" w:hAnsi="仿宋_GB2312" w:cs="仿宋_GB2312" w:eastAsia="仿宋_GB2312"/>
              </w:rPr>
              <w:t>(2025)10号，陕西省住房和城乡建设厅关于印发2025陕西省建设工程费用规则等计价依据的通知。</w:t>
            </w:r>
          </w:p>
          <w:p>
            <w:pPr>
              <w:pStyle w:val="null3"/>
            </w:pPr>
            <w:r>
              <w:rPr>
                <w:rFonts w:ascii="仿宋_GB2312" w:hAnsi="仿宋_GB2312" w:cs="仿宋_GB2312" w:eastAsia="仿宋_GB2312"/>
              </w:rPr>
              <w:t>3、</w:t>
            </w:r>
            <w:r>
              <w:rPr>
                <w:rFonts w:ascii="仿宋_GB2312" w:hAnsi="仿宋_GB2312" w:cs="仿宋_GB2312" w:eastAsia="仿宋_GB2312"/>
              </w:rPr>
              <w:t>陕西省建设工程费用规则</w:t>
            </w:r>
            <w:r>
              <w:rPr>
                <w:rFonts w:ascii="仿宋_GB2312" w:hAnsi="仿宋_GB2312" w:cs="仿宋_GB2312" w:eastAsia="仿宋_GB2312"/>
              </w:rPr>
              <w:t>(2025)。</w:t>
            </w:r>
          </w:p>
          <w:p>
            <w:pPr>
              <w:pStyle w:val="null3"/>
            </w:pPr>
            <w:r>
              <w:rPr>
                <w:rFonts w:ascii="仿宋_GB2312" w:hAnsi="仿宋_GB2312" w:cs="仿宋_GB2312" w:eastAsia="仿宋_GB2312"/>
              </w:rPr>
              <w:t>4、</w:t>
            </w:r>
            <w:r>
              <w:rPr>
                <w:rFonts w:ascii="仿宋_GB2312" w:hAnsi="仿宋_GB2312" w:cs="仿宋_GB2312" w:eastAsia="仿宋_GB2312"/>
              </w:rPr>
              <w:t>陕西省房屋建筑与装饰工程基价表</w:t>
            </w:r>
            <w:r>
              <w:rPr>
                <w:rFonts w:ascii="仿宋_GB2312" w:hAnsi="仿宋_GB2312" w:cs="仿宋_GB2312" w:eastAsia="仿宋_GB2312"/>
              </w:rPr>
              <w:t>(2025)、陕西省通用安装工程基价表(2025)、陕西省市政工程基价表(2025)、陕西省园林绿化工程基价表(2025)。</w:t>
            </w:r>
          </w:p>
          <w:p>
            <w:pPr>
              <w:pStyle w:val="null3"/>
            </w:pPr>
            <w:r>
              <w:rPr>
                <w:rFonts w:ascii="仿宋_GB2312" w:hAnsi="仿宋_GB2312" w:cs="仿宋_GB2312" w:eastAsia="仿宋_GB2312"/>
              </w:rPr>
              <w:t>5、</w:t>
            </w:r>
            <w:r>
              <w:rPr>
                <w:rFonts w:ascii="仿宋_GB2312" w:hAnsi="仿宋_GB2312" w:cs="仿宋_GB2312" w:eastAsia="仿宋_GB2312"/>
              </w:rPr>
              <w:t>陕西省房屋建筑与装饰工程消耗量定额</w:t>
            </w:r>
            <w:r>
              <w:rPr>
                <w:rFonts w:ascii="仿宋_GB2312" w:hAnsi="仿宋_GB2312" w:cs="仿宋_GB2312" w:eastAsia="仿宋_GB2312"/>
              </w:rPr>
              <w:t>(2025)、陕西省通用安装工程消耗量定额(2025)、陕西省市政工程消耗量定额(2025)、陕西省园林绿化工程消耗量定额(2025)。</w:t>
            </w:r>
          </w:p>
          <w:p>
            <w:pPr>
              <w:pStyle w:val="null3"/>
            </w:pPr>
            <w:r>
              <w:rPr>
                <w:rFonts w:ascii="仿宋_GB2312" w:hAnsi="仿宋_GB2312" w:cs="仿宋_GB2312" w:eastAsia="仿宋_GB2312"/>
              </w:rPr>
              <w:t>6、</w:t>
            </w:r>
            <w:r>
              <w:rPr>
                <w:rFonts w:ascii="仿宋_GB2312" w:hAnsi="仿宋_GB2312" w:cs="仿宋_GB2312" w:eastAsia="仿宋_GB2312"/>
              </w:rPr>
              <w:t>陕西省建设工程施工机械台班费用定额</w:t>
            </w:r>
            <w:r>
              <w:rPr>
                <w:rFonts w:ascii="仿宋_GB2312" w:hAnsi="仿宋_GB2312" w:cs="仿宋_GB2312" w:eastAsia="仿宋_GB2312"/>
              </w:rPr>
              <w:t>(2025)、陕西省建设工程施工仪器仪表台班费用定额(2025)。</w:t>
            </w:r>
          </w:p>
          <w:p>
            <w:pPr>
              <w:pStyle w:val="null3"/>
            </w:pPr>
            <w:r>
              <w:rPr>
                <w:rFonts w:ascii="仿宋_GB2312" w:hAnsi="仿宋_GB2312" w:cs="仿宋_GB2312" w:eastAsia="仿宋_GB2312"/>
              </w:rPr>
              <w:t>7、</w:t>
            </w:r>
            <w:r>
              <w:rPr>
                <w:rFonts w:ascii="仿宋_GB2312" w:hAnsi="仿宋_GB2312" w:cs="仿宋_GB2312" w:eastAsia="仿宋_GB2312"/>
              </w:rPr>
              <w:t>材料价参考陕西省最新信息价，无信息价者参考当期市场价或市场调研询价</w:t>
            </w:r>
            <w:r>
              <w:rPr>
                <w:rFonts w:ascii="仿宋_GB2312" w:hAnsi="仿宋_GB2312" w:cs="仿宋_GB2312" w:eastAsia="仿宋_GB2312"/>
              </w:rPr>
              <w:t>;</w:t>
            </w:r>
          </w:p>
          <w:p>
            <w:pPr>
              <w:pStyle w:val="null3"/>
            </w:pPr>
            <w:r>
              <w:rPr>
                <w:rFonts w:ascii="仿宋_GB2312" w:hAnsi="仿宋_GB2312" w:cs="仿宋_GB2312" w:eastAsia="仿宋_GB2312"/>
              </w:rPr>
              <w:t>8、</w:t>
            </w:r>
            <w:r>
              <w:rPr>
                <w:rFonts w:ascii="仿宋_GB2312" w:hAnsi="仿宋_GB2312" w:cs="仿宋_GB2312" w:eastAsia="仿宋_GB2312"/>
              </w:rPr>
              <w:t>国家及省市有关的标准、规范、图集、技术资料，施工现场情况、工程特点及常规施工方案</w:t>
            </w:r>
            <w:r>
              <w:rPr>
                <w:rFonts w:ascii="仿宋_GB2312" w:hAnsi="仿宋_GB2312" w:cs="仿宋_GB2312" w:eastAsia="仿宋_GB2312"/>
              </w:rPr>
              <w:t>。</w:t>
            </w:r>
          </w:p>
          <w:p>
            <w:pPr>
              <w:pStyle w:val="null3"/>
            </w:pPr>
            <w:r>
              <w:rPr>
                <w:rFonts w:ascii="仿宋_GB2312" w:hAnsi="仿宋_GB2312" w:cs="仿宋_GB2312" w:eastAsia="仿宋_GB2312"/>
              </w:rPr>
              <w:t>9、其他相关资料。</w:t>
            </w:r>
          </w:p>
          <w:p>
            <w:pPr>
              <w:pStyle w:val="null3"/>
            </w:pPr>
            <w:r>
              <w:rPr>
                <w:rFonts w:ascii="仿宋_GB2312" w:hAnsi="仿宋_GB2312" w:cs="仿宋_GB2312" w:eastAsia="仿宋_GB2312"/>
              </w:rPr>
              <w:t>五</w:t>
            </w:r>
            <w:r>
              <w:rPr>
                <w:rFonts w:ascii="仿宋_GB2312" w:hAnsi="仿宋_GB2312" w:cs="仿宋_GB2312" w:eastAsia="仿宋_GB2312"/>
              </w:rPr>
              <w:t>、付款方式</w:t>
            </w:r>
            <w:r>
              <w:br/>
            </w:r>
            <w:r>
              <w:rPr>
                <w:rFonts w:ascii="仿宋_GB2312" w:hAnsi="仿宋_GB2312" w:cs="仿宋_GB2312" w:eastAsia="仿宋_GB2312"/>
              </w:rPr>
              <w:t>合同签订后</w:t>
            </w:r>
            <w:r>
              <w:rPr>
                <w:rFonts w:ascii="仿宋_GB2312" w:hAnsi="仿宋_GB2312" w:cs="仿宋_GB2312" w:eastAsia="仿宋_GB2312"/>
              </w:rPr>
              <w:t>30日内支付合同金额的40%作为预付款，项目执行过半30日内支付合同金额的40%，项目经验收合格后</w:t>
            </w:r>
            <w:r>
              <w:rPr>
                <w:rFonts w:ascii="仿宋_GB2312" w:hAnsi="仿宋_GB2312" w:cs="仿宋_GB2312" w:eastAsia="仿宋_GB2312"/>
                <w:sz w:val="21"/>
              </w:rPr>
              <w:t>30日内</w:t>
            </w:r>
            <w:r>
              <w:rPr>
                <w:rFonts w:ascii="仿宋_GB2312" w:hAnsi="仿宋_GB2312" w:cs="仿宋_GB2312" w:eastAsia="仿宋_GB2312"/>
              </w:rPr>
              <w:t>支付剩余20%。</w:t>
            </w:r>
          </w:p>
          <w:p>
            <w:pPr>
              <w:pStyle w:val="null3"/>
            </w:pPr>
            <w:r>
              <w:rPr>
                <w:rFonts w:ascii="仿宋_GB2312" w:hAnsi="仿宋_GB2312" w:cs="仿宋_GB2312" w:eastAsia="仿宋_GB2312"/>
              </w:rPr>
              <w:t>六</w:t>
            </w:r>
            <w:r>
              <w:rPr>
                <w:rFonts w:ascii="仿宋_GB2312" w:hAnsi="仿宋_GB2312" w:cs="仿宋_GB2312" w:eastAsia="仿宋_GB2312"/>
              </w:rPr>
              <w:t>、工程量清单</w:t>
            </w:r>
          </w:p>
          <w:tbl>
            <w:tblPr>
              <w:tblInd w:type="dxa" w:w="135"/>
              <w:tblBorders>
                <w:top w:val="none" w:color="000000" w:sz="4"/>
                <w:left w:val="none" w:color="000000" w:sz="4"/>
                <w:bottom w:val="none" w:color="000000" w:sz="4"/>
                <w:right w:val="none" w:color="000000" w:sz="4"/>
                <w:insideH w:val="none"/>
                <w:insideV w:val="none"/>
              </w:tblBorders>
            </w:tblPr>
            <w:tblGrid>
              <w:gridCol w:w="240"/>
              <w:gridCol w:w="464"/>
              <w:gridCol w:w="481"/>
              <w:gridCol w:w="789"/>
              <w:gridCol w:w="207"/>
              <w:gridCol w:w="363"/>
            </w:tblGrid>
            <w:tr>
              <w:tc>
                <w:tcPr>
                  <w:tcW w:type="dxa" w:w="240"/>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240"/>
                    <w:ind w:left="135"/>
                    <w:jc w:val="both"/>
                  </w:pPr>
                  <w:r>
                    <w:rPr>
                      <w:rFonts w:ascii="仿宋_GB2312" w:hAnsi="仿宋_GB2312" w:cs="仿宋_GB2312" w:eastAsia="仿宋_GB2312"/>
                      <w:sz w:val="18"/>
                    </w:rPr>
                    <w:t>序号</w:t>
                  </w:r>
                </w:p>
              </w:tc>
              <w:tc>
                <w:tcPr>
                  <w:tcW w:type="dxa" w:w="464"/>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270"/>
                    <w:jc w:val="both"/>
                  </w:pPr>
                  <w:r>
                    <w:rPr>
                      <w:rFonts w:ascii="仿宋_GB2312" w:hAnsi="仿宋_GB2312" w:cs="仿宋_GB2312" w:eastAsia="仿宋_GB2312"/>
                      <w:sz w:val="18"/>
                    </w:rPr>
                    <w:t>项目编码</w:t>
                  </w:r>
                </w:p>
              </w:tc>
              <w:tc>
                <w:tcPr>
                  <w:tcW w:type="dxa" w:w="481"/>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18"/>
                    </w:rPr>
                    <w:t>项目名称</w:t>
                  </w:r>
                </w:p>
              </w:tc>
              <w:tc>
                <w:tcPr>
                  <w:tcW w:type="dxa" w:w="789"/>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255"/>
                    <w:jc w:val="both"/>
                  </w:pPr>
                  <w:r>
                    <w:rPr>
                      <w:rFonts w:ascii="仿宋_GB2312" w:hAnsi="仿宋_GB2312" w:cs="仿宋_GB2312" w:eastAsia="仿宋_GB2312"/>
                      <w:sz w:val="18"/>
                    </w:rPr>
                    <w:t>项目特征描述</w:t>
                  </w:r>
                </w:p>
              </w:tc>
              <w:tc>
                <w:tcPr>
                  <w:tcW w:type="dxa" w:w="207"/>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60"/>
                    <w:ind w:left="90"/>
                    <w:jc w:val="both"/>
                  </w:pPr>
                  <w:r>
                    <w:rPr>
                      <w:rFonts w:ascii="仿宋_GB2312" w:hAnsi="仿宋_GB2312" w:cs="仿宋_GB2312" w:eastAsia="仿宋_GB2312"/>
                      <w:sz w:val="18"/>
                    </w:rPr>
                    <w:t>计量</w:t>
                  </w:r>
                </w:p>
                <w:p>
                  <w:pPr>
                    <w:pStyle w:val="null3"/>
                    <w:spacing w:before="45"/>
                    <w:ind w:left="90"/>
                    <w:jc w:val="both"/>
                  </w:pPr>
                  <w:r>
                    <w:rPr>
                      <w:rFonts w:ascii="仿宋_GB2312" w:hAnsi="仿宋_GB2312" w:cs="仿宋_GB2312" w:eastAsia="仿宋_GB2312"/>
                      <w:sz w:val="18"/>
                    </w:rPr>
                    <w:t>单位</w:t>
                  </w:r>
                </w:p>
              </w:tc>
              <w:tc>
                <w:tcPr>
                  <w:tcW w:type="dxa" w:w="363"/>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150"/>
                    <w:jc w:val="both"/>
                  </w:pPr>
                  <w:r>
                    <w:rPr>
                      <w:rFonts w:ascii="仿宋_GB2312" w:hAnsi="仿宋_GB2312" w:cs="仿宋_GB2312" w:eastAsia="仿宋_GB2312"/>
                      <w:sz w:val="18"/>
                    </w:rPr>
                    <w:t>工程数量</w:t>
                  </w:r>
                </w:p>
              </w:tc>
            </w:tr>
            <w:tr>
              <w:tc>
                <w:tcPr>
                  <w:tcW w:type="dxa" w:w="240"/>
                  <w:vMerge/>
                  <w:tcBorders>
                    <w:top w:val="single" w:color="000000" w:sz="4"/>
                    <w:left w:val="single" w:color="000000" w:sz="4"/>
                    <w:bottom w:val="none" w:color="000000" w:sz="4"/>
                    <w:right w:val="single" w:color="000000" w:sz="4"/>
                  </w:tcBorders>
                </w:tcPr>
                <w:p/>
              </w:tc>
              <w:tc>
                <w:tcPr>
                  <w:tcW w:type="dxa" w:w="464"/>
                  <w:vMerge/>
                  <w:tcBorders>
                    <w:top w:val="single" w:color="000000" w:sz="4"/>
                    <w:left w:val="single" w:color="000000" w:sz="4"/>
                    <w:bottom w:val="none" w:color="000000" w:sz="4"/>
                    <w:right w:val="single" w:color="000000" w:sz="4"/>
                  </w:tcBorders>
                </w:tcPr>
                <w:p/>
              </w:tc>
              <w:tc>
                <w:tcPr>
                  <w:tcW w:type="dxa" w:w="481"/>
                  <w:vMerge/>
                  <w:tcBorders>
                    <w:top w:val="single" w:color="000000" w:sz="4"/>
                    <w:left w:val="single" w:color="000000" w:sz="4"/>
                    <w:bottom w:val="none" w:color="000000" w:sz="4"/>
                    <w:right w:val="single" w:color="000000" w:sz="4"/>
                  </w:tcBorders>
                </w:tcPr>
                <w:p/>
              </w:tc>
              <w:tc>
                <w:tcPr>
                  <w:tcW w:type="dxa" w:w="789"/>
                  <w:vMerge/>
                  <w:tcBorders>
                    <w:top w:val="single" w:color="000000" w:sz="4"/>
                    <w:left w:val="single" w:color="000000" w:sz="4"/>
                    <w:bottom w:val="none" w:color="000000" w:sz="4"/>
                    <w:right w:val="single" w:color="000000" w:sz="4"/>
                  </w:tcBorders>
                </w:tcPr>
                <w:p/>
              </w:tc>
              <w:tc>
                <w:tcPr>
                  <w:tcW w:type="dxa" w:w="207"/>
                  <w:vMerge/>
                  <w:tcBorders>
                    <w:top w:val="single" w:color="000000" w:sz="4"/>
                    <w:left w:val="single" w:color="000000" w:sz="4"/>
                    <w:bottom w:val="none" w:color="000000" w:sz="4"/>
                    <w:right w:val="single" w:color="000000" w:sz="4"/>
                  </w:tcBorders>
                </w:tcPr>
                <w:p/>
              </w:tc>
              <w:tc>
                <w:tcPr>
                  <w:tcW w:type="dxa" w:w="363"/>
                  <w:vMerge/>
                  <w:tcBorders>
                    <w:top w:val="single" w:color="000000" w:sz="4"/>
                    <w:left w:val="single" w:color="000000" w:sz="4"/>
                    <w:bottom w:val="none" w:color="000000" w:sz="4"/>
                    <w:right w:val="single" w:color="000000" w:sz="4"/>
                  </w:tcBorders>
                </w:tcPr>
                <w:p/>
              </w:tc>
            </w:tr>
            <w:tr>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1</w:t>
                  </w:r>
                </w:p>
              </w:tc>
              <w:tc>
                <w:tcPr>
                  <w:tcW w:type="dxa" w:w="4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01B001</w:t>
                  </w:r>
                </w:p>
              </w:tc>
              <w:tc>
                <w:tcPr>
                  <w:tcW w:type="dxa" w:w="4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地面破除</w:t>
                  </w:r>
                </w:p>
              </w:tc>
              <w:tc>
                <w:tcPr>
                  <w:tcW w:type="dxa" w:w="7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
                    <w:jc w:val="both"/>
                  </w:pPr>
                  <w:r>
                    <w:rPr>
                      <w:rFonts w:ascii="仿宋_GB2312" w:hAnsi="仿宋_GB2312" w:cs="仿宋_GB2312" w:eastAsia="仿宋_GB2312"/>
                      <w:sz w:val="18"/>
                    </w:rPr>
                    <w:t>[项目特征]</w:t>
                  </w:r>
                </w:p>
                <w:p>
                  <w:pPr>
                    <w:pStyle w:val="null3"/>
                    <w:spacing w:before="30"/>
                    <w:ind w:left="15" w:right="90"/>
                    <w:jc w:val="both"/>
                  </w:pPr>
                  <w:r>
                    <w:rPr>
                      <w:rFonts w:ascii="仿宋_GB2312" w:hAnsi="仿宋_GB2312" w:cs="仿宋_GB2312" w:eastAsia="仿宋_GB2312"/>
                      <w:sz w:val="18"/>
                    </w:rPr>
                    <w:t>1.拆除类型：地面</w:t>
                  </w:r>
                  <w:r>
                    <w:rPr>
                      <w:rFonts w:ascii="仿宋_GB2312" w:hAnsi="仿宋_GB2312" w:cs="仿宋_GB2312" w:eastAsia="仿宋_GB2312"/>
                      <w:sz w:val="18"/>
                    </w:rPr>
                    <w:t>破除</w:t>
                  </w:r>
                </w:p>
                <w:p>
                  <w:pPr>
                    <w:pStyle w:val="null3"/>
                    <w:spacing w:before="15"/>
                    <w:ind w:left="15" w:right="105"/>
                    <w:jc w:val="both"/>
                  </w:pPr>
                  <w:r>
                    <w:rPr>
                      <w:rFonts w:ascii="仿宋_GB2312" w:hAnsi="仿宋_GB2312" w:cs="仿宋_GB2312" w:eastAsia="仿宋_GB2312"/>
                      <w:sz w:val="18"/>
                    </w:rPr>
                    <w:t>2.暂计150mm厚混凝土、碎砖、灰土</w:t>
                  </w:r>
                  <w:r>
                    <w:rPr>
                      <w:rFonts w:ascii="仿宋_GB2312" w:hAnsi="仿宋_GB2312" w:cs="仿宋_GB2312" w:eastAsia="仿宋_GB2312"/>
                      <w:sz w:val="18"/>
                    </w:rPr>
                    <w:t>等</w:t>
                  </w:r>
                </w:p>
                <w:p>
                  <w:pPr>
                    <w:pStyle w:val="null3"/>
                    <w:ind w:left="15"/>
                    <w:jc w:val="both"/>
                  </w:pPr>
                  <w:r>
                    <w:rPr>
                      <w:rFonts w:ascii="仿宋_GB2312" w:hAnsi="仿宋_GB2312" w:cs="仿宋_GB2312" w:eastAsia="仿宋_GB2312"/>
                      <w:sz w:val="18"/>
                    </w:rPr>
                    <w:t>[工作内容]</w:t>
                  </w:r>
                </w:p>
                <w:p>
                  <w:pPr>
                    <w:pStyle w:val="null3"/>
                    <w:spacing w:before="30"/>
                    <w:ind w:left="15"/>
                    <w:jc w:val="both"/>
                  </w:pPr>
                  <w:r>
                    <w:rPr>
                      <w:rFonts w:ascii="仿宋_GB2312" w:hAnsi="仿宋_GB2312" w:cs="仿宋_GB2312" w:eastAsia="仿宋_GB2312"/>
                      <w:sz w:val="18"/>
                    </w:rPr>
                    <w:t>1.拆除</w:t>
                  </w:r>
                </w:p>
                <w:p>
                  <w:pPr>
                    <w:pStyle w:val="null3"/>
                    <w:spacing w:before="15"/>
                    <w:ind w:left="15"/>
                    <w:jc w:val="both"/>
                  </w:pPr>
                  <w:r>
                    <w:rPr>
                      <w:rFonts w:ascii="仿宋_GB2312" w:hAnsi="仿宋_GB2312" w:cs="仿宋_GB2312" w:eastAsia="仿宋_GB2312"/>
                      <w:sz w:val="18"/>
                    </w:rPr>
                    <w:t>2.控制扬尘</w:t>
                  </w:r>
                </w:p>
                <w:p>
                  <w:pPr>
                    <w:pStyle w:val="null3"/>
                    <w:spacing w:before="30"/>
                    <w:ind w:left="15"/>
                    <w:jc w:val="both"/>
                  </w:pPr>
                  <w:r>
                    <w:rPr>
                      <w:rFonts w:ascii="仿宋_GB2312" w:hAnsi="仿宋_GB2312" w:cs="仿宋_GB2312" w:eastAsia="仿宋_GB2312"/>
                      <w:sz w:val="18"/>
                    </w:rPr>
                    <w:t>3.清理</w:t>
                  </w:r>
                </w:p>
                <w:p>
                  <w:pPr>
                    <w:pStyle w:val="null3"/>
                    <w:ind w:left="15"/>
                    <w:jc w:val="both"/>
                  </w:pPr>
                  <w:r>
                    <w:rPr>
                      <w:rFonts w:ascii="仿宋_GB2312" w:hAnsi="仿宋_GB2312" w:cs="仿宋_GB2312" w:eastAsia="仿宋_GB2312"/>
                      <w:sz w:val="18"/>
                    </w:rPr>
                    <w:t>4.建渣场内运输</w:t>
                  </w:r>
                </w:p>
              </w:tc>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m2</w:t>
                  </w:r>
                </w:p>
              </w:tc>
              <w:tc>
                <w:tcPr>
                  <w:tcW w:type="dxa" w:w="3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8615.37</w:t>
                  </w:r>
                </w:p>
              </w:tc>
            </w:tr>
            <w:tr>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2</w:t>
                  </w:r>
                </w:p>
              </w:tc>
              <w:tc>
                <w:tcPr>
                  <w:tcW w:type="dxa" w:w="4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010101001001</w:t>
                  </w:r>
                </w:p>
              </w:tc>
              <w:tc>
                <w:tcPr>
                  <w:tcW w:type="dxa" w:w="4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挖除杂填土</w:t>
                  </w:r>
                </w:p>
              </w:tc>
              <w:tc>
                <w:tcPr>
                  <w:tcW w:type="dxa" w:w="7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left="15"/>
                    <w:jc w:val="both"/>
                  </w:pPr>
                  <w:r>
                    <w:rPr>
                      <w:rFonts w:ascii="仿宋_GB2312" w:hAnsi="仿宋_GB2312" w:cs="仿宋_GB2312" w:eastAsia="仿宋_GB2312"/>
                      <w:sz w:val="18"/>
                    </w:rPr>
                    <w:t>[项目特征]</w:t>
                  </w:r>
                </w:p>
                <w:p>
                  <w:pPr>
                    <w:pStyle w:val="null3"/>
                    <w:spacing w:before="15"/>
                    <w:ind w:left="15" w:right="90"/>
                    <w:jc w:val="both"/>
                  </w:pPr>
                  <w:r>
                    <w:rPr>
                      <w:rFonts w:ascii="仿宋_GB2312" w:hAnsi="仿宋_GB2312" w:cs="仿宋_GB2312" w:eastAsia="仿宋_GB2312"/>
                      <w:sz w:val="18"/>
                    </w:rPr>
                    <w:t>1.土的类别：挖除</w:t>
                  </w:r>
                  <w:r>
                    <w:rPr>
                      <w:rFonts w:ascii="仿宋_GB2312" w:hAnsi="仿宋_GB2312" w:cs="仿宋_GB2312" w:eastAsia="仿宋_GB2312"/>
                      <w:sz w:val="18"/>
                    </w:rPr>
                    <w:t>杂填土</w:t>
                  </w:r>
                </w:p>
                <w:p>
                  <w:pPr>
                    <w:pStyle w:val="null3"/>
                    <w:ind w:left="15"/>
                    <w:jc w:val="both"/>
                  </w:pPr>
                  <w:r>
                    <w:rPr>
                      <w:rFonts w:ascii="仿宋_GB2312" w:hAnsi="仿宋_GB2312" w:cs="仿宋_GB2312" w:eastAsia="仿宋_GB2312"/>
                      <w:sz w:val="18"/>
                    </w:rPr>
                    <w:t>[工作内容]</w:t>
                  </w:r>
                </w:p>
                <w:p>
                  <w:pPr>
                    <w:pStyle w:val="null3"/>
                    <w:spacing w:before="15"/>
                    <w:ind w:left="15"/>
                    <w:jc w:val="both"/>
                  </w:pPr>
                  <w:r>
                    <w:rPr>
                      <w:rFonts w:ascii="仿宋_GB2312" w:hAnsi="仿宋_GB2312" w:cs="仿宋_GB2312" w:eastAsia="仿宋_GB2312"/>
                      <w:sz w:val="18"/>
                    </w:rPr>
                    <w:t>1.开挖</w:t>
                  </w:r>
                </w:p>
                <w:p>
                  <w:pPr>
                    <w:pStyle w:val="null3"/>
                    <w:spacing w:before="30"/>
                    <w:ind w:left="15"/>
                    <w:jc w:val="both"/>
                  </w:pPr>
                  <w:r>
                    <w:rPr>
                      <w:rFonts w:ascii="仿宋_GB2312" w:hAnsi="仿宋_GB2312" w:cs="仿宋_GB2312" w:eastAsia="仿宋_GB2312"/>
                      <w:sz w:val="18"/>
                    </w:rPr>
                    <w:t>2.装车</w:t>
                  </w:r>
                </w:p>
                <w:p>
                  <w:pPr>
                    <w:pStyle w:val="null3"/>
                    <w:spacing w:before="15"/>
                    <w:ind w:left="15"/>
                    <w:jc w:val="both"/>
                  </w:pPr>
                  <w:r>
                    <w:rPr>
                      <w:rFonts w:ascii="仿宋_GB2312" w:hAnsi="仿宋_GB2312" w:cs="仿宋_GB2312" w:eastAsia="仿宋_GB2312"/>
                      <w:sz w:val="18"/>
                    </w:rPr>
                    <w:t>3.场内运输</w:t>
                  </w:r>
                </w:p>
                <w:p>
                  <w:pPr>
                    <w:pStyle w:val="null3"/>
                    <w:spacing w:before="15"/>
                    <w:ind w:left="15"/>
                    <w:jc w:val="both"/>
                  </w:pPr>
                  <w:r>
                    <w:rPr>
                      <w:rFonts w:ascii="仿宋_GB2312" w:hAnsi="仿宋_GB2312" w:cs="仿宋_GB2312" w:eastAsia="仿宋_GB2312"/>
                      <w:sz w:val="18"/>
                    </w:rPr>
                    <w:t>4.障碍物清除</w:t>
                  </w:r>
                </w:p>
              </w:tc>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m3</w:t>
                  </w:r>
                </w:p>
              </w:tc>
              <w:tc>
                <w:tcPr>
                  <w:tcW w:type="dxa" w:w="3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26104.57</w:t>
                  </w:r>
                </w:p>
              </w:tc>
            </w:tr>
            <w:tr>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3</w:t>
                  </w:r>
                </w:p>
              </w:tc>
              <w:tc>
                <w:tcPr>
                  <w:tcW w:type="dxa" w:w="4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010101001002</w:t>
                  </w:r>
                </w:p>
              </w:tc>
              <w:tc>
                <w:tcPr>
                  <w:tcW w:type="dxa" w:w="4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挖掘机装土</w:t>
                  </w:r>
                </w:p>
              </w:tc>
              <w:tc>
                <w:tcPr>
                  <w:tcW w:type="dxa" w:w="7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
                    <w:jc w:val="both"/>
                  </w:pPr>
                  <w:r>
                    <w:rPr>
                      <w:rFonts w:ascii="仿宋_GB2312" w:hAnsi="仿宋_GB2312" w:cs="仿宋_GB2312" w:eastAsia="仿宋_GB2312"/>
                      <w:sz w:val="18"/>
                    </w:rPr>
                    <w:t>[项目特征]</w:t>
                  </w:r>
                </w:p>
                <w:p>
                  <w:pPr>
                    <w:pStyle w:val="null3"/>
                    <w:spacing w:before="30"/>
                    <w:ind w:left="15" w:right="90"/>
                    <w:jc w:val="both"/>
                  </w:pPr>
                  <w:r>
                    <w:rPr>
                      <w:rFonts w:ascii="仿宋_GB2312" w:hAnsi="仿宋_GB2312" w:cs="仿宋_GB2312" w:eastAsia="仿宋_GB2312"/>
                      <w:sz w:val="18"/>
                    </w:rPr>
                    <w:t>1.土的类别：推堆、装车</w:t>
                  </w:r>
                </w:p>
                <w:p>
                  <w:pPr>
                    <w:pStyle w:val="null3"/>
                    <w:ind w:left="15"/>
                    <w:jc w:val="both"/>
                  </w:pPr>
                  <w:r>
                    <w:rPr>
                      <w:rFonts w:ascii="仿宋_GB2312" w:hAnsi="仿宋_GB2312" w:cs="仿宋_GB2312" w:eastAsia="仿宋_GB2312"/>
                      <w:sz w:val="18"/>
                    </w:rPr>
                    <w:t>[工作内容]</w:t>
                  </w:r>
                </w:p>
                <w:p>
                  <w:pPr>
                    <w:pStyle w:val="null3"/>
                    <w:spacing w:before="30"/>
                    <w:ind w:left="15"/>
                    <w:jc w:val="both"/>
                  </w:pPr>
                  <w:r>
                    <w:rPr>
                      <w:rFonts w:ascii="仿宋_GB2312" w:hAnsi="仿宋_GB2312" w:cs="仿宋_GB2312" w:eastAsia="仿宋_GB2312"/>
                      <w:sz w:val="18"/>
                    </w:rPr>
                    <w:t>1.开挖</w:t>
                  </w:r>
                </w:p>
                <w:p>
                  <w:pPr>
                    <w:pStyle w:val="null3"/>
                    <w:ind w:left="15"/>
                    <w:jc w:val="both"/>
                  </w:pPr>
                  <w:r>
                    <w:rPr>
                      <w:rFonts w:ascii="仿宋_GB2312" w:hAnsi="仿宋_GB2312" w:cs="仿宋_GB2312" w:eastAsia="仿宋_GB2312"/>
                      <w:sz w:val="18"/>
                    </w:rPr>
                    <w:t>2.装车</w:t>
                  </w:r>
                </w:p>
                <w:p>
                  <w:pPr>
                    <w:pStyle w:val="null3"/>
                    <w:spacing w:before="30"/>
                    <w:ind w:left="15"/>
                    <w:jc w:val="both"/>
                  </w:pPr>
                  <w:r>
                    <w:rPr>
                      <w:rFonts w:ascii="仿宋_GB2312" w:hAnsi="仿宋_GB2312" w:cs="仿宋_GB2312" w:eastAsia="仿宋_GB2312"/>
                      <w:sz w:val="18"/>
                    </w:rPr>
                    <w:t>3.场内运输</w:t>
                  </w:r>
                </w:p>
                <w:p>
                  <w:pPr>
                    <w:pStyle w:val="null3"/>
                    <w:spacing w:before="15"/>
                    <w:ind w:left="15"/>
                    <w:jc w:val="both"/>
                  </w:pPr>
                  <w:r>
                    <w:rPr>
                      <w:rFonts w:ascii="仿宋_GB2312" w:hAnsi="仿宋_GB2312" w:cs="仿宋_GB2312" w:eastAsia="仿宋_GB2312"/>
                      <w:sz w:val="18"/>
                    </w:rPr>
                    <w:t>4.障碍物清除</w:t>
                  </w:r>
                </w:p>
              </w:tc>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m3</w:t>
                  </w:r>
                </w:p>
              </w:tc>
              <w:tc>
                <w:tcPr>
                  <w:tcW w:type="dxa" w:w="3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27926.72</w:t>
                  </w:r>
                </w:p>
              </w:tc>
            </w:tr>
            <w:tr>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4</w:t>
                  </w:r>
                </w:p>
              </w:tc>
              <w:tc>
                <w:tcPr>
                  <w:tcW w:type="dxa" w:w="4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010103001001</w:t>
                  </w:r>
                </w:p>
              </w:tc>
              <w:tc>
                <w:tcPr>
                  <w:tcW w:type="dxa" w:w="4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平整场地</w:t>
                  </w:r>
                </w:p>
              </w:tc>
              <w:tc>
                <w:tcPr>
                  <w:tcW w:type="dxa" w:w="7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left="15"/>
                    <w:jc w:val="both"/>
                  </w:pPr>
                  <w:r>
                    <w:rPr>
                      <w:rFonts w:ascii="仿宋_GB2312" w:hAnsi="仿宋_GB2312" w:cs="仿宋_GB2312" w:eastAsia="仿宋_GB2312"/>
                      <w:sz w:val="18"/>
                    </w:rPr>
                    <w:t>[项目特征]</w:t>
                  </w:r>
                </w:p>
                <w:p>
                  <w:pPr>
                    <w:pStyle w:val="null3"/>
                    <w:spacing w:before="15"/>
                    <w:ind w:left="15" w:right="15"/>
                    <w:jc w:val="both"/>
                  </w:pPr>
                  <w:r>
                    <w:rPr>
                      <w:rFonts w:ascii="仿宋_GB2312" w:hAnsi="仿宋_GB2312" w:cs="仿宋_GB2312" w:eastAsia="仿宋_GB2312"/>
                      <w:sz w:val="18"/>
                    </w:rPr>
                    <w:t>1.土的类别：挖、</w:t>
                  </w:r>
                  <w:r>
                    <w:rPr>
                      <w:rFonts w:ascii="仿宋_GB2312" w:hAnsi="仿宋_GB2312" w:cs="仿宋_GB2312" w:eastAsia="仿宋_GB2312"/>
                      <w:sz w:val="18"/>
                    </w:rPr>
                    <w:t>拉后推平</w:t>
                  </w:r>
                </w:p>
                <w:p>
                  <w:pPr>
                    <w:pStyle w:val="null3"/>
                    <w:ind w:left="15"/>
                    <w:jc w:val="both"/>
                  </w:pPr>
                  <w:r>
                    <w:rPr>
                      <w:rFonts w:ascii="仿宋_GB2312" w:hAnsi="仿宋_GB2312" w:cs="仿宋_GB2312" w:eastAsia="仿宋_GB2312"/>
                      <w:sz w:val="18"/>
                    </w:rPr>
                    <w:t>[工作内容]</w:t>
                  </w:r>
                </w:p>
                <w:p>
                  <w:pPr>
                    <w:pStyle w:val="null3"/>
                    <w:spacing w:before="15"/>
                    <w:ind w:left="15"/>
                    <w:jc w:val="both"/>
                  </w:pPr>
                  <w:r>
                    <w:rPr>
                      <w:rFonts w:ascii="仿宋_GB2312" w:hAnsi="仿宋_GB2312" w:cs="仿宋_GB2312" w:eastAsia="仿宋_GB2312"/>
                      <w:sz w:val="18"/>
                    </w:rPr>
                    <w:t>1.土方挖、填、运</w:t>
                  </w:r>
                </w:p>
                <w:p>
                  <w:pPr>
                    <w:pStyle w:val="null3"/>
                    <w:spacing w:before="15"/>
                    <w:ind w:left="15"/>
                    <w:jc w:val="both"/>
                  </w:pPr>
                  <w:r>
                    <w:rPr>
                      <w:rFonts w:ascii="仿宋_GB2312" w:hAnsi="仿宋_GB2312" w:cs="仿宋_GB2312" w:eastAsia="仿宋_GB2312"/>
                      <w:sz w:val="18"/>
                    </w:rPr>
                    <w:t>2.场地找平</w:t>
                  </w:r>
                </w:p>
              </w:tc>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m2</w:t>
                  </w:r>
                </w:p>
              </w:tc>
              <w:tc>
                <w:tcPr>
                  <w:tcW w:type="dxa" w:w="3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8615.37</w:t>
                  </w:r>
                </w:p>
              </w:tc>
            </w:tr>
            <w:tr>
              <w:tc>
                <w:tcPr>
                  <w:tcW w:type="dxa" w:w="2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5</w:t>
                  </w:r>
                </w:p>
              </w:tc>
              <w:tc>
                <w:tcPr>
                  <w:tcW w:type="dxa" w:w="4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01B002</w:t>
                  </w:r>
                </w:p>
              </w:tc>
              <w:tc>
                <w:tcPr>
                  <w:tcW w:type="dxa" w:w="4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建筑垃圾弃置</w:t>
                  </w:r>
                </w:p>
              </w:tc>
              <w:tc>
                <w:tcPr>
                  <w:tcW w:type="dxa" w:w="7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5"/>
                    <w:jc w:val="both"/>
                  </w:pPr>
                  <w:r>
                    <w:rPr>
                      <w:rFonts w:ascii="仿宋_GB2312" w:hAnsi="仿宋_GB2312" w:cs="仿宋_GB2312" w:eastAsia="仿宋_GB2312"/>
                      <w:sz w:val="18"/>
                    </w:rPr>
                    <w:t>[项目特征]</w:t>
                  </w:r>
                </w:p>
                <w:p>
                  <w:pPr>
                    <w:pStyle w:val="null3"/>
                    <w:spacing w:before="15"/>
                    <w:ind w:left="15" w:right="90"/>
                    <w:jc w:val="both"/>
                  </w:pPr>
                  <w:r>
                    <w:rPr>
                      <w:rFonts w:ascii="仿宋_GB2312" w:hAnsi="仿宋_GB2312" w:cs="仿宋_GB2312" w:eastAsia="仿宋_GB2312"/>
                      <w:sz w:val="18"/>
                    </w:rPr>
                    <w:t>1.废弃料品种：清</w:t>
                  </w:r>
                  <w:r>
                    <w:rPr>
                      <w:rFonts w:ascii="仿宋_GB2312" w:hAnsi="仿宋_GB2312" w:cs="仿宋_GB2312" w:eastAsia="仿宋_GB2312"/>
                      <w:sz w:val="18"/>
                    </w:rPr>
                    <w:t>除工程范围内建筑</w:t>
                  </w:r>
                  <w:r>
                    <w:rPr>
                      <w:rFonts w:ascii="仿宋_GB2312" w:hAnsi="仿宋_GB2312" w:cs="仿宋_GB2312" w:eastAsia="仿宋_GB2312"/>
                      <w:sz w:val="18"/>
                    </w:rPr>
                    <w:t>垃圾和混凝土残渣</w:t>
                  </w:r>
                </w:p>
                <w:p>
                  <w:pPr>
                    <w:pStyle w:val="null3"/>
                    <w:spacing w:before="15"/>
                    <w:ind w:left="15" w:right="105"/>
                    <w:jc w:val="both"/>
                  </w:pPr>
                  <w:r>
                    <w:rPr>
                      <w:rFonts w:ascii="仿宋_GB2312" w:hAnsi="仿宋_GB2312" w:cs="仿宋_GB2312" w:eastAsia="仿宋_GB2312"/>
                      <w:sz w:val="18"/>
                    </w:rPr>
                    <w:t>2,运距：承包方根</w:t>
                  </w:r>
                  <w:r>
                    <w:rPr>
                      <w:rFonts w:ascii="仿宋_GB2312" w:hAnsi="仿宋_GB2312" w:cs="仿宋_GB2312" w:eastAsia="仿宋_GB2312"/>
                      <w:sz w:val="18"/>
                    </w:rPr>
                    <w:t>据现场实际情况综</w:t>
                  </w:r>
                  <w:r>
                    <w:rPr>
                      <w:rFonts w:ascii="仿宋_GB2312" w:hAnsi="仿宋_GB2312" w:cs="仿宋_GB2312" w:eastAsia="仿宋_GB2312"/>
                      <w:sz w:val="18"/>
                    </w:rPr>
                    <w:t>合考虑</w:t>
                  </w:r>
                </w:p>
                <w:p>
                  <w:pPr>
                    <w:pStyle w:val="null3"/>
                    <w:ind w:left="15"/>
                    <w:jc w:val="both"/>
                  </w:pPr>
                  <w:r>
                    <w:rPr>
                      <w:rFonts w:ascii="仿宋_GB2312" w:hAnsi="仿宋_GB2312" w:cs="仿宋_GB2312" w:eastAsia="仿宋_GB2312"/>
                      <w:sz w:val="18"/>
                    </w:rPr>
                    <w:t>[工作内容]</w:t>
                  </w:r>
                </w:p>
                <w:p>
                  <w:pPr>
                    <w:pStyle w:val="null3"/>
                    <w:spacing w:before="30"/>
                    <w:ind w:left="15" w:right="90"/>
                    <w:jc w:val="both"/>
                  </w:pPr>
                  <w:r>
                    <w:rPr>
                      <w:rFonts w:ascii="仿宋_GB2312" w:hAnsi="仿宋_GB2312" w:cs="仿宋_GB2312" w:eastAsia="仿宋_GB2312"/>
                      <w:sz w:val="18"/>
                    </w:rPr>
                    <w:t>1.余方点装料运输</w:t>
                  </w:r>
                  <w:r>
                    <w:rPr>
                      <w:rFonts w:ascii="仿宋_GB2312" w:hAnsi="仿宋_GB2312" w:cs="仿宋_GB2312" w:eastAsia="仿宋_GB2312"/>
                      <w:sz w:val="18"/>
                    </w:rPr>
                    <w:t>至弃置点</w:t>
                  </w:r>
                </w:p>
              </w:tc>
              <w:tc>
                <w:tcPr>
                  <w:tcW w:type="dxa" w:w="2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m3</w:t>
                  </w:r>
                </w:p>
              </w:tc>
              <w:tc>
                <w:tcPr>
                  <w:tcW w:type="dxa" w:w="3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rPr>
                    <w:t>27926.72</w:t>
                  </w:r>
                </w:p>
              </w:tc>
            </w:tr>
          </w:tbl>
          <w:p>
            <w:pPr>
              <w:pStyle w:val="null3"/>
            </w:pPr>
            <w:r>
              <w:rPr>
                <w:rFonts w:ascii="仿宋_GB2312" w:hAnsi="仿宋_GB2312" w:cs="仿宋_GB2312" w:eastAsia="仿宋_GB2312"/>
              </w:rPr>
              <w:t>七、报价说明</w:t>
            </w:r>
          </w:p>
          <w:p>
            <w:pPr>
              <w:pStyle w:val="null3"/>
            </w:pPr>
            <w:r>
              <w:rPr>
                <w:rFonts w:ascii="仿宋_GB2312" w:hAnsi="仿宋_GB2312" w:cs="仿宋_GB2312" w:eastAsia="仿宋_GB2312"/>
              </w:rPr>
              <w:t>1、工程量清单为竞争性磋商文件的组成部分，一经成交且签订合同，即成为合同的组成部分。</w:t>
            </w:r>
          </w:p>
          <w:p>
            <w:pPr>
              <w:pStyle w:val="null3"/>
            </w:pPr>
            <w:r>
              <w:rPr>
                <w:rFonts w:ascii="仿宋_GB2312" w:hAnsi="仿宋_GB2312" w:cs="仿宋_GB2312" w:eastAsia="仿宋_GB2312"/>
              </w:rPr>
              <w:t>2、工程量清单中各项金额均以人民币（元）结算。</w:t>
            </w:r>
          </w:p>
          <w:p>
            <w:pPr>
              <w:pStyle w:val="null3"/>
            </w:pPr>
            <w:r>
              <w:rPr>
                <w:rFonts w:ascii="仿宋_GB2312" w:hAnsi="仿宋_GB2312" w:cs="仿宋_GB2312" w:eastAsia="仿宋_GB2312"/>
              </w:rPr>
              <w:t>3、供应商不得随意改动工程量清单内容，评标时均按采购人所发的工程量清单进行检查和评审。</w:t>
            </w:r>
          </w:p>
          <w:p>
            <w:pPr>
              <w:pStyle w:val="null3"/>
            </w:pPr>
            <w:r>
              <w:rPr>
                <w:rFonts w:ascii="仿宋_GB2312" w:hAnsi="仿宋_GB2312" w:cs="仿宋_GB2312" w:eastAsia="仿宋_GB2312"/>
              </w:rPr>
              <w:t>4、磋商报价为完成本项目所发生的一切费用,包括施工及质量保修期间所有含税费用，如有遗漏，视为已包含在内。</w:t>
            </w:r>
          </w:p>
          <w:p>
            <w:pPr>
              <w:pStyle w:val="null3"/>
            </w:pPr>
            <w:r>
              <w:rPr>
                <w:rFonts w:ascii="仿宋_GB2312" w:hAnsi="仿宋_GB2312" w:cs="仿宋_GB2312" w:eastAsia="仿宋_GB2312"/>
              </w:rPr>
              <w:t>5、本项目为固定综合单价招标，采购人最终以供应商实际完成的工程量据实结算。</w:t>
            </w:r>
          </w:p>
          <w:p>
            <w:pPr>
              <w:pStyle w:val="null3"/>
            </w:pPr>
            <w:r>
              <w:rPr>
                <w:rFonts w:ascii="仿宋_GB2312" w:hAnsi="仿宋_GB2312" w:cs="仿宋_GB2312" w:eastAsia="仿宋_GB2312"/>
              </w:rPr>
              <w:t>八、安全要求</w:t>
            </w:r>
          </w:p>
          <w:p>
            <w:pPr>
              <w:pStyle w:val="null3"/>
            </w:pPr>
            <w:r>
              <w:rPr>
                <w:rFonts w:ascii="仿宋_GB2312" w:hAnsi="仿宋_GB2312" w:cs="仿宋_GB2312" w:eastAsia="仿宋_GB2312"/>
              </w:rPr>
              <w:t>遵守工程建设安全生产有关管理规定，严格按安全标准组织施工，采取必要的安全生产措施，消除事故隐患。安全措施不力造成事故责任和发生的费用由成交供应商承担。</w:t>
            </w:r>
          </w:p>
          <w:p>
            <w:pPr>
              <w:pStyle w:val="null3"/>
            </w:pPr>
            <w:r>
              <w:rPr>
                <w:rFonts w:ascii="仿宋_GB2312" w:hAnsi="仿宋_GB2312" w:cs="仿宋_GB2312" w:eastAsia="仿宋_GB2312"/>
              </w:rPr>
              <w:t>九、工程施工基本要求</w:t>
            </w:r>
          </w:p>
          <w:p>
            <w:pPr>
              <w:pStyle w:val="null3"/>
            </w:pPr>
            <w:r>
              <w:rPr>
                <w:rFonts w:ascii="仿宋_GB2312" w:hAnsi="仿宋_GB2312" w:cs="仿宋_GB2312" w:eastAsia="仿宋_GB2312"/>
              </w:rPr>
              <w:t>严格遵循国家有关规定做到文明施工，规范施工，严格把好各道施工工序的质量，确保工程质量，并按要求如期完成工程建设，编制施工组织设计方案，确保工程按时优质完成，编制总进度计划，合理安排劳动力、物力、财力，尽量做到综合平衡配套施工，确保工程顺利完成。</w:t>
            </w:r>
          </w:p>
          <w:p>
            <w:pPr>
              <w:pStyle w:val="null3"/>
            </w:pPr>
            <w:r>
              <w:rPr>
                <w:rFonts w:ascii="仿宋_GB2312" w:hAnsi="仿宋_GB2312" w:cs="仿宋_GB2312" w:eastAsia="仿宋_GB2312"/>
              </w:rPr>
              <w:t>十</w:t>
            </w:r>
            <w:r>
              <w:rPr>
                <w:rFonts w:ascii="仿宋_GB2312" w:hAnsi="仿宋_GB2312" w:cs="仿宋_GB2312" w:eastAsia="仿宋_GB2312"/>
              </w:rPr>
              <w:t>、其他要求</w:t>
            </w:r>
          </w:p>
          <w:p>
            <w:pPr>
              <w:pStyle w:val="null3"/>
            </w:pPr>
            <w:r>
              <w:rPr>
                <w:rFonts w:ascii="仿宋_GB2312" w:hAnsi="仿宋_GB2312" w:cs="仿宋_GB2312" w:eastAsia="仿宋_GB2312"/>
                <w:sz w:val="21"/>
                <w:b/>
              </w:rPr>
              <w:t>本项目暂列金：</w:t>
            </w:r>
            <w:r>
              <w:rPr>
                <w:rFonts w:ascii="仿宋_GB2312" w:hAnsi="仿宋_GB2312" w:cs="仿宋_GB2312" w:eastAsia="仿宋_GB2312"/>
                <w:sz w:val="21"/>
                <w:b/>
              </w:rPr>
              <w:t>100000元</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根据采购人、采购文件要求及合同约定执行，达到现行施工质量验收规范“合格”标准。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满足采购人要求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 xml:space="preserve">1、本项目所属行业为建筑业。2、质量标准：工程质量必须达到国家建设工程验收标准的合格。3、供应商根据工程量清单在编制磋商响应文件时须提供已标价工程量清单，已标价工程量清单封面必须由造价人员签字并加盖执业专用章。4、工程范围：春泽巷西侧储备地考古勘探清表清单及采购文件所包含内容。5、供应商报价包括完成本合同项下项目完成的所有费用，包括但不限于人工费、材料费、垃圾清运等费用。6、本次项目支付方式以磋商文件第三章“磋商项目技术、服务、商务及其他要求”中“技术参数与性能指标”中付款方式为准。7、磋商文件前后不一致以3.3其他要求为准。8、政府采购评审中出现下列情形之一的，评审委员会应当启动异常低价投标（响应）审查程序：1）投标（响应）报价低于全部通过符合性审查供应商投标（响应）报价平均值50%的，即投标（响应）报价＜全部通过符合性审查供应商投标（响应）报价平均值×50%；2）投标（响应）报价低于通过符合性审查的次低报价供应商投标（响应）报价50%的，即投标（响应）报价＜通过符合性审查的次低报价供应商投标（响应）报价×50%；3）投标（响应）报价低于采购项目最高限价45%的，即投标（响应）报价＜采购项目最高限价×45%；4）评审委员会认为供应商报价过低，有可能影响产品质量或者不能诚信履约的其他情形。 </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供应商需在项目电子化交易系统中按要求填写《投标函》完成承诺，同时提供以下资料并进行电子签章： 1.基本资格条件：提供《基本资格条件承诺函》，供应商应对承诺内容的真实性、合法性、有效性负责。若虚假承诺的，视同为“提供虚假材料谋取中标、成交”的违法行为，根据《中华人民共和国政府采购法》等法律法规追究相应责任。 备注：不提供《基本资格条件承诺函》的供应商需提交如下证明材料： a.财务状况报告：供应商须提供2024年度经审计的完整财务报告（包括资产负债表、利润表、现金流量表及会计报表附注，成立时间至开标时间不足一年的可提供成立后任意时段的资产负债表）或开标日期前三个月内其基本存款账户开户银行出具的资信证明或信用担保机构出具的投标担保函；其他组织和自然人提供银行出具的资信证明或财务报表或提供承诺函。（如提供资信证明，须同时提供基本存款账户开户许可证或基本账户信息表）。 b.税收缴纳证明：供应商须提供2025年1月至今任意一个月已缴纳完税凭证或税务机关开具的完税证明，依法免税或无须缴纳税收的供应商应提供相关文件证明。c.社会保障资金缴纳证明：供应商须提供2025年1月至今任意一个月已缴纳的社会保障资金缴存单据或社保机构开具的社会保险参保缴费情况证明，依法不需要缴纳社会保障资金的供应商应提供相关证明。 d.供应商具备履行合同所必需的设备和专业技术能力的证明材料(由供应商根据项目需求提供说明材料或者承诺)。 e.供应商提供参加政府采购活动前三年内在经营活动中没有重大违法记录的书面声明。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2024年度经审计的完整财务报告（包括资产负债表、利润表、现金流量表及会计报表附注，成立时间至开标时间不足一年的可提供成立后任意时段的资产负债表）或开标日期前三个月内其基本存款账户开户银行出具的资信证明或信用担保机构出具的投标担保函；其他组织和自然人提供银行出具的资信证明或财务报表或提供承诺函。（如提供资信证明，须同时提供基本存款账户开户许可证或基本账户信息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供应商须具有独立承担民事责任能力的法人、其他组织或自然人，并出具合法有效的营业执照或事业单位法人证书等国家规定的相关证明，自然人参与的提供其身份证明；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列入信用中国(www.creditchina.gov.cn)的重大税收违法失信主体名单或中国执行信息公开网（http：//zxgk.court.gov.cn/shixin/）的失信被执行人名单记录或中国政府采购网(www.ccgp.gov.cn)的政府采购严重违法失信行为记录名单；（以采购代理机构开标当天查询结果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法定代表人身份证明或法定代表人授权代表参加磋商</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明、法人身份证原件及复印件；法定代表人授权代表参加磋商的，须出具法定代表人授权书、授权代表身份证原件及复印件，同时须提供授权代表开标前三个月中任意一个月的本单位社保缴费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供应商须具备建设部门颁发有效的建筑工程施工总承包三级（含三级）以上资质，同时具备建设行政主管部门颁发有效的安全生产许可证。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拟派项目经理资质要求</w:t>
            </w:r>
          </w:p>
        </w:tc>
        <w:tc>
          <w:tcPr>
            <w:tcW w:type="dxa" w:w="3322"/>
          </w:tcPr>
          <w:p>
            <w:pPr>
              <w:pStyle w:val="null3"/>
            </w:pPr>
            <w:r>
              <w:rPr>
                <w:rFonts w:ascii="仿宋_GB2312" w:hAnsi="仿宋_GB2312" w:cs="仿宋_GB2312" w:eastAsia="仿宋_GB2312"/>
              </w:rPr>
              <w:t>供应商拟派项目经理具备合法有效的建筑工程专业二级（含二级）以上注册建造师执业资格和安全生产考核合格证书（安全B证），在本单位注册且无在建工程（提供承诺书）；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供应商及项目经理基本信息在“陕西省住房和城乡建设厅”和“全国建筑市场监管公共服务平台”可查询</w:t>
            </w:r>
          </w:p>
        </w:tc>
        <w:tc>
          <w:tcPr>
            <w:tcW w:type="dxa" w:w="3322"/>
          </w:tcPr>
          <w:p>
            <w:pPr>
              <w:pStyle w:val="null3"/>
            </w:pPr>
            <w:r>
              <w:rPr>
                <w:rFonts w:ascii="仿宋_GB2312" w:hAnsi="仿宋_GB2312" w:cs="仿宋_GB2312" w:eastAsia="仿宋_GB2312"/>
              </w:rPr>
              <w:t>供应商及项目经理基本信息在“陕西省住房和城乡建设厅”和“全国建筑市场监管公共服务平台”上均有备案且可查询（提供截图）</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关联关系承诺书</w:t>
            </w:r>
          </w:p>
        </w:tc>
        <w:tc>
          <w:tcPr>
            <w:tcW w:type="dxa" w:w="3322"/>
          </w:tcPr>
          <w:p>
            <w:pPr>
              <w:pStyle w:val="null3"/>
            </w:pPr>
            <w:r>
              <w:rPr>
                <w:rFonts w:ascii="仿宋_GB2312" w:hAnsi="仿宋_GB2312" w:cs="仿宋_GB2312" w:eastAsia="仿宋_GB2312"/>
              </w:rPr>
              <w:t>与采购人存在利害关系可能影响采购公正性的单位，不得参加磋商；单位负责人为同一人或存在控股、管理关系的不同单位，不得参加同一标段磋商；否则，相关投标均无效；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磋商报价未超过最高限价(合格)； 磋商报价超过最高限价(不合格 ) 。</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响应文件的签署、盖章满足磋商文件要求(合格)； 响应文件的签署、盖章不满足磋商文件要求(不合格)。</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供应商承诺书.docx 强制优先采购产品承诺函 响应文件封面 供应商应提交的相关资格证明材料.docx 项目管理机构组成表 残疾人福利性单位声明函 施工方案.docx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工期未超过磋商文件要求（合格）； 工期超过磋商文件要求(不合格) 。</w:t>
            </w:r>
          </w:p>
        </w:tc>
        <w:tc>
          <w:tcPr>
            <w:tcW w:type="dxa" w:w="1661"/>
          </w:tcPr>
          <w:p>
            <w:pPr>
              <w:pStyle w:val="null3"/>
            </w:pPr>
            <w:r>
              <w:rPr>
                <w:rFonts w:ascii="仿宋_GB2312" w:hAnsi="仿宋_GB2312" w:cs="仿宋_GB2312" w:eastAsia="仿宋_GB2312"/>
              </w:rPr>
              <w:t>报价函 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磋商有效期满足磋商文件要求(合格)； 响应文件无磋商有效期或有效期不满足磋商文件要求(不合格)。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响应程度</w:t>
            </w:r>
          </w:p>
        </w:tc>
        <w:tc>
          <w:tcPr>
            <w:tcW w:type="dxa" w:w="3322"/>
          </w:tcPr>
          <w:p>
            <w:pPr>
              <w:pStyle w:val="null3"/>
            </w:pPr>
            <w:r>
              <w:rPr>
                <w:rFonts w:ascii="仿宋_GB2312" w:hAnsi="仿宋_GB2312" w:cs="仿宋_GB2312" w:eastAsia="仿宋_GB2312"/>
              </w:rPr>
              <w:t>完全响应商务条款和技术内容要求（合格）； 未响应完全响应商务条款和技术内容要求（不合格）。</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是否有采购人不能接受的附加条件</w:t>
            </w:r>
          </w:p>
        </w:tc>
        <w:tc>
          <w:tcPr>
            <w:tcW w:type="dxa" w:w="3322"/>
          </w:tcPr>
          <w:p>
            <w:pPr>
              <w:pStyle w:val="null3"/>
            </w:pPr>
            <w:r>
              <w:rPr>
                <w:rFonts w:ascii="仿宋_GB2312" w:hAnsi="仿宋_GB2312" w:cs="仿宋_GB2312" w:eastAsia="仿宋_GB2312"/>
              </w:rPr>
              <w:t>没有采购人不能接受的附加条件(合格)； 有采购人不能接受的附加条件(不合格) 。</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供应商承诺书.docx 强制优先采购产品承诺函 响应文件封面 供应商应提交的相关资格证明材料.docx 项目管理机构组成表 施工方案.docx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法律、法规和磋商文件规定的其他无效情形</w:t>
            </w:r>
          </w:p>
        </w:tc>
        <w:tc>
          <w:tcPr>
            <w:tcW w:type="dxa" w:w="3322"/>
          </w:tcPr>
          <w:p>
            <w:pPr>
              <w:pStyle w:val="null3"/>
            </w:pPr>
            <w:r>
              <w:rPr>
                <w:rFonts w:ascii="仿宋_GB2312" w:hAnsi="仿宋_GB2312" w:cs="仿宋_GB2312" w:eastAsia="仿宋_GB2312"/>
              </w:rPr>
              <w:t>不存在法律、法规和磋商文件规定的其他无效情形(合格)；存在法律、法规和磋商文件规定的其他无效情形(不合格) 。</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供应商承诺书.docx 强制优先采购产品承诺函 响应文件封面 供应商应提交的相关资格证明材料.docx 项目管理机构组成表 残疾人福利性单位声明函 施工方案.docx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详细评审55.00分</w:t>
            </w:r>
          </w:p>
          <w:p>
            <w:pPr>
              <w:pStyle w:val="null3"/>
            </w:pPr>
            <w:r>
              <w:rPr>
                <w:rFonts w:ascii="仿宋_GB2312" w:hAnsi="仿宋_GB2312" w:cs="仿宋_GB2312" w:eastAsia="仿宋_GB2312"/>
              </w:rPr>
              <w:t>报价得分45.00分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评审内容：施工方案 评审标准：施工方案切合本项目实际情况，方案详细有针对性得6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出现以上任一情形扣1分，方案缺漏项或只有标题没有实质性内容的扣6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项目管理机构及项目经理部组成</w:t>
            </w:r>
          </w:p>
        </w:tc>
        <w:tc>
          <w:tcPr>
            <w:tcW w:type="dxa" w:w="2492"/>
          </w:tcPr>
          <w:p>
            <w:pPr>
              <w:pStyle w:val="null3"/>
            </w:pPr>
            <w:r>
              <w:rPr>
                <w:rFonts w:ascii="仿宋_GB2312" w:hAnsi="仿宋_GB2312" w:cs="仿宋_GB2312" w:eastAsia="仿宋_GB2312"/>
              </w:rPr>
              <w:t>评审内容：①项目管理机构②项目经理部组成 评审标准：以上内容切合本项目实际情况及实施要求，内容与要点相符、每个要点均有展开详细的阐述且能够适用于本项目的得6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0.5分，方案缺漏项或只有标题没有实质性内容的扣3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评审内容：确保安全生产的技术组织措施 评审标准：技术组织措施切合本项目实际情况，内容详细有针对性得5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1分，方案缺漏项或只有标题没有实质性内容的扣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确保文明施工的技术措施及环境保护措施</w:t>
            </w:r>
          </w:p>
        </w:tc>
        <w:tc>
          <w:tcPr>
            <w:tcW w:type="dxa" w:w="2492"/>
          </w:tcPr>
          <w:p>
            <w:pPr>
              <w:pStyle w:val="null3"/>
            </w:pPr>
            <w:r>
              <w:rPr>
                <w:rFonts w:ascii="仿宋_GB2312" w:hAnsi="仿宋_GB2312" w:cs="仿宋_GB2312" w:eastAsia="仿宋_GB2312"/>
              </w:rPr>
              <w:t>评审内容：①确保文明施工的技术措施②环境保护措施 评审标准：以上内容切合本项目实际情况及实施要求，内容与要点相符、每个要点均有展开详细的阐述且能够适用于本项目的得4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0.5分，方案缺漏项或只有标题没有实质性内容的扣2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劳动力计划及主要材料供应计划</w:t>
            </w:r>
          </w:p>
        </w:tc>
        <w:tc>
          <w:tcPr>
            <w:tcW w:type="dxa" w:w="2492"/>
          </w:tcPr>
          <w:p>
            <w:pPr>
              <w:pStyle w:val="null3"/>
            </w:pPr>
            <w:r>
              <w:rPr>
                <w:rFonts w:ascii="仿宋_GB2312" w:hAnsi="仿宋_GB2312" w:cs="仿宋_GB2312" w:eastAsia="仿宋_GB2312"/>
              </w:rPr>
              <w:t>评审内容：①劳动力计划②主要材料供应计划 评审标准：以上内容切合本项目实际情况及实施要求，内容与要点相符、每个要点均有展开详细的阐述且能够适用于本项目的得4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0.5分，方案缺漏项或只有标题没有实质性内容的扣2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施工机械设备配备计划</w:t>
            </w:r>
          </w:p>
        </w:tc>
        <w:tc>
          <w:tcPr>
            <w:tcW w:type="dxa" w:w="2492"/>
          </w:tcPr>
          <w:p>
            <w:pPr>
              <w:pStyle w:val="null3"/>
            </w:pPr>
            <w:r>
              <w:rPr>
                <w:rFonts w:ascii="仿宋_GB2312" w:hAnsi="仿宋_GB2312" w:cs="仿宋_GB2312" w:eastAsia="仿宋_GB2312"/>
              </w:rPr>
              <w:t>评审内容：施工机械设备配备计划 评审标准：施工方案切合本项目实际情况，方案详细有针对性得4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1分，方案缺漏项或只有标题没有实质性内容的扣4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评审内容：工程质量保证措施 评审标准：施工方案切合本项目实际情况，方案详细有针对性得4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1分，方案缺漏项或只有标题没有实质性内容的扣4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施工进度计划及确保工期的技术措施</w:t>
            </w:r>
          </w:p>
        </w:tc>
        <w:tc>
          <w:tcPr>
            <w:tcW w:type="dxa" w:w="2492"/>
          </w:tcPr>
          <w:p>
            <w:pPr>
              <w:pStyle w:val="null3"/>
            </w:pPr>
            <w:r>
              <w:rPr>
                <w:rFonts w:ascii="仿宋_GB2312" w:hAnsi="仿宋_GB2312" w:cs="仿宋_GB2312" w:eastAsia="仿宋_GB2312"/>
              </w:rPr>
              <w:t>评审内容：①施工进度计划②确保工期的技术措施 评审标准：以上内容切合本项目实际情况及实施要求，内容与要点相符、每个要点均有展开详细的阐述且能够适用于本项目的得4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0.5分，方案缺漏项或只有标题没有实质性内容的扣2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雨季施工管理防范措施</w:t>
            </w:r>
          </w:p>
        </w:tc>
        <w:tc>
          <w:tcPr>
            <w:tcW w:type="dxa" w:w="2492"/>
          </w:tcPr>
          <w:p>
            <w:pPr>
              <w:pStyle w:val="null3"/>
            </w:pPr>
            <w:r>
              <w:rPr>
                <w:rFonts w:ascii="仿宋_GB2312" w:hAnsi="仿宋_GB2312" w:cs="仿宋_GB2312" w:eastAsia="仿宋_GB2312"/>
              </w:rPr>
              <w:t>评审内容：雨季施工管理防范措施 评审标准：施工方案切合本项目实际情况，方案详细有针对性得4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1分，方案缺漏项或只有标题没有实质性内容的扣4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垃圾清运方案</w:t>
            </w:r>
          </w:p>
        </w:tc>
        <w:tc>
          <w:tcPr>
            <w:tcW w:type="dxa" w:w="2492"/>
          </w:tcPr>
          <w:p>
            <w:pPr>
              <w:pStyle w:val="null3"/>
            </w:pPr>
            <w:r>
              <w:rPr>
                <w:rFonts w:ascii="仿宋_GB2312" w:hAnsi="仿宋_GB2312" w:cs="仿宋_GB2312" w:eastAsia="仿宋_GB2312"/>
              </w:rPr>
              <w:t>评审内容：垃圾清运方案 评审标准：垃圾清运方案切合本项目实际情况，方案详细有针对性得4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1分，方案缺漏项或只有标题没有实质性内容的扣4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评审内容：①服务过程中的相关承诺②质保期内的服务承诺 评审标准：以上内容与要点相符、每个要点均有展开详细的阐述且能够适用于本项目的得4分； 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0.5分，方案缺漏项或只有标题没有实质性内容的扣2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供应商具有2022年（附合同协议书等相关证明材料；以合同签订日期为准）至今类似项目业绩，每提供1个得2分，满分6分。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施工方案.docx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满足磋商文件要求且投标价格最低的磋商报价为磋商基准价，其价格分为满分。其他供应商的价格分统一按照下列公式计算：磋商报价得分=（磋商基准价/最后磋商报价）×45%×100。</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