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版本号：SNJZ-2026-124.1B120260710001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操场维修改造及围墙粉刷项目(二次)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SNJZ-2026-124.1B1</w:t>
      </w:r>
      <w:r>
        <w:br/>
      </w:r>
      <w:r>
        <w:br/>
      </w:r>
      <w:r>
        <w:br/>
      </w:r>
    </w:p>
    <w:p>
      <w:pPr>
        <w:pStyle w:val="null3"/>
        <w:jc w:val="center"/>
        <w:outlineLvl w:val="2"/>
      </w:pPr>
      <w:r>
        <w:rPr>
          <w:rFonts w:ascii="仿宋_GB2312" w:hAnsi="仿宋_GB2312" w:cs="仿宋_GB2312" w:eastAsia="仿宋_GB2312"/>
          <w:sz w:val="28"/>
          <w:b/>
        </w:rPr>
        <w:t>西安市第四十五中学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西安市第四十五中学</w:t>
      </w:r>
      <w:r>
        <w:rPr>
          <w:rFonts w:ascii="仿宋_GB2312" w:hAnsi="仿宋_GB2312" w:cs="仿宋_GB2312" w:eastAsia="仿宋_GB2312"/>
        </w:rPr>
        <w:t>委托，拟对</w:t>
      </w:r>
      <w:r>
        <w:rPr>
          <w:rFonts w:ascii="仿宋_GB2312" w:hAnsi="仿宋_GB2312" w:cs="仿宋_GB2312" w:eastAsia="仿宋_GB2312"/>
        </w:rPr>
        <w:t>操场维修改造及围墙粉刷项目(二次)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操场维修改造及围墙粉刷项目(二次)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西安市第四十五中学操场维修改造及围墙粉刷项目，1项，具体内容详见第三章。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采购包1（操场维修改造及围墙粉刷项目）：属于专门面向中小企业采购。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3、财务状况报告：提供经审计的2025年度的财务报告或提交响应文件截止时间前一年内银行资信证明；或政府采购信用担保机构出具的投标担保函。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6、提供具有履行本合同所必需的设备和专业技术能力的承诺：提供具有履行本合同所必需的设备和专业技术能力的承诺。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8、供应商资质要求：具备住建部门核发有效建筑工程施工总承包三级及以上资质，持有有效安全生产许可证。</w:t>
      </w:r>
    </w:p>
    <w:p>
      <w:pPr>
        <w:pStyle w:val="null3"/>
      </w:pPr>
      <w:r>
        <w:rPr>
          <w:rFonts w:ascii="仿宋_GB2312" w:hAnsi="仿宋_GB2312" w:cs="仿宋_GB2312" w:eastAsia="仿宋_GB2312"/>
        </w:rPr>
        <w:t>9、项目经理：拟派项目经理具备有效建筑工程专业二级及以上注册建造师证书，有效的安全生产考核合格证书（B证），在本单位注册且无在建工程（承诺书）。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西安市第四十五中学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西安市雁塔区西影路396号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西安市第四十五中学经办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029-81201696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崔斌、程钰、王力、鲁方方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十(10)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西安市第四十五中学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西安市第四十五中学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西安市第四十五中学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一、施工完成后，工程质量达到采购文件要求的为验收合格。验收标准：合同文本，磋商文件，响应文件，国内相应标准、规范。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联系人：崔斌、程钰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1,168,000.00</w:t>
      </w:r>
    </w:p>
    <w:p>
      <w:pPr>
        <w:pStyle w:val="null3"/>
      </w:pPr>
      <w:r>
        <w:rPr>
          <w:rFonts w:ascii="仿宋_GB2312" w:hAnsi="仿宋_GB2312" w:cs="仿宋_GB2312" w:eastAsia="仿宋_GB2312"/>
        </w:rPr>
        <w:t>采购包最高限价（元）: 1,096,273.89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操场维修改造及围墙粉刷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标的名称：操场维修改造及围墙粉刷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1.工程概况</w:t>
            </w:r>
          </w:p>
          <w:p>
            <w:pPr>
              <w:pStyle w:val="null3"/>
              <w:jc w:val="both"/>
            </w:pPr>
            <w:r>
              <w:rPr>
                <w:rFonts w:ascii="仿宋_GB2312" w:hAnsi="仿宋_GB2312" w:cs="仿宋_GB2312" w:eastAsia="仿宋_GB2312"/>
                <w:sz w:val="24"/>
              </w:rPr>
              <w:t>本工程位于西安市第四十五中学校园内，主要包括两部分：校园围墙翻新和操场</w:t>
            </w:r>
            <w:r>
              <w:rPr>
                <w:rFonts w:ascii="仿宋_GB2312" w:hAnsi="仿宋_GB2312" w:cs="仿宋_GB2312" w:eastAsia="仿宋_GB2312"/>
                <w:sz w:val="24"/>
              </w:rPr>
              <w:t>EPDM塑胶面层铺设。</w:t>
            </w:r>
          </w:p>
          <w:p>
            <w:pPr>
              <w:pStyle w:val="null3"/>
              <w:jc w:val="both"/>
            </w:pPr>
            <w:r>
              <w:rPr>
                <w:rFonts w:ascii="仿宋_GB2312" w:hAnsi="仿宋_GB2312" w:cs="仿宋_GB2312" w:eastAsia="仿宋_GB2312"/>
                <w:sz w:val="24"/>
                <w:b/>
              </w:rPr>
              <w:t>2.围墙工程</w:t>
            </w:r>
          </w:p>
          <w:p>
            <w:pPr>
              <w:pStyle w:val="null3"/>
              <w:jc w:val="both"/>
            </w:pPr>
            <w:r>
              <w:rPr>
                <w:rFonts w:ascii="仿宋_GB2312" w:hAnsi="仿宋_GB2312" w:cs="仿宋_GB2312" w:eastAsia="仿宋_GB2312"/>
                <w:sz w:val="24"/>
              </w:rPr>
              <w:t>对南墙、西墙、北墙进行翻新，总面积约八百多平方米。施工工序为：铲除旧面层</w:t>
            </w:r>
            <w:r>
              <w:rPr>
                <w:rFonts w:ascii="仿宋_GB2312" w:hAnsi="仿宋_GB2312" w:cs="仿宋_GB2312" w:eastAsia="仿宋_GB2312"/>
                <w:sz w:val="24"/>
              </w:rPr>
              <w:t>→ 基层找平 → 抗裂防水 → 喷涂面漆 → 垃圾外运。</w:t>
            </w:r>
          </w:p>
          <w:p>
            <w:pPr>
              <w:pStyle w:val="null3"/>
              <w:jc w:val="both"/>
            </w:pPr>
            <w:r>
              <w:rPr>
                <w:rFonts w:ascii="仿宋_GB2312" w:hAnsi="仿宋_GB2312" w:cs="仿宋_GB2312" w:eastAsia="仿宋_GB2312"/>
                <w:sz w:val="24"/>
              </w:rPr>
              <w:t>2.1施工准备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1）核对图纸，确认墙体尺寸及洞口位置。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2）准备抗裂防水腻子、底漆、面漆、水泥砂浆等材料。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3）准备铲刀、打磨机、喷涂机、脚手架等机具。</w:t>
            </w:r>
          </w:p>
          <w:p>
            <w:pPr>
              <w:pStyle w:val="null3"/>
              <w:jc w:val="both"/>
            </w:pPr>
            <w:r>
              <w:rPr>
                <w:rFonts w:ascii="仿宋_GB2312" w:hAnsi="仿宋_GB2312" w:cs="仿宋_GB2312" w:eastAsia="仿宋_GB2312"/>
                <w:sz w:val="24"/>
              </w:rPr>
              <w:t>2.2施工工艺流程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1）基层处理：铲除旧涂料、腻子层及旧保温层，修补坑洼，处理洞口边缘。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2）刮腻子：满刮防水抗裂腻子两遍，干燥后打磨平整，注意阴阳角处理。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3）喷涂涂料：先涂刷抗碱封闭底漆一遍，再喷涂罩光面漆两遍，确保均匀无色差。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4）垃圾清运：装袋集中堆放，运至指定消纳场，做到工完场清。</w:t>
            </w:r>
          </w:p>
          <w:p>
            <w:pPr>
              <w:pStyle w:val="null3"/>
              <w:jc w:val="both"/>
            </w:pPr>
            <w:r>
              <w:rPr>
                <w:rFonts w:ascii="仿宋_GB2312" w:hAnsi="仿宋_GB2312" w:cs="仿宋_GB2312" w:eastAsia="仿宋_GB2312"/>
                <w:sz w:val="24"/>
              </w:rPr>
              <w:t>2.3质量要求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1）大面积墙体建议加铺玻璃纤维网格布防开裂。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2）洞口做好遮挡保护，防止污染。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3）提前做样板确认颜色，喷涂压力保持一致。</w:t>
            </w:r>
          </w:p>
          <w:p>
            <w:pPr>
              <w:pStyle w:val="null3"/>
              <w:jc w:val="both"/>
            </w:pPr>
            <w:r>
              <w:rPr>
                <w:rFonts w:ascii="仿宋_GB2312" w:hAnsi="仿宋_GB2312" w:cs="仿宋_GB2312" w:eastAsia="仿宋_GB2312"/>
                <w:sz w:val="24"/>
              </w:rPr>
              <w:t>2.4安全文明施工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1）高处作业搭设稳固脚手架，佩戴安全帽、安全带。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2）打磨时佩戴防尘口罩，现场严禁明火。</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3）垃圾运输覆盖篷布，控制扬尘。</w:t>
            </w:r>
          </w:p>
          <w:p>
            <w:pPr>
              <w:pStyle w:val="null3"/>
              <w:jc w:val="both"/>
            </w:pPr>
            <w:r>
              <w:rPr>
                <w:rFonts w:ascii="仿宋_GB2312" w:hAnsi="仿宋_GB2312" w:cs="仿宋_GB2312" w:eastAsia="仿宋_GB2312"/>
                <w:sz w:val="24"/>
                <w:b/>
              </w:rPr>
              <w:t>3.操场工程</w:t>
            </w:r>
          </w:p>
          <w:p>
            <w:pPr>
              <w:pStyle w:val="null3"/>
              <w:jc w:val="both"/>
            </w:pPr>
            <w:r>
              <w:rPr>
                <w:rFonts w:ascii="仿宋_GB2312" w:hAnsi="仿宋_GB2312" w:cs="仿宋_GB2312" w:eastAsia="仿宋_GB2312"/>
                <w:sz w:val="24"/>
              </w:rPr>
              <w:t>操场总面积近一万平方米，内容包括：拆除老旧面层、基层处理、重新铺设硅</w:t>
            </w:r>
            <w:r>
              <w:rPr>
                <w:rFonts w:ascii="仿宋_GB2312" w:hAnsi="仿宋_GB2312" w:cs="仿宋_GB2312" w:eastAsia="仿宋_GB2312"/>
                <w:sz w:val="24"/>
              </w:rPr>
              <w:t>PU、EPDM塑胶跑道和人造草坪，并完成场地划线及垃圾清运。</w:t>
            </w:r>
          </w:p>
          <w:p>
            <w:pPr>
              <w:pStyle w:val="null3"/>
              <w:jc w:val="both"/>
            </w:pPr>
            <w:r>
              <w:rPr>
                <w:rFonts w:ascii="仿宋_GB2312" w:hAnsi="仿宋_GB2312" w:cs="仿宋_GB2312" w:eastAsia="仿宋_GB2312"/>
                <w:sz w:val="24"/>
              </w:rPr>
              <w:t>3.1工程概况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1）拆除老旧人造草坪、硅PU面层、旧涂料。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2）对混凝土基础进行铣刨、打磨、修补。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3）新铺：硅PU（弹性层+加强层）、EPDM跑道、人造草坪（不同厚度）。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4）配套划线、垃圾外运。</w:t>
            </w:r>
          </w:p>
          <w:p>
            <w:pPr>
              <w:pStyle w:val="null3"/>
              <w:jc w:val="both"/>
            </w:pPr>
            <w:r>
              <w:rPr>
                <w:rFonts w:ascii="仿宋_GB2312" w:hAnsi="仿宋_GB2312" w:cs="仿宋_GB2312" w:eastAsia="仿宋_GB2312"/>
                <w:sz w:val="24"/>
              </w:rPr>
              <w:t>3.2施工流程</w:t>
            </w:r>
          </w:p>
          <w:p>
            <w:pPr>
              <w:pStyle w:val="null3"/>
              <w:jc w:val="both"/>
            </w:pPr>
            <w:r>
              <w:rPr>
                <w:rFonts w:ascii="仿宋_GB2312" w:hAnsi="仿宋_GB2312" w:cs="仿宋_GB2312" w:eastAsia="仿宋_GB2312"/>
                <w:sz w:val="24"/>
              </w:rPr>
              <w:t>场地清理拆除</w:t>
            </w:r>
            <w:r>
              <w:rPr>
                <w:rFonts w:ascii="仿宋_GB2312" w:hAnsi="仿宋_GB2312" w:cs="仿宋_GB2312" w:eastAsia="仿宋_GB2312"/>
                <w:sz w:val="24"/>
              </w:rPr>
              <w:t>→ 基层处理 → 底涂找平 → 面层铺设 → 划线 → 垃圾外运验收</w:t>
            </w:r>
          </w:p>
          <w:p>
            <w:pPr>
              <w:pStyle w:val="null3"/>
              <w:jc w:val="both"/>
            </w:pPr>
            <w:r>
              <w:rPr>
                <w:rFonts w:ascii="仿宋_GB2312" w:hAnsi="仿宋_GB2312" w:cs="仿宋_GB2312" w:eastAsia="仿宋_GB2312"/>
                <w:sz w:val="24"/>
              </w:rPr>
              <w:t>3.3主要分项施工工艺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1）硅PU施工</w:t>
            </w:r>
          </w:p>
          <w:p>
            <w:pPr>
              <w:pStyle w:val="null3"/>
              <w:jc w:val="both"/>
            </w:pPr>
            <w:r>
              <w:rPr>
                <w:rFonts w:ascii="仿宋_GB2312" w:hAnsi="仿宋_GB2312" w:cs="仿宋_GB2312" w:eastAsia="仿宋_GB2312"/>
                <w:sz w:val="24"/>
              </w:rPr>
              <w:t>基础处理：打磨旧基础，处理温度缝（磨成</w:t>
            </w:r>
            <w:r>
              <w:rPr>
                <w:rFonts w:ascii="仿宋_GB2312" w:hAnsi="仿宋_GB2312" w:cs="仿宋_GB2312" w:eastAsia="仿宋_GB2312"/>
                <w:sz w:val="24"/>
              </w:rPr>
              <w:t>V型口），涂刷底漆，填缝，找平积水处。</w:t>
            </w:r>
          </w:p>
          <w:p>
            <w:pPr>
              <w:pStyle w:val="null3"/>
              <w:jc w:val="both"/>
            </w:pPr>
            <w:r>
              <w:rPr>
                <w:rFonts w:ascii="仿宋_GB2312" w:hAnsi="仿宋_GB2312" w:cs="仿宋_GB2312" w:eastAsia="仿宋_GB2312"/>
                <w:sz w:val="24"/>
              </w:rPr>
              <w:t>弹性层：用齿刮板逐道涂刮至设计厚度，每道干固后再涂下一道。</w:t>
            </w:r>
          </w:p>
          <w:p>
            <w:pPr>
              <w:pStyle w:val="null3"/>
              <w:jc w:val="both"/>
            </w:pPr>
            <w:r>
              <w:rPr>
                <w:rFonts w:ascii="仿宋_GB2312" w:hAnsi="仿宋_GB2312" w:cs="仿宋_GB2312" w:eastAsia="仿宋_GB2312"/>
                <w:sz w:val="24"/>
              </w:rPr>
              <w:t>面层：双组份水性材料搅拌均匀，分多道喷涂，根据球场类型决定是否加砂。</w:t>
            </w:r>
          </w:p>
          <w:p>
            <w:pPr>
              <w:pStyle w:val="null3"/>
              <w:jc w:val="both"/>
            </w:pPr>
            <w:r>
              <w:rPr>
                <w:rFonts w:ascii="仿宋_GB2312" w:hAnsi="仿宋_GB2312" w:cs="仿宋_GB2312" w:eastAsia="仿宋_GB2312"/>
                <w:sz w:val="24"/>
              </w:rPr>
              <w:t>划线：按标准尺寸定位，用美纹纸辅助，涂刷专用划线漆。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2）EPDM塑胶跑道施工</w:t>
            </w:r>
          </w:p>
          <w:p>
            <w:pPr>
              <w:pStyle w:val="null3"/>
              <w:jc w:val="both"/>
            </w:pPr>
            <w:r>
              <w:rPr>
                <w:rFonts w:ascii="仿宋_GB2312" w:hAnsi="仿宋_GB2312" w:cs="仿宋_GB2312" w:eastAsia="仿宋_GB2312"/>
                <w:sz w:val="24"/>
              </w:rPr>
              <w:t>旧面层铲除：彻底铲除老化塑胶层，清运垃圾，高压水枪冲洗场地。</w:t>
            </w:r>
          </w:p>
          <w:p>
            <w:pPr>
              <w:pStyle w:val="null3"/>
              <w:jc w:val="both"/>
            </w:pPr>
            <w:r>
              <w:rPr>
                <w:rFonts w:ascii="仿宋_GB2312" w:hAnsi="仿宋_GB2312" w:cs="仿宋_GB2312" w:eastAsia="仿宋_GB2312"/>
                <w:sz w:val="24"/>
              </w:rPr>
              <w:t>基础处理：打扫清洁，浇水找平凹陷处，用胶水加橡胶粒补平。</w:t>
            </w:r>
          </w:p>
          <w:p>
            <w:pPr>
              <w:pStyle w:val="null3"/>
              <w:jc w:val="both"/>
            </w:pPr>
            <w:r>
              <w:rPr>
                <w:rFonts w:ascii="仿宋_GB2312" w:hAnsi="仿宋_GB2312" w:cs="仿宋_GB2312" w:eastAsia="仿宋_GB2312"/>
                <w:sz w:val="24"/>
              </w:rPr>
              <w:t>底层铺设：滚涂单组份胶水，按比例混合</w:t>
            </w:r>
            <w:r>
              <w:rPr>
                <w:rFonts w:ascii="仿宋_GB2312" w:hAnsi="仿宋_GB2312" w:cs="仿宋_GB2312" w:eastAsia="仿宋_GB2312"/>
                <w:sz w:val="24"/>
              </w:rPr>
              <w:t>EPDM颗粒，机械或人工压实。</w:t>
            </w:r>
          </w:p>
          <w:p>
            <w:pPr>
              <w:pStyle w:val="null3"/>
              <w:jc w:val="both"/>
            </w:pPr>
            <w:r>
              <w:rPr>
                <w:rFonts w:ascii="仿宋_GB2312" w:hAnsi="仿宋_GB2312" w:cs="仿宋_GB2312" w:eastAsia="仿宋_GB2312"/>
                <w:sz w:val="24"/>
              </w:rPr>
              <w:t>面层喷铺：分两次喷涂彩色</w:t>
            </w:r>
            <w:r>
              <w:rPr>
                <w:rFonts w:ascii="仿宋_GB2312" w:hAnsi="仿宋_GB2312" w:cs="仿宋_GB2312" w:eastAsia="仿宋_GB2312"/>
                <w:sz w:val="24"/>
              </w:rPr>
              <w:t>EPDM颗粒，起跑区加喷一遍。</w:t>
            </w:r>
          </w:p>
          <w:p>
            <w:pPr>
              <w:pStyle w:val="null3"/>
              <w:jc w:val="both"/>
            </w:pPr>
            <w:r>
              <w:rPr>
                <w:rFonts w:ascii="仿宋_GB2312" w:hAnsi="仿宋_GB2312" w:cs="仿宋_GB2312" w:eastAsia="仿宋_GB2312"/>
                <w:sz w:val="24"/>
              </w:rPr>
              <w:t>划线：按跑道尺寸放样，用专用划线漆画线。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3）人造草坪施工</w:t>
            </w:r>
          </w:p>
          <w:p>
            <w:pPr>
              <w:pStyle w:val="null3"/>
              <w:jc w:val="both"/>
            </w:pPr>
            <w:r>
              <w:rPr>
                <w:rFonts w:ascii="仿宋_GB2312" w:hAnsi="仿宋_GB2312" w:cs="仿宋_GB2312" w:eastAsia="仿宋_GB2312"/>
                <w:sz w:val="24"/>
              </w:rPr>
              <w:t>旧草坪移除：切割成条状卷起，拔除固定件。</w:t>
            </w:r>
          </w:p>
          <w:p>
            <w:pPr>
              <w:pStyle w:val="null3"/>
              <w:jc w:val="both"/>
            </w:pPr>
            <w:r>
              <w:rPr>
                <w:rFonts w:ascii="仿宋_GB2312" w:hAnsi="仿宋_GB2312" w:cs="仿宋_GB2312" w:eastAsia="仿宋_GB2312"/>
                <w:sz w:val="24"/>
              </w:rPr>
              <w:t>基层清理：清除填充物（橡胶颗粒、石英砂），挖除损坏的旧基层，垃圾外运。</w:t>
            </w:r>
          </w:p>
          <w:p>
            <w:pPr>
              <w:pStyle w:val="null3"/>
              <w:jc w:val="both"/>
            </w:pPr>
            <w:r>
              <w:rPr>
                <w:rFonts w:ascii="仿宋_GB2312" w:hAnsi="仿宋_GB2312" w:cs="仿宋_GB2312" w:eastAsia="仿宋_GB2312"/>
                <w:sz w:val="24"/>
              </w:rPr>
              <w:t>基础修补：处理裂缝（切</w:t>
            </w:r>
            <w:r>
              <w:rPr>
                <w:rFonts w:ascii="仿宋_GB2312" w:hAnsi="仿宋_GB2312" w:cs="仿宋_GB2312" w:eastAsia="仿宋_GB2312"/>
                <w:sz w:val="24"/>
              </w:rPr>
              <w:t>V型口后填补）、铲除凸起，全场打磨，检测平整度并修补积水处。</w:t>
            </w:r>
          </w:p>
          <w:p>
            <w:pPr>
              <w:pStyle w:val="null3"/>
              <w:jc w:val="both"/>
            </w:pPr>
            <w:r>
              <w:rPr>
                <w:rFonts w:ascii="仿宋_GB2312" w:hAnsi="仿宋_GB2312" w:cs="仿宋_GB2312" w:eastAsia="仿宋_GB2312"/>
                <w:sz w:val="24"/>
              </w:rPr>
              <w:t>铺装步骤：</w:t>
            </w:r>
          </w:p>
          <w:p>
            <w:pPr>
              <w:pStyle w:val="null3"/>
              <w:jc w:val="both"/>
            </w:pPr>
            <w:r>
              <w:rPr>
                <w:rFonts w:ascii="仿宋_GB2312" w:hAnsi="仿宋_GB2312" w:cs="仿宋_GB2312" w:eastAsia="仿宋_GB2312"/>
                <w:sz w:val="24"/>
              </w:rPr>
              <w:t>复核场地尺寸，放线定位。</w:t>
            </w:r>
          </w:p>
          <w:p>
            <w:pPr>
              <w:pStyle w:val="null3"/>
              <w:jc w:val="both"/>
            </w:pPr>
            <w:r>
              <w:rPr>
                <w:rFonts w:ascii="仿宋_GB2312" w:hAnsi="仿宋_GB2312" w:cs="仿宋_GB2312" w:eastAsia="仿宋_GB2312"/>
                <w:sz w:val="24"/>
              </w:rPr>
              <w:t>摊铺草坪卷，注意白划线对准功能线位置。</w:t>
            </w:r>
          </w:p>
          <w:p>
            <w:pPr>
              <w:pStyle w:val="null3"/>
              <w:jc w:val="both"/>
            </w:pPr>
            <w:r>
              <w:rPr>
                <w:rFonts w:ascii="仿宋_GB2312" w:hAnsi="仿宋_GB2312" w:cs="仿宋_GB2312" w:eastAsia="仿宋_GB2312"/>
                <w:sz w:val="24"/>
              </w:rPr>
              <w:t>拼接草坪：使用连接带和专用胶水粘接，接缝处搭接修剪。</w:t>
            </w:r>
          </w:p>
          <w:p>
            <w:pPr>
              <w:pStyle w:val="null3"/>
              <w:jc w:val="both"/>
            </w:pPr>
            <w:r>
              <w:rPr>
                <w:rFonts w:ascii="仿宋_GB2312" w:hAnsi="仿宋_GB2312" w:cs="仿宋_GB2312" w:eastAsia="仿宋_GB2312"/>
                <w:sz w:val="24"/>
              </w:rPr>
              <w:t>粘接白色功能线。</w:t>
            </w:r>
          </w:p>
          <w:p>
            <w:pPr>
              <w:pStyle w:val="null3"/>
              <w:jc w:val="both"/>
            </w:pPr>
            <w:r>
              <w:rPr>
                <w:rFonts w:ascii="仿宋_GB2312" w:hAnsi="仿宋_GB2312" w:cs="仿宋_GB2312" w:eastAsia="仿宋_GB2312"/>
                <w:sz w:val="24"/>
              </w:rPr>
              <w:t>修整褶皱，用刷草机梳理草丝。</w:t>
            </w:r>
          </w:p>
          <w:p>
            <w:pPr>
              <w:pStyle w:val="null3"/>
              <w:jc w:val="both"/>
            </w:pPr>
            <w:r>
              <w:rPr>
                <w:rFonts w:ascii="仿宋_GB2312" w:hAnsi="仿宋_GB2312" w:cs="仿宋_GB2312" w:eastAsia="仿宋_GB2312"/>
                <w:sz w:val="24"/>
              </w:rPr>
              <w:t>填充石英砂和橡胶颗粒（若需要），再梳理。</w:t>
            </w:r>
          </w:p>
          <w:p>
            <w:pPr>
              <w:pStyle w:val="null3"/>
              <w:jc w:val="both"/>
            </w:pPr>
            <w:r>
              <w:rPr>
                <w:rFonts w:ascii="仿宋_GB2312" w:hAnsi="仿宋_GB2312" w:cs="仿宋_GB2312" w:eastAsia="仿宋_GB2312"/>
                <w:sz w:val="24"/>
              </w:rPr>
              <w:t>验收标准：草色均匀，功能线准确，接缝平直紧凑，场地平整。</w:t>
            </w:r>
          </w:p>
          <w:p>
            <w:pPr>
              <w:pStyle w:val="null3"/>
              <w:jc w:val="both"/>
            </w:pPr>
            <w:r>
              <w:rPr>
                <w:rFonts w:ascii="仿宋_GB2312" w:hAnsi="仿宋_GB2312" w:cs="仿宋_GB2312" w:eastAsia="仿宋_GB2312"/>
                <w:sz w:val="24"/>
              </w:rPr>
              <w:t>3.4安全与环保措施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1）施工人员佩戴安全帽、手套、口罩，高处作业系安全带。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2）胶水、涂料等易燃材料现场严禁明火，保持通风。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3）控制噪音粉尘，合理安排作业时间，垃圾日产日清。</w:t>
            </w:r>
          </w:p>
          <w:p>
            <w:pPr>
              <w:pStyle w:val="null3"/>
              <w:jc w:val="both"/>
            </w:pPr>
            <w:r>
              <w:rPr>
                <w:rFonts w:ascii="仿宋_GB2312" w:hAnsi="仿宋_GB2312" w:cs="仿宋_GB2312" w:eastAsia="仿宋_GB2312"/>
                <w:sz w:val="24"/>
                <w:b/>
              </w:rPr>
              <w:t>4.质量保证</w:t>
            </w:r>
          </w:p>
          <w:p>
            <w:pPr>
              <w:pStyle w:val="null3"/>
              <w:jc w:val="both"/>
            </w:pPr>
            <w:r>
              <w:rPr>
                <w:rFonts w:ascii="仿宋_GB2312" w:hAnsi="仿宋_GB2312" w:cs="仿宋_GB2312" w:eastAsia="仿宋_GB2312"/>
                <w:sz w:val="24"/>
              </w:rPr>
              <w:t>4.1整体建设要求为合格，整体质保期为竣工验收合格后不少于2年；若该质量保证期小于国家标准，则以国家标准为准。</w:t>
            </w:r>
          </w:p>
          <w:p>
            <w:pPr>
              <w:pStyle w:val="null3"/>
              <w:jc w:val="both"/>
            </w:pPr>
            <w:r>
              <w:rPr>
                <w:rFonts w:ascii="仿宋_GB2312" w:hAnsi="仿宋_GB2312" w:cs="仿宋_GB2312" w:eastAsia="仿宋_GB2312"/>
                <w:sz w:val="24"/>
              </w:rPr>
              <w:t>4.2供应商应按法律、行政法规或国家关于工程质量保修的有关规定，对采购单位使用的工程在质量保修期内承担质量保修责任。</w:t>
            </w:r>
          </w:p>
          <w:p>
            <w:pPr>
              <w:pStyle w:val="null3"/>
              <w:jc w:val="both"/>
            </w:pPr>
            <w:r>
              <w:rPr>
                <w:rFonts w:ascii="仿宋_GB2312" w:hAnsi="仿宋_GB2312" w:cs="仿宋_GB2312" w:eastAsia="仿宋_GB2312"/>
                <w:sz w:val="24"/>
              </w:rPr>
              <w:t>4.3供应商应承诺在质量保证期内免费提供设备维修等服务；</w:t>
            </w:r>
          </w:p>
          <w:p>
            <w:pPr>
              <w:pStyle w:val="null3"/>
              <w:jc w:val="both"/>
            </w:pPr>
            <w:r>
              <w:rPr>
                <w:rFonts w:ascii="仿宋_GB2312" w:hAnsi="仿宋_GB2312" w:cs="仿宋_GB2312" w:eastAsia="仿宋_GB2312"/>
                <w:sz w:val="24"/>
              </w:rPr>
              <w:t>4.4所有设备及辅材必须是未使用过的，用最新工艺生产的最新产品，质量优良、渠道正当，配置合理。</w:t>
            </w:r>
          </w:p>
          <w:p>
            <w:pPr>
              <w:pStyle w:val="null3"/>
              <w:jc w:val="both"/>
            </w:pPr>
            <w:r>
              <w:rPr>
                <w:rFonts w:ascii="仿宋_GB2312" w:hAnsi="仿宋_GB2312" w:cs="仿宋_GB2312" w:eastAsia="仿宋_GB2312"/>
                <w:sz w:val="24"/>
                <w:b/>
              </w:rPr>
              <w:t>5.其他说明</w:t>
            </w:r>
          </w:p>
          <w:p>
            <w:pPr>
              <w:pStyle w:val="null3"/>
              <w:jc w:val="both"/>
            </w:pPr>
            <w:r>
              <w:rPr>
                <w:rFonts w:ascii="仿宋_GB2312" w:hAnsi="仿宋_GB2312" w:cs="仿宋_GB2312" w:eastAsia="仿宋_GB2312"/>
                <w:sz w:val="24"/>
              </w:rPr>
              <w:t>供应商应负有以下责任事项：</w:t>
            </w:r>
          </w:p>
          <w:p>
            <w:pPr>
              <w:pStyle w:val="null3"/>
              <w:jc w:val="both"/>
            </w:pPr>
            <w:r>
              <w:rPr>
                <w:rFonts w:ascii="仿宋_GB2312" w:hAnsi="仿宋_GB2312" w:cs="仿宋_GB2312" w:eastAsia="仿宋_GB2312"/>
                <w:sz w:val="24"/>
              </w:rPr>
              <w:t>5.1负责施工期间使用的水、电线路、围栏和防护设施等；并提供施工用电、用水计划，水电费用提前与学校动力部门对接，安装水电表进行计量。</w:t>
            </w:r>
          </w:p>
          <w:p>
            <w:pPr>
              <w:pStyle w:val="null3"/>
              <w:jc w:val="both"/>
            </w:pPr>
            <w:r>
              <w:rPr>
                <w:rFonts w:ascii="仿宋_GB2312" w:hAnsi="仿宋_GB2312" w:cs="仿宋_GB2312" w:eastAsia="仿宋_GB2312"/>
                <w:sz w:val="24"/>
              </w:rPr>
              <w:t>5.2遵守学校对施工场地交通、卫生和施工噪音管理规定。</w:t>
            </w:r>
          </w:p>
          <w:p>
            <w:pPr>
              <w:pStyle w:val="null3"/>
              <w:jc w:val="both"/>
            </w:pPr>
            <w:r>
              <w:rPr>
                <w:rFonts w:ascii="仿宋_GB2312" w:hAnsi="仿宋_GB2312" w:cs="仿宋_GB2312" w:eastAsia="仿宋_GB2312"/>
                <w:sz w:val="24"/>
              </w:rPr>
              <w:t>5.3在工程未交付使用之前，承包人负责已完成工程的成品保护工作，保护期间发生损坏，由承包人负责修复。</w:t>
            </w:r>
          </w:p>
          <w:p>
            <w:pPr>
              <w:pStyle w:val="null3"/>
              <w:jc w:val="both"/>
            </w:pPr>
            <w:r>
              <w:rPr>
                <w:rFonts w:ascii="仿宋_GB2312" w:hAnsi="仿宋_GB2312" w:cs="仿宋_GB2312" w:eastAsia="仿宋_GB2312"/>
                <w:sz w:val="24"/>
              </w:rPr>
              <w:t>5.4做好施工场地内的管线和构筑物的成品保护工作；损坏时由承包人负责修复。</w:t>
            </w:r>
          </w:p>
          <w:p>
            <w:pPr>
              <w:pStyle w:val="null3"/>
              <w:jc w:val="both"/>
            </w:pPr>
            <w:r>
              <w:rPr>
                <w:rFonts w:ascii="仿宋_GB2312" w:hAnsi="仿宋_GB2312" w:cs="仿宋_GB2312" w:eastAsia="仿宋_GB2312"/>
                <w:sz w:val="24"/>
              </w:rPr>
              <w:t>5.5保证施工现场清洁符合文明工地有关规定，交工前清理现场达无污染，现场无建筑垃圾；承担因此而造成的损失和罚款。</w:t>
            </w:r>
          </w:p>
          <w:p>
            <w:pPr>
              <w:pStyle w:val="null3"/>
              <w:jc w:val="both"/>
            </w:pPr>
            <w:r>
              <w:rPr>
                <w:rFonts w:ascii="仿宋_GB2312" w:hAnsi="仿宋_GB2312" w:cs="仿宋_GB2312" w:eastAsia="仿宋_GB2312"/>
                <w:sz w:val="24"/>
              </w:rPr>
              <w:t>5.6组织施工人员进行施工安全、防火、防盗安全交底等，指定专人负责施工现场安全工作，承担因此而造成的损失和罚款。</w:t>
            </w:r>
          </w:p>
          <w:p>
            <w:pPr>
              <w:pStyle w:val="null3"/>
              <w:jc w:val="both"/>
            </w:pPr>
            <w:r>
              <w:rPr>
                <w:rFonts w:ascii="仿宋_GB2312" w:hAnsi="仿宋_GB2312" w:cs="仿宋_GB2312" w:eastAsia="仿宋_GB2312"/>
                <w:sz w:val="24"/>
              </w:rPr>
              <w:t>5.7要充分考虑天气因素、设备保护、高空作业、噪音干扰等诸多因素对施工的影响。</w:t>
            </w:r>
          </w:p>
          <w:p>
            <w:pPr>
              <w:pStyle w:val="null3"/>
              <w:jc w:val="both"/>
            </w:pPr>
            <w:r>
              <w:rPr>
                <w:rFonts w:ascii="仿宋_GB2312" w:hAnsi="仿宋_GB2312" w:cs="仿宋_GB2312" w:eastAsia="仿宋_GB2312"/>
                <w:sz w:val="24"/>
                <w:b/>
              </w:rPr>
              <w:t>6.工期：</w:t>
            </w:r>
            <w:r>
              <w:rPr>
                <w:rFonts w:ascii="仿宋_GB2312" w:hAnsi="仿宋_GB2312" w:cs="仿宋_GB2312" w:eastAsia="仿宋_GB2312"/>
                <w:sz w:val="24"/>
              </w:rPr>
              <w:t>2026年8月31日前完成本项目涉及的所有内容。</w:t>
            </w:r>
          </w:p>
          <w:p>
            <w:pPr>
              <w:pStyle w:val="null3"/>
              <w:jc w:val="both"/>
            </w:pPr>
            <w:r>
              <w:rPr>
                <w:rFonts w:ascii="仿宋_GB2312" w:hAnsi="仿宋_GB2312" w:cs="仿宋_GB2312" w:eastAsia="仿宋_GB2312"/>
                <w:sz w:val="24"/>
                <w:b/>
              </w:rPr>
              <w:t>7.款项结算：</w:t>
            </w:r>
          </w:p>
          <w:p>
            <w:pPr>
              <w:pStyle w:val="null3"/>
              <w:jc w:val="both"/>
            </w:pPr>
            <w:r>
              <w:rPr>
                <w:rFonts w:ascii="仿宋_GB2312" w:hAnsi="仿宋_GB2312" w:cs="仿宋_GB2312" w:eastAsia="仿宋_GB2312"/>
                <w:sz w:val="24"/>
              </w:rPr>
              <w:t>7.1合同签订后20日内采购人支付合同金额的50%，项目经验收合格并审计结束后，根据实际工程量据实结算，达到付款条件起20日内，支付剩余全部款项。</w:t>
            </w:r>
          </w:p>
          <w:p>
            <w:pPr>
              <w:pStyle w:val="null3"/>
              <w:jc w:val="both"/>
            </w:pPr>
            <w:r>
              <w:rPr>
                <w:rFonts w:ascii="仿宋_GB2312" w:hAnsi="仿宋_GB2312" w:cs="仿宋_GB2312" w:eastAsia="仿宋_GB2312"/>
                <w:sz w:val="24"/>
              </w:rPr>
              <w:t>7.2货款支付时，成交单位须按采购方要求提供正式发票等付款所需的材料。</w:t>
            </w:r>
          </w:p>
          <w:p>
            <w:pPr>
              <w:pStyle w:val="null3"/>
              <w:jc w:val="both"/>
            </w:pPr>
            <w:r>
              <w:rPr>
                <w:rFonts w:ascii="仿宋_GB2312" w:hAnsi="仿宋_GB2312" w:cs="仿宋_GB2312" w:eastAsia="仿宋_GB2312"/>
                <w:sz w:val="24"/>
              </w:rPr>
              <w:t>7.3货款支付单位为：西安市第四十五中学。</w:t>
            </w:r>
          </w:p>
          <w:p>
            <w:pPr>
              <w:pStyle w:val="null3"/>
              <w:jc w:val="both"/>
            </w:pPr>
            <w:r>
              <w:rPr>
                <w:rFonts w:ascii="仿宋_GB2312" w:hAnsi="仿宋_GB2312" w:cs="仿宋_GB2312" w:eastAsia="仿宋_GB2312"/>
                <w:sz w:val="24"/>
              </w:rPr>
              <w:t>发票开具的</w:t>
            </w:r>
            <w:r>
              <w:rPr>
                <w:rFonts w:ascii="仿宋_GB2312" w:hAnsi="仿宋_GB2312" w:cs="仿宋_GB2312" w:eastAsia="仿宋_GB2312"/>
                <w:sz w:val="24"/>
              </w:rPr>
              <w:t>“购货单位（人）名称”为：西安市第四十五中学。</w:t>
            </w:r>
          </w:p>
          <w:p>
            <w:pPr>
              <w:pStyle w:val="null3"/>
              <w:jc w:val="both"/>
            </w:pPr>
            <w:r>
              <w:rPr>
                <w:rFonts w:ascii="仿宋_GB2312" w:hAnsi="仿宋_GB2312" w:cs="仿宋_GB2312" w:eastAsia="仿宋_GB2312"/>
                <w:sz w:val="24"/>
                <w:b/>
              </w:rPr>
              <w:t>8.水电费的收取结算按照学校规定执行。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本工程施工图纸及工程量清单详见附件。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成交供应商在领取成交通知书时须提供响应文件纸质版2份以作存档（系统导出打印版胶装即可，封面加盖鲜章）。若系统电子响应文件与纸质响应文件不一致的，以系统电子响应文件为准。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提供经审计的2025年度的财务报告或提交响应文件截止时间前一年内银行资信证明；或政府采购信用担保机构出具的投标担保函。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具备住建部门核发有效建筑工程施工总承包三级及以上资质，持有有效安全生产许可证。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拟派项目经理具备有效建筑工程专业二级及以上注册建造师证书，有效的安全生产考核合格证书（B证），在本单位注册且无在建工程（承诺书）。</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供应商根据项目特点及采购人实际需求编制完善的施工方案，内容包含：①施工内容②施工工序③重点工程保障措施。 二、评审标准 1.完整性：方案必须全面，对评审内容中的各项要求有详细描述； 2.可实施性：切合本项目实际情况，提出步骤清晰、合理的方案； 3.针对性：方案能够紧扣项目实际情况， 内容科学合理。 三、赋分标准 ①施工内容：每完全满足一个评审标准得1分，满分3分； ②施工工序：每完全满足一个评审标准得1分，满分3分； ③重点工程保障措施：每完全满足一个评审标准得1分，满分3分。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供应商编制完善的施工进度计划，内容包含：①施工总进度：施工进度目标和施工总进度计划表/图②分部分项工期一览表③施工进度保障措施。 二、评审标准 1.完整性：方案必须全面，对评审内容中的各项要求有详细描述； 2.可实施性：切合本项目实际情况，提出步骤清晰、合理的方案； 3.针对性：方案能够紧扣项目实际情况， 内容科学合理。 三、赋分标准 ①施工总进度：每完全满足一个评审标准得1分，满分3分； ②分部分项工期一览表：每完全满足一个评审标准得1分，满分3分； ③施工进度保障措施：每完全满足一个评审标准得1分，满分3分。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供应商编制完善的质量技术措施，内容包含：①工程质量目标②施工质量保障措施③施工质量检验制度。 二、评审标准 1.完整性：方案必须全面，对评审内容中的各项要求有详细描述； 2.可实施性：切合本项目实际情况，提出步骤清晰、合理的方案； 3.针对性：方案能够紧扣项目实际情况， 内容科学合理。 三、赋分标准 ①工程质量目标：每完全满足一个评审标准得1分，满分3分；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w:t>
            </w:r>
          </w:p>
        </w:tc>
      </w:tr>
      <w:tr>
        <w:tc>
          <w:tcPr>
            <w:tcW w:type="dxa" w:w="831"/>
            <w:vMerge/>
          </w:tcPr>
          <w:p/>
        </w:tc>
        <w:tc>
          <w:tcPr>
            <w:tcW w:type="dxa" w:w="1661"/>
          </w:tcPr>
          <w:p>
            <w:pPr>
              <w:pStyle w:val="null3"/>
            </w:pPr>
            <w:r>
              <w:rPr>
                <w:rFonts w:ascii="仿宋_GB2312" w:hAnsi="仿宋_GB2312" w:cs="仿宋_GB2312" w:eastAsia="仿宋_GB2312"/>
              </w:rPr>
              <w:t>施工安全保障措施</w:t>
            </w:r>
          </w:p>
        </w:tc>
        <w:tc>
          <w:tcPr>
            <w:tcW w:type="dxa" w:w="2492"/>
          </w:tcPr>
          <w:p>
            <w:pPr>
              <w:pStyle w:val="null3"/>
            </w:pPr>
            <w:r>
              <w:rPr>
                <w:rFonts w:ascii="仿宋_GB2312" w:hAnsi="仿宋_GB2312" w:cs="仿宋_GB2312" w:eastAsia="仿宋_GB2312"/>
              </w:rPr>
              <w:t>一、评审内容 供应商编制完善的施工安全保障措施，内容包含：①安全管理体系②安全责任归属划分③安全标识：安全警戒标语、施工人员安全警示服和安全帽穿配要求④安全教育培训。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3.针对性：方案能够紧扣项目实际情况，内容科学合理。 三、赋分标准 ①安全管理体系：每完全满足一个评审标准得0.5分，满分1.5分； ②安全责任归属划分：每完全满足一个评审标准得0.5分，满分1.5分；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施工安全保障措施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供应商编制完善的文明施工措施，内容包含：①文明施工管理制度②材料、半成品和机具的堆放管理③文明施工检查措施。 二、评审标准 1.完整性：方案必须全面，对评审内容中的各项要求有详细描述； 2.可实施性：切合本项目实际情况，提出步骤清晰、合理的方案； 3.针对性：方案能够紧扣项目实际情况， 内容科学合理。 三、赋分标准 ①文明施工管理制度：每完全满足一个评审标准得0.5分，满分1.5分； ②材料、半成品和机具的堆放管理：每完全满足一个评审标准得0.5分，满分1.5分； ③文明施工检查措施：每完全满足一个评审标准得0.5分，满分1.5分。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供应商编制完善的环境保护措施，内容包含：①环境保护管理体系②环保控制措施：污染物及废弃物处理、噪音控制、防尘及扬尘的控制措施。 二、评审标准 1.完整性：方案必须全面，对评审内容中的各项要求有详细描述； 2.可实施性：切合本项目实际情况，提出步骤清晰、合理的方案； 3.针对性：方案能够紧扣项目实际情况， 内容科学合理。 三、赋分标准 ①环境保护管理体系：每完全满足一个评审标准得0.5分，满分1.5分； ②环保控制措施：每完全满足一个评审标准得0.5分，满分1.5分。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供应商编制完善的工期保障措施，方案包括：①施工组织与管理措施②工序穿插措施③特殊情况保障：夜间、雨季、高温等其它情况。 二、评审标准 1.完整性：方案必须全面，对评审内容中的各项要求有详细描述； 2.可实施性：切合本项目实际情况，提出步骤清晰、合理的方案； 3.针对性：方案能够紧扣项目实际情况，内容科学合理。 三、赋分标准 ①施工组织与管理措施：每完全满足一个评审标准得0.5分，满分1.5分； ②工序穿插措施：每完全满足一个评审标准得0.5分，满分1.5分； ③特殊情况保障：每完全满足一个评审标准得0.5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工期保障措施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针对本项目提供除项目经理以外的具体人员配置清单（清单内容应包含：具体成员姓名、年龄、资格证书、工作经历、岗位），提供以上清单中所有内容得3分，不提供或缺项不得分。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等其他突发事件的应急措施②安全事故应急措施：高空坠落伤害应急措施、触电应急措施、人员伤亡应急措施。 二、评审标准 1.完整性：方案必须全面，对评审内容中的各项要求有详细描述； 2.可实施性：切合本项目实际情况，提出步骤清晰、合理的方案； 3.针对性：方案能够紧扣项目实际情况， 内容科学合理。 三、赋分标准 ①自然灾害应急措施：每完全满足一个评审标准得0.5分，满分1.5分；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1.完整性：方案必须全面，对评审内容中的各项要求有详细描述； 2.可实施性：切合本项目实际情况，提出步骤清晰、合理的方案； 3.针对性：方案能够紧扣项目实际情况，内容科学合理。 三、赋分标准 ①拟投入的主要施工机械设备计划：每完全满足一个评审标准得0.5分，满分1.5分； ②主要材料进场计划：每完全满足一个评审标准得0.5分，满分1.5分； ③劳动力投入计划：每完全满足一个评审标准得 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w:t>
            </w:r>
          </w:p>
        </w:tc>
      </w:tr>
      <w:tr>
        <w:tc>
          <w:tcPr>
            <w:tcW w:type="dxa" w:w="831"/>
            <w:vMerge/>
          </w:tcPr>
          <w:p/>
        </w:tc>
        <w:tc>
          <w:tcPr>
            <w:tcW w:type="dxa" w:w="1661"/>
          </w:tcPr>
          <w:p>
            <w:pPr>
              <w:pStyle w:val="null3"/>
            </w:pPr>
            <w:r>
              <w:rPr>
                <w:rFonts w:ascii="仿宋_GB2312" w:hAnsi="仿宋_GB2312" w:cs="仿宋_GB2312" w:eastAsia="仿宋_GB2312"/>
              </w:rPr>
              <w:t>新材料新工艺绿色材料</w:t>
            </w:r>
          </w:p>
        </w:tc>
        <w:tc>
          <w:tcPr>
            <w:tcW w:type="dxa" w:w="2492"/>
          </w:tcPr>
          <w:p>
            <w:pPr>
              <w:pStyle w:val="null3"/>
            </w:pPr>
            <w:r>
              <w:rPr>
                <w:rFonts w:ascii="仿宋_GB2312" w:hAnsi="仿宋_GB2312" w:cs="仿宋_GB2312" w:eastAsia="仿宋_GB2312"/>
              </w:rPr>
              <w:t>一、评审内容 针对本项目具有：新技术、新工艺、新产品、新材料、绿色材料的应用情况。 二、评审标准 1.完整性：方案必须全面，对评审内容中的各项要求有详细描述； 2.可实施性：切合本项目实际情况，提出步骤清晰、合理的方案； 3.针对性：方案能够紧扣项目实际情况， 内容科学合理。 三、赋分标准 每完全满足一个评审标准得 0.5 分，满分 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新材料新工艺绿色材料</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供应商提供所用材料属于环境标志产品政府采购清单中的产品，每提供 1种材料的环境标志产品认证证书得0.5分，满分1分。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环保产品证明材料</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供应商提供的2023年1月1日至今类似业绩证明材料，每份业绩得2分，满分6分。 备注：业绩时间以合同签订时间所体现的时间为准。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结合本项目的实际，供应商应依据国家相关规定对工程质量编制保修方案，内容包含①保修范围②维修费用③保修人员配备和服务措施④响应时间。 二、评审标准 1.完整性：内容必须全面，对评审内容中的各项要求有详细描述； 2.落实性：切合项目具体情况，提出责任明确、要求具体的方案； 3.针对性： 内容能够紧扣项目实际情况， 内容科学合理。 三、赋分标准 ①保修范围：每完全满足一个评审标准得0.5分，满分1.5分； ②维修费用：每完全满足一个评审标准得0.5分，满分1.5分； ③保修人员配备和服务措施：每完全满足一个评审标准得0.5分，满分1.5分； ④响应时间：每完全满足一个评审标准得0.5分，满分1.5分。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落实政府采购政策进行价格调整的，以调整后的价格计算）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详见附件：进度计划</w:t>
      </w:r>
    </w:p>
    <w:p>
      <w:pPr>
        <w:pStyle w:val="null3"/>
        <w:ind w:firstLine="960"/>
      </w:pPr>
      <w:r>
        <w:rPr>
          <w:rFonts w:ascii="仿宋_GB2312" w:hAnsi="仿宋_GB2312" w:cs="仿宋_GB2312" w:eastAsia="仿宋_GB2312"/>
        </w:rPr>
        <w:t>详见附件：质量技术措施</w:t>
      </w:r>
    </w:p>
    <w:p>
      <w:pPr>
        <w:pStyle w:val="null3"/>
        <w:ind w:firstLine="960"/>
      </w:pPr>
      <w:r>
        <w:rPr>
          <w:rFonts w:ascii="仿宋_GB2312" w:hAnsi="仿宋_GB2312" w:cs="仿宋_GB2312" w:eastAsia="仿宋_GB2312"/>
        </w:rPr>
        <w:t>详见附件：施工安全保障措施</w:t>
      </w:r>
    </w:p>
    <w:p>
      <w:pPr>
        <w:pStyle w:val="null3"/>
        <w:ind w:firstLine="960"/>
      </w:pPr>
      <w:r>
        <w:rPr>
          <w:rFonts w:ascii="仿宋_GB2312" w:hAnsi="仿宋_GB2312" w:cs="仿宋_GB2312" w:eastAsia="仿宋_GB2312"/>
        </w:rPr>
        <w:t>详见附件：文明施工措施</w:t>
      </w:r>
    </w:p>
    <w:p>
      <w:pPr>
        <w:pStyle w:val="null3"/>
        <w:ind w:firstLine="960"/>
      </w:pPr>
      <w:r>
        <w:rPr>
          <w:rFonts w:ascii="仿宋_GB2312" w:hAnsi="仿宋_GB2312" w:cs="仿宋_GB2312" w:eastAsia="仿宋_GB2312"/>
        </w:rPr>
        <w:t>详见附件：环境保护措施</w:t>
      </w:r>
    </w:p>
    <w:p>
      <w:pPr>
        <w:pStyle w:val="null3"/>
        <w:ind w:firstLine="960"/>
      </w:pPr>
      <w:r>
        <w:rPr>
          <w:rFonts w:ascii="仿宋_GB2312" w:hAnsi="仿宋_GB2312" w:cs="仿宋_GB2312" w:eastAsia="仿宋_GB2312"/>
        </w:rPr>
        <w:t>详见附件：工期保障措施</w:t>
      </w:r>
    </w:p>
    <w:p>
      <w:pPr>
        <w:pStyle w:val="null3"/>
        <w:ind w:firstLine="960"/>
      </w:pPr>
      <w:r>
        <w:rPr>
          <w:rFonts w:ascii="仿宋_GB2312" w:hAnsi="仿宋_GB2312" w:cs="仿宋_GB2312" w:eastAsia="仿宋_GB2312"/>
        </w:rPr>
        <w:t>详见附件：应急措施</w:t>
      </w:r>
    </w:p>
    <w:p>
      <w:pPr>
        <w:pStyle w:val="null3"/>
        <w:ind w:firstLine="960"/>
      </w:pPr>
      <w:r>
        <w:rPr>
          <w:rFonts w:ascii="仿宋_GB2312" w:hAnsi="仿宋_GB2312" w:cs="仿宋_GB2312" w:eastAsia="仿宋_GB2312"/>
        </w:rPr>
        <w:t>详见附件：资源配置计划</w:t>
      </w:r>
    </w:p>
    <w:p>
      <w:pPr>
        <w:pStyle w:val="null3"/>
        <w:ind w:firstLine="960"/>
      </w:pPr>
      <w:r>
        <w:rPr>
          <w:rFonts w:ascii="仿宋_GB2312" w:hAnsi="仿宋_GB2312" w:cs="仿宋_GB2312" w:eastAsia="仿宋_GB2312"/>
        </w:rPr>
        <w:t>详见附件：新材料新工艺绿色材料</w:t>
      </w:r>
    </w:p>
    <w:p>
      <w:pPr>
        <w:pStyle w:val="null3"/>
        <w:ind w:firstLine="960"/>
      </w:pPr>
      <w:r>
        <w:rPr>
          <w:rFonts w:ascii="仿宋_GB2312" w:hAnsi="仿宋_GB2312" w:cs="仿宋_GB2312" w:eastAsia="仿宋_GB2312"/>
        </w:rPr>
        <w:t>详见附件：环保产品证明材料</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详见附件：保修方案</w:t>
      </w:r>
    </w:p>
    <w:p>
      <w:pPr>
        <w:pStyle w:val="null3"/>
        <w:ind w:firstLine="960"/>
      </w:pPr>
      <w:r>
        <w:rPr>
          <w:rFonts w:ascii="仿宋_GB2312" w:hAnsi="仿宋_GB2312" w:cs="仿宋_GB2312" w:eastAsia="仿宋_GB2312"/>
        </w:rPr>
        <w:t>详见附件：本项目的特定资格要求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